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B25004" w14:textId="36F8345E" w:rsidR="0004535A" w:rsidRPr="001479F9" w:rsidRDefault="00081601" w:rsidP="00081601">
      <w:pPr>
        <w:jc w:val="right"/>
        <w:rPr>
          <w:rFonts w:ascii="Times New Roman" w:hAnsi="Times New Roman" w:cs="Times New Roman"/>
          <w:b/>
          <w:bCs/>
          <w:sz w:val="24"/>
          <w:szCs w:val="24"/>
          <w:lang w:val="sr-Cyrl-RS"/>
        </w:rPr>
      </w:pPr>
      <w:r w:rsidRPr="001479F9">
        <w:rPr>
          <w:rFonts w:ascii="Times New Roman" w:hAnsi="Times New Roman" w:cs="Times New Roman"/>
          <w:b/>
          <w:bCs/>
          <w:sz w:val="24"/>
          <w:szCs w:val="24"/>
          <w:lang w:val="sr-Cyrl-RS"/>
        </w:rPr>
        <w:t>ПРЕДЛОГ</w:t>
      </w:r>
    </w:p>
    <w:p w14:paraId="09B485EB" w14:textId="77777777" w:rsidR="00706841" w:rsidRPr="001479F9" w:rsidRDefault="00706841" w:rsidP="0006737B">
      <w:pPr>
        <w:ind w:firstLine="720"/>
        <w:jc w:val="both"/>
        <w:rPr>
          <w:rFonts w:ascii="Times New Roman" w:hAnsi="Times New Roman"/>
          <w:sz w:val="24"/>
          <w:szCs w:val="24"/>
          <w:lang w:val="sr-Cyrl-RS"/>
        </w:rPr>
      </w:pPr>
      <w:r w:rsidRPr="001479F9">
        <w:rPr>
          <w:rFonts w:ascii="Times New Roman" w:hAnsi="Times New Roman"/>
          <w:sz w:val="24"/>
          <w:szCs w:val="24"/>
          <w:lang w:val="sr-Cyrl-RS"/>
        </w:rPr>
        <w:t xml:space="preserve">На основу члана 38. </w:t>
      </w:r>
      <w:r w:rsidRPr="001479F9">
        <w:rPr>
          <w:rFonts w:ascii="Times New Roman" w:hAnsi="Times New Roman"/>
          <w:sz w:val="24"/>
          <w:szCs w:val="24"/>
          <w:lang w:val="sr-Latn-RS"/>
        </w:rPr>
        <w:t>с</w:t>
      </w:r>
      <w:r w:rsidRPr="001479F9">
        <w:rPr>
          <w:rFonts w:ascii="Times New Roman" w:hAnsi="Times New Roman"/>
          <w:sz w:val="24"/>
          <w:szCs w:val="24"/>
          <w:lang w:val="sr-Cyrl-RS"/>
        </w:rPr>
        <w:t>тав 1. Закона о планском систему Републике Србије („Службени гласник РС</w:t>
      </w:r>
      <w:r w:rsidRPr="001479F9">
        <w:rPr>
          <w:rFonts w:ascii="Times New Roman" w:hAnsi="Times New Roman"/>
          <w:sz w:val="24"/>
          <w:szCs w:val="24"/>
          <w:lang w:val="sr-Cyrl-CS"/>
        </w:rPr>
        <w:t>”</w:t>
      </w:r>
      <w:r w:rsidRPr="001479F9">
        <w:rPr>
          <w:rFonts w:ascii="Times New Roman" w:hAnsi="Times New Roman"/>
          <w:sz w:val="24"/>
          <w:szCs w:val="24"/>
          <w:lang w:val="sr-Cyrl-RS"/>
        </w:rPr>
        <w:t>, број 30/18),</w:t>
      </w:r>
    </w:p>
    <w:p w14:paraId="6D824164" w14:textId="77777777" w:rsidR="005C334F" w:rsidRPr="001479F9" w:rsidRDefault="00706841" w:rsidP="005C334F">
      <w:pPr>
        <w:spacing w:line="264" w:lineRule="auto"/>
        <w:ind w:firstLine="720"/>
        <w:rPr>
          <w:rFonts w:ascii="Times New Roman" w:hAnsi="Times New Roman" w:cs="Times New Roman"/>
          <w:sz w:val="24"/>
          <w:szCs w:val="24"/>
          <w:lang w:val="sr-Cyrl-RS"/>
        </w:rPr>
      </w:pPr>
      <w:r w:rsidRPr="001479F9">
        <w:rPr>
          <w:rFonts w:ascii="Times New Roman" w:hAnsi="Times New Roman"/>
          <w:sz w:val="24"/>
          <w:szCs w:val="24"/>
          <w:lang w:val="sr-Cyrl-RS"/>
        </w:rPr>
        <w:t>Влада усваја</w:t>
      </w:r>
    </w:p>
    <w:p w14:paraId="39137BEF" w14:textId="5F507C12" w:rsidR="0010484B" w:rsidRPr="001479F9" w:rsidRDefault="0010484B" w:rsidP="005E4823">
      <w:pPr>
        <w:spacing w:line="264" w:lineRule="auto"/>
        <w:rPr>
          <w:rFonts w:ascii="Times New Roman" w:hAnsi="Times New Roman" w:cs="Times New Roman"/>
          <w:sz w:val="24"/>
          <w:szCs w:val="24"/>
          <w:lang w:val="sr-Cyrl-RS"/>
        </w:rPr>
      </w:pPr>
    </w:p>
    <w:p w14:paraId="2C3EED1D" w14:textId="77777777" w:rsidR="00BE11F9" w:rsidRPr="001479F9" w:rsidRDefault="00970EFB" w:rsidP="00F36C2B">
      <w:pPr>
        <w:autoSpaceDE w:val="0"/>
        <w:autoSpaceDN w:val="0"/>
        <w:adjustRightInd w:val="0"/>
        <w:spacing w:after="0" w:line="240" w:lineRule="auto"/>
        <w:jc w:val="center"/>
        <w:rPr>
          <w:rFonts w:ascii="Times New Roman" w:hAnsi="Times New Roman" w:cs="Times New Roman"/>
          <w:b/>
          <w:sz w:val="24"/>
          <w:szCs w:val="24"/>
          <w:lang w:val="sr-Cyrl-RS"/>
        </w:rPr>
      </w:pPr>
      <w:r w:rsidRPr="001479F9">
        <w:rPr>
          <w:rFonts w:ascii="Times New Roman" w:hAnsi="Times New Roman" w:cs="Times New Roman"/>
          <w:b/>
          <w:sz w:val="24"/>
          <w:szCs w:val="24"/>
          <w:lang w:val="sr-Cyrl-RS"/>
        </w:rPr>
        <w:t xml:space="preserve">СТРАТЕГИЈУ </w:t>
      </w:r>
    </w:p>
    <w:p w14:paraId="7C20F732" w14:textId="30A45ADF" w:rsidR="00F36C2B" w:rsidRPr="001479F9" w:rsidRDefault="00F36C2B" w:rsidP="00F36C2B">
      <w:pPr>
        <w:autoSpaceDE w:val="0"/>
        <w:autoSpaceDN w:val="0"/>
        <w:adjustRightInd w:val="0"/>
        <w:spacing w:after="0" w:line="240" w:lineRule="auto"/>
        <w:jc w:val="center"/>
        <w:rPr>
          <w:rFonts w:ascii="Times New Roman" w:hAnsi="Times New Roman" w:cs="Times New Roman"/>
          <w:b/>
          <w:sz w:val="24"/>
          <w:szCs w:val="24"/>
          <w:lang w:val="sr-Cyrl-RS"/>
        </w:rPr>
      </w:pPr>
      <w:r w:rsidRPr="001479F9">
        <w:rPr>
          <w:rFonts w:ascii="Times New Roman" w:hAnsi="Times New Roman" w:cs="Times New Roman"/>
          <w:b/>
          <w:sz w:val="24"/>
          <w:szCs w:val="24"/>
          <w:lang w:val="sr-Cyrl-RS"/>
        </w:rPr>
        <w:t>БЕЗБЕДНОСТИ И ЗДРАВЉА НА РАДУ У РЕПУБЛИЦИ СРБИЈИ</w:t>
      </w:r>
    </w:p>
    <w:p w14:paraId="17B8346D" w14:textId="745B3B93" w:rsidR="00F36C2B" w:rsidRPr="001479F9" w:rsidRDefault="00C110F7" w:rsidP="00F36C2B">
      <w:pPr>
        <w:autoSpaceDE w:val="0"/>
        <w:autoSpaceDN w:val="0"/>
        <w:adjustRightInd w:val="0"/>
        <w:spacing w:after="0" w:line="240" w:lineRule="auto"/>
        <w:jc w:val="center"/>
        <w:rPr>
          <w:rFonts w:ascii="Times New Roman" w:hAnsi="Times New Roman" w:cs="Times New Roman"/>
          <w:b/>
          <w:sz w:val="24"/>
          <w:szCs w:val="24"/>
          <w:lang w:val="sr-Cyrl-CS"/>
        </w:rPr>
      </w:pPr>
      <w:r w:rsidRPr="001479F9">
        <w:rPr>
          <w:rFonts w:ascii="Times New Roman" w:hAnsi="Times New Roman" w:cs="Times New Roman"/>
          <w:b/>
          <w:sz w:val="24"/>
          <w:szCs w:val="24"/>
          <w:lang w:val="sr-Cyrl-RS"/>
        </w:rPr>
        <w:t>ЗА ПЕРИОД ОД 2023. ДО 2027</w:t>
      </w:r>
      <w:r w:rsidR="00F36C2B" w:rsidRPr="001479F9">
        <w:rPr>
          <w:rFonts w:ascii="Times New Roman" w:hAnsi="Times New Roman" w:cs="Times New Roman"/>
          <w:b/>
          <w:sz w:val="24"/>
          <w:szCs w:val="24"/>
          <w:lang w:val="sr-Cyrl-RS"/>
        </w:rPr>
        <w:t>. ГОДИНЕ</w:t>
      </w:r>
      <w:r w:rsidR="00F36C2B" w:rsidRPr="001479F9">
        <w:rPr>
          <w:rFonts w:ascii="Times New Roman" w:hAnsi="Times New Roman" w:cs="Times New Roman"/>
          <w:b/>
          <w:sz w:val="24"/>
          <w:szCs w:val="24"/>
        </w:rPr>
        <w:t xml:space="preserve"> </w:t>
      </w:r>
    </w:p>
    <w:p w14:paraId="10BFE56F" w14:textId="77777777" w:rsidR="00F36C2B" w:rsidRPr="001479F9" w:rsidRDefault="00F36C2B" w:rsidP="00F36C2B">
      <w:pPr>
        <w:autoSpaceDE w:val="0"/>
        <w:autoSpaceDN w:val="0"/>
        <w:adjustRightInd w:val="0"/>
        <w:spacing w:after="0" w:line="240" w:lineRule="auto"/>
        <w:jc w:val="center"/>
        <w:rPr>
          <w:rFonts w:ascii="Times New Roman" w:hAnsi="Times New Roman" w:cs="Times New Roman"/>
          <w:b/>
          <w:sz w:val="24"/>
          <w:szCs w:val="24"/>
          <w:lang w:val="sr-Cyrl-CS"/>
        </w:rPr>
      </w:pPr>
      <w:r w:rsidRPr="001479F9">
        <w:rPr>
          <w:rFonts w:ascii="Times New Roman" w:hAnsi="Times New Roman" w:cs="Times New Roman"/>
          <w:b/>
          <w:sz w:val="24"/>
          <w:szCs w:val="24"/>
          <w:lang w:val="sr-Cyrl-CS"/>
        </w:rPr>
        <w:t xml:space="preserve">СА АКЦИОНИМ ПЛАНОМ ЗА ЊЕНО СПРОВОЂЕЊЕ </w:t>
      </w:r>
    </w:p>
    <w:p w14:paraId="6332DB59" w14:textId="77777777" w:rsidR="00F36C2B" w:rsidRPr="001479F9" w:rsidRDefault="00F36C2B" w:rsidP="007022B1">
      <w:pPr>
        <w:spacing w:line="264" w:lineRule="auto"/>
        <w:rPr>
          <w:rFonts w:ascii="Times New Roman" w:hAnsi="Times New Roman" w:cs="Times New Roman"/>
          <w:b/>
          <w:bCs/>
          <w:sz w:val="36"/>
          <w:szCs w:val="36"/>
          <w:lang w:val="sr-Cyrl-RS"/>
        </w:rPr>
      </w:pPr>
    </w:p>
    <w:p w14:paraId="2C641DD8" w14:textId="4B350E1B" w:rsidR="007022B1" w:rsidRPr="001479F9" w:rsidRDefault="00677FE9" w:rsidP="00A44702">
      <w:pPr>
        <w:spacing w:line="264" w:lineRule="auto"/>
        <w:ind w:firstLine="720"/>
        <w:rPr>
          <w:rFonts w:ascii="Times New Roman" w:hAnsi="Times New Roman" w:cs="Times New Roman"/>
          <w:b/>
          <w:sz w:val="24"/>
          <w:szCs w:val="24"/>
          <w:lang w:val="sr-Cyrl-RS"/>
        </w:rPr>
      </w:pPr>
      <w:r w:rsidRPr="001479F9">
        <w:rPr>
          <w:rFonts w:ascii="Times New Roman" w:hAnsi="Times New Roman" w:cs="Times New Roman"/>
          <w:b/>
          <w:sz w:val="24"/>
          <w:szCs w:val="24"/>
          <w:lang w:val="sr-Cyrl-RS"/>
        </w:rPr>
        <w:t xml:space="preserve">1. </w:t>
      </w:r>
      <w:r w:rsidR="007022B1" w:rsidRPr="001479F9">
        <w:rPr>
          <w:rFonts w:ascii="Times New Roman" w:hAnsi="Times New Roman" w:cs="Times New Roman"/>
          <w:b/>
          <w:sz w:val="24"/>
          <w:szCs w:val="24"/>
          <w:lang w:val="sr-Cyrl-RS"/>
        </w:rPr>
        <w:t>У</w:t>
      </w:r>
      <w:r w:rsidR="00F82419" w:rsidRPr="001479F9">
        <w:rPr>
          <w:rFonts w:ascii="Times New Roman" w:hAnsi="Times New Roman" w:cs="Times New Roman"/>
          <w:b/>
          <w:sz w:val="24"/>
          <w:szCs w:val="24"/>
          <w:lang w:val="sr-Cyrl-RS"/>
        </w:rPr>
        <w:t>ВОД</w:t>
      </w:r>
    </w:p>
    <w:p w14:paraId="5595796D" w14:textId="4D0EA13D" w:rsidR="00A44702" w:rsidRPr="001479F9" w:rsidRDefault="00A44702" w:rsidP="00A44702">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 xml:space="preserve">С обзиром да </w:t>
      </w:r>
      <w:r w:rsidRPr="001479F9">
        <w:rPr>
          <w:rFonts w:ascii="Times New Roman" w:hAnsi="Times New Roman" w:cs="Times New Roman"/>
          <w:sz w:val="24"/>
          <w:szCs w:val="24"/>
        </w:rPr>
        <w:t xml:space="preserve">je </w:t>
      </w:r>
      <w:r w:rsidRPr="001479F9">
        <w:rPr>
          <w:rFonts w:ascii="Times New Roman" w:hAnsi="Times New Roman" w:cs="Times New Roman"/>
          <w:sz w:val="24"/>
          <w:szCs w:val="24"/>
          <w:lang w:val="sr-Cyrl-RS"/>
        </w:rPr>
        <w:t xml:space="preserve">документу јавне политике у области безбедности и здравља на раду (Стратегија безбедности и здравља на раду у Републици Србији за период </w:t>
      </w:r>
      <w:r w:rsidR="00395F45" w:rsidRPr="001479F9">
        <w:rPr>
          <w:rFonts w:ascii="Times New Roman" w:hAnsi="Times New Roman" w:cs="Times New Roman"/>
          <w:sz w:val="24"/>
          <w:szCs w:val="24"/>
          <w:lang w:val="sr-Cyrl-RS"/>
        </w:rPr>
        <w:t xml:space="preserve">од 2018. до </w:t>
      </w:r>
      <w:r w:rsidRPr="001479F9">
        <w:rPr>
          <w:rFonts w:ascii="Times New Roman" w:hAnsi="Times New Roman" w:cs="Times New Roman"/>
          <w:sz w:val="24"/>
          <w:szCs w:val="24"/>
          <w:lang w:val="sr-Cyrl-RS"/>
        </w:rPr>
        <w:t xml:space="preserve">2022. године </w:t>
      </w:r>
      <w:r w:rsidR="00395F45" w:rsidRPr="001479F9">
        <w:rPr>
          <w:rFonts w:ascii="Times New Roman" w:hAnsi="Times New Roman" w:cs="Times New Roman"/>
          <w:sz w:val="24"/>
          <w:szCs w:val="24"/>
          <w:lang w:val="sr-Cyrl-RS"/>
        </w:rPr>
        <w:t>са Акционим планом за њено спровођење (</w:t>
      </w:r>
      <w:r w:rsidRPr="001479F9">
        <w:rPr>
          <w:rFonts w:ascii="Times New Roman" w:hAnsi="Times New Roman" w:cs="Times New Roman"/>
          <w:sz w:val="24"/>
          <w:szCs w:val="24"/>
          <w:lang w:val="sr-Cyrl-RS"/>
        </w:rPr>
        <w:t>„Службени гласник РСˮ, број 96/18)</w:t>
      </w:r>
      <w:r w:rsidR="00395F45" w:rsidRPr="001479F9">
        <w:rPr>
          <w:rFonts w:ascii="Times New Roman" w:hAnsi="Times New Roman" w:cs="Times New Roman"/>
          <w:sz w:val="24"/>
          <w:szCs w:val="24"/>
          <w:lang w:val="sr-Cyrl-RS"/>
        </w:rPr>
        <w:t>)</w:t>
      </w:r>
      <w:r w:rsidRPr="001479F9">
        <w:rPr>
          <w:rFonts w:ascii="Times New Roman" w:hAnsi="Times New Roman" w:cs="Times New Roman"/>
          <w:sz w:val="24"/>
          <w:szCs w:val="24"/>
          <w:lang w:val="sr-Cyrl-RS"/>
        </w:rPr>
        <w:t xml:space="preserve"> истекао рок, потребно је остварити континуитет у спровођењу политике безбедности и здравља на раду и наставити са усаглашавањем са стандардима у овој области који важе за државе чланице Европске уније, Министарство за рад, запошљавање, борачка и социјална питања, приступило је изради нове Стратегије безбедности и здравља на раду </w:t>
      </w:r>
      <w:r w:rsidR="00395F45" w:rsidRPr="001479F9">
        <w:rPr>
          <w:rFonts w:ascii="Times New Roman" w:hAnsi="Times New Roman" w:cs="Times New Roman"/>
          <w:sz w:val="24"/>
          <w:szCs w:val="24"/>
          <w:lang w:val="sr-Cyrl-RS"/>
        </w:rPr>
        <w:t xml:space="preserve">у Републици Србији за период од 2023. до </w:t>
      </w:r>
      <w:r w:rsidRPr="001479F9">
        <w:rPr>
          <w:rFonts w:ascii="Times New Roman" w:hAnsi="Times New Roman" w:cs="Times New Roman"/>
          <w:sz w:val="24"/>
          <w:szCs w:val="24"/>
          <w:lang w:val="sr-Cyrl-RS"/>
        </w:rPr>
        <w:t xml:space="preserve">2027. године са Акционим планом за њено спровођење. </w:t>
      </w:r>
    </w:p>
    <w:p w14:paraId="7584AEBB" w14:textId="7698207C" w:rsidR="00A44702" w:rsidRPr="001479F9" w:rsidRDefault="00A44702" w:rsidP="00A44702">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Пандемија COVID-19 указала је на изузетан значај заштите и бриге о здрављу запослених и безбедности радних места. Такође, нови стратешки оквир Европске уније за безбедност и здравље на раду 2021-2027 недвосмислено потврђује и истиче значај унапређења високих здравствених и безбедносних стандарда за запослене у с</w:t>
      </w:r>
      <w:r w:rsidR="00D8695F" w:rsidRPr="001479F9">
        <w:rPr>
          <w:rFonts w:ascii="Times New Roman" w:hAnsi="Times New Roman" w:cs="Times New Roman"/>
          <w:sz w:val="24"/>
          <w:szCs w:val="24"/>
          <w:lang w:val="sr-Cyrl-RS"/>
        </w:rPr>
        <w:t xml:space="preserve">ветлу нових околности и ризика. </w:t>
      </w:r>
      <w:r w:rsidRPr="001479F9">
        <w:rPr>
          <w:rFonts w:ascii="Times New Roman" w:hAnsi="Times New Roman" w:cs="Times New Roman"/>
          <w:sz w:val="24"/>
          <w:szCs w:val="24"/>
          <w:lang w:val="sr-Cyrl-RS"/>
        </w:rPr>
        <w:t>О значењу систематског и целовитог обухвата мера и активности у области јавних политика иде у прилог и то што је реч о документу који има свака чланица ЕУ.</w:t>
      </w:r>
      <w:r w:rsidRPr="001479F9">
        <w:rPr>
          <w:rFonts w:ascii="Times New Roman" w:hAnsi="Times New Roman" w:cs="Times New Roman"/>
          <w:sz w:val="24"/>
          <w:szCs w:val="24"/>
          <w:vertAlign w:val="superscript"/>
          <w:lang w:val="sr-Cyrl-RS"/>
        </w:rPr>
        <w:footnoteReference w:id="1"/>
      </w:r>
    </w:p>
    <w:p w14:paraId="7E3025BB" w14:textId="77777777" w:rsidR="00A44702" w:rsidRPr="001479F9" w:rsidRDefault="00A44702" w:rsidP="00A44702">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 xml:space="preserve">Стога Стратегија безбедности и здравља на раду у Републици Србији за период од 2023. до 2027. године са Акционим планом за њено спровођење (у даљем тексту: Стратегија) представља документ јавне политике којим се на целовит начин утврђују мере и активности у области безбедности и здравља на раду у Републици Србији. </w:t>
      </w:r>
    </w:p>
    <w:p w14:paraId="1824630F" w14:textId="0CE0AA6D" w:rsidR="00A44702" w:rsidRPr="001479F9" w:rsidRDefault="00A44702" w:rsidP="00A44702">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 xml:space="preserve">Подршку изради Стратегије пружила је Међународна организација рада (МОР), у оквиру које су урађене Ex-post анализа Стратегије безбедности и здравља на раду за период </w:t>
      </w:r>
      <w:r w:rsidR="00D8695F" w:rsidRPr="001479F9">
        <w:rPr>
          <w:rFonts w:ascii="Times New Roman" w:hAnsi="Times New Roman" w:cs="Times New Roman"/>
          <w:sz w:val="24"/>
          <w:szCs w:val="24"/>
          <w:lang w:val="sr-Cyrl-RS"/>
        </w:rPr>
        <w:t xml:space="preserve">од 2018. до </w:t>
      </w:r>
      <w:r w:rsidRPr="001479F9">
        <w:rPr>
          <w:rFonts w:ascii="Times New Roman" w:hAnsi="Times New Roman" w:cs="Times New Roman"/>
          <w:sz w:val="24"/>
          <w:szCs w:val="24"/>
          <w:lang w:val="sr-Cyrl-RS"/>
        </w:rPr>
        <w:t>2022. године</w:t>
      </w:r>
      <w:bookmarkStart w:id="0" w:name="_GoBack"/>
      <w:bookmarkEnd w:id="0"/>
      <w:r w:rsidRPr="001479F9">
        <w:rPr>
          <w:rFonts w:ascii="Times New Roman" w:hAnsi="Times New Roman" w:cs="Times New Roman"/>
          <w:sz w:val="24"/>
          <w:szCs w:val="24"/>
          <w:lang w:val="sr-Cyrl-RS"/>
        </w:rPr>
        <w:t xml:space="preserve">. Стратегија, односно предвиђене мере и активности засноване су на анализи спровођења претходне Стратегије за период од 2018. до 2022. године, као и на идентификованим проблемима и изазовима који су се јавили током њене примене, а који се односе на појаву нових ризика, ризика у настајању и уочених и очекиваних промена који утичу на безбедност и здравље на раду укључујући дигиталну </w:t>
      </w:r>
      <w:r w:rsidRPr="001479F9">
        <w:rPr>
          <w:rFonts w:ascii="Times New Roman" w:hAnsi="Times New Roman" w:cs="Times New Roman"/>
          <w:sz w:val="24"/>
          <w:szCs w:val="24"/>
          <w:lang w:val="sr-Cyrl-RS"/>
        </w:rPr>
        <w:lastRenderedPageBreak/>
        <w:t>и зелену транзицију. Ова стратегија одржава</w:t>
      </w:r>
      <w:r w:rsidRPr="001479F9">
        <w:rPr>
          <w:rFonts w:ascii="Arial Nova" w:hAnsi="Arial Nova"/>
          <w:lang w:val="sr-Cyrl-RS"/>
        </w:rPr>
        <w:t xml:space="preserve"> </w:t>
      </w:r>
      <w:r w:rsidRPr="001479F9">
        <w:rPr>
          <w:rFonts w:ascii="Times New Roman" w:hAnsi="Times New Roman" w:cs="Times New Roman"/>
          <w:sz w:val="24"/>
          <w:szCs w:val="24"/>
          <w:lang w:val="sr-Cyrl-RS"/>
        </w:rPr>
        <w:t>континуитет и наслања се на приоритете и мере предвиђене претходном Стратегијом.</w:t>
      </w:r>
      <w:r w:rsidRPr="001479F9">
        <w:rPr>
          <w:rFonts w:ascii="Times New Roman" w:hAnsi="Times New Roman" w:cs="Times New Roman"/>
          <w:sz w:val="24"/>
          <w:szCs w:val="24"/>
          <w:vertAlign w:val="superscript"/>
          <w:lang w:val="sr-Cyrl-RS"/>
        </w:rPr>
        <w:footnoteReference w:id="2"/>
      </w:r>
    </w:p>
    <w:p w14:paraId="46F8EE1F" w14:textId="77777777" w:rsidR="00A44702" w:rsidRPr="001479F9" w:rsidRDefault="00A44702" w:rsidP="00A44702">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Безбедност и здравље на раду је право зајемчено Уставом Републике Србије према коме свако има право на поштовање достојанства своје личности на раду, безбедне и здраве услове на раду, потребну заштиту на раду и нико се ових права не може одрећи. Женама, омладини и особама са инвалидитетом омогућују се посебна права безбедности и здравља на раду и посебни услови рада, у складу са законом. Стратегијом се стварају услови за безбедну и здраву радну средину за више од 2.8 милиона запослених у Републици Србији, односно спречавају се повреде и обољења на раду.</w:t>
      </w:r>
    </w:p>
    <w:p w14:paraId="56D3F387" w14:textId="77777777" w:rsidR="00A44702" w:rsidRPr="001479F9" w:rsidRDefault="00A44702" w:rsidP="00A44702">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Безбедност и здравље на раду има за циљ промоцију и одржавање највишег степена физичког, менталног и социјалног благостања запослених свих занимања, превенцију оштећења здравља запослених чије је здравље нарушено условима рада, заштиту запослених од ризика насталих услед чинилаца штетних по здравље, рад на радном месту и у радној средини који су прилагођени физиолошким и психолошким способностима запослених. Укратко, циљ је прилагођавање посла запосленом и сваког запосленог његовом послу.</w:t>
      </w:r>
    </w:p>
    <w:p w14:paraId="1C325AD6" w14:textId="77777777" w:rsidR="00A44702" w:rsidRPr="001479F9" w:rsidRDefault="00A44702" w:rsidP="00A44702">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Успостављени систем безбедности и здравља на раду ствара безбедну и здраву радну средину која омогућава запосленима да продуктивно раде до одласка у пензију. Посао треба да буде организован да се запосленима очува здравље у највећој могућој мери у складу са природом посла.</w:t>
      </w:r>
    </w:p>
    <w:p w14:paraId="52D38095" w14:textId="6982C84F" w:rsidR="00A44702" w:rsidRPr="001479F9" w:rsidRDefault="00A44702" w:rsidP="00A44702">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Примена и потпуна имплементација безбедности и здравља на раду доприноси повећању продуктивности на радном месту, подстиче економски раст, запошљавање и побољшава функционисање тржишта рада. Према проценама Стратешког оквира ЕУ, несреће и болести стварају трошкове од преко 3,3% БДП-а годишње, док процене показују да је за сваки евро уложен</w:t>
      </w:r>
      <w:r w:rsidR="00F342ED" w:rsidRPr="001479F9">
        <w:rPr>
          <w:rFonts w:ascii="Times New Roman" w:hAnsi="Times New Roman" w:cs="Times New Roman"/>
          <w:sz w:val="24"/>
          <w:szCs w:val="24"/>
          <w:lang w:val="sr-Cyrl-RS"/>
        </w:rPr>
        <w:t xml:space="preserve"> у безбедност и здравље на раду</w:t>
      </w:r>
      <w:r w:rsidRPr="001479F9">
        <w:rPr>
          <w:rFonts w:ascii="Times New Roman" w:hAnsi="Times New Roman" w:cs="Times New Roman"/>
          <w:sz w:val="24"/>
          <w:szCs w:val="24"/>
          <w:lang w:val="sr-Cyrl-RS"/>
        </w:rPr>
        <w:t>, приход за послодавца око два пута већи.</w:t>
      </w:r>
      <w:r w:rsidRPr="001479F9">
        <w:rPr>
          <w:rFonts w:ascii="Times New Roman" w:hAnsi="Times New Roman" w:cs="Times New Roman"/>
          <w:sz w:val="24"/>
          <w:szCs w:val="24"/>
          <w:vertAlign w:val="superscript"/>
          <w:lang w:val="sr-Cyrl-RS"/>
        </w:rPr>
        <w:footnoteReference w:id="3"/>
      </w:r>
    </w:p>
    <w:p w14:paraId="16F8C0DA" w14:textId="4838B83D" w:rsidR="00A44702" w:rsidRPr="001479F9" w:rsidRDefault="00A44702" w:rsidP="001B50DF">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У процесу спровођења ове јавне политике, у њеном креирању и реализацији, морају активно бити укључени, поред доносиоца одлука, и представници социјалних партнера, удружења грађана</w:t>
      </w:r>
      <w:r w:rsidR="00954EC3" w:rsidRPr="001479F9">
        <w:rPr>
          <w:rFonts w:ascii="Times New Roman" w:hAnsi="Times New Roman" w:cs="Times New Roman"/>
          <w:sz w:val="24"/>
          <w:szCs w:val="24"/>
          <w:lang w:val="sr-Cyrl-RS"/>
        </w:rPr>
        <w:t>,</w:t>
      </w:r>
      <w:r w:rsidRPr="001479F9">
        <w:rPr>
          <w:rFonts w:ascii="Times New Roman" w:hAnsi="Times New Roman" w:cs="Times New Roman"/>
          <w:sz w:val="24"/>
          <w:szCs w:val="24"/>
          <w:lang w:val="sr-Cyrl-RS"/>
        </w:rPr>
        <w:t xml:space="preserve"> невладиних организација, научноистраживачких установа и стручних организација, који би својим активним учешћем дали допринос у реализацији овог стратешког циља. Успешност система безбедности и здравља на раду заснива се на ефикасним мерама које послодавци обезбеђују запосленима у циљу превенције повреда на раду и професионалних болести. Такође, запослени својим ставовима и понашањем утичу на сопствену и безбедност и здравље на раду осталих учесника у процесу рада, односно уживалаца права на безбедност и здравље на раду. </w:t>
      </w:r>
    </w:p>
    <w:p w14:paraId="41ADEB4E" w14:textId="28AEE111" w:rsidR="000F5CD5" w:rsidRPr="00EA0EA6" w:rsidRDefault="00A44702" w:rsidP="001B50DF">
      <w:pPr>
        <w:spacing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 xml:space="preserve">Влада Републике Србије, у сарадњи са репрезентативним организацијама запослених и послодаваца, </w:t>
      </w:r>
      <w:r w:rsidR="00CD6582" w:rsidRPr="001479F9">
        <w:rPr>
          <w:rFonts w:ascii="Times New Roman" w:hAnsi="Times New Roman" w:cs="Times New Roman"/>
          <w:sz w:val="24"/>
          <w:szCs w:val="24"/>
          <w:lang w:val="sr-Cyrl-RS"/>
        </w:rPr>
        <w:t xml:space="preserve">научноистраживачких установа и стручних организација, </w:t>
      </w:r>
      <w:r w:rsidRPr="00EA0EA6">
        <w:rPr>
          <w:rFonts w:ascii="Times New Roman" w:hAnsi="Times New Roman" w:cs="Times New Roman"/>
          <w:sz w:val="24"/>
          <w:szCs w:val="24"/>
          <w:lang w:val="sr-Cyrl-RS"/>
        </w:rPr>
        <w:t>кроз ову стратегију утврђује реалне и достижне циљеве за унапређење безбедности и здравља на раду.</w:t>
      </w:r>
    </w:p>
    <w:p w14:paraId="71833519" w14:textId="479B6D3C" w:rsidR="00D849AA" w:rsidRPr="001479F9" w:rsidRDefault="00913FFD" w:rsidP="00EA0EA6">
      <w:pPr>
        <w:spacing w:line="264" w:lineRule="auto"/>
        <w:ind w:firstLine="720"/>
        <w:rPr>
          <w:rFonts w:ascii="Times New Roman" w:hAnsi="Times New Roman" w:cs="Times New Roman"/>
          <w:b/>
          <w:sz w:val="24"/>
          <w:szCs w:val="24"/>
          <w:lang w:val="sr-Cyrl-RS"/>
        </w:rPr>
      </w:pPr>
      <w:r w:rsidRPr="001479F9">
        <w:rPr>
          <w:rFonts w:ascii="Times New Roman" w:hAnsi="Times New Roman" w:cs="Times New Roman"/>
          <w:b/>
          <w:sz w:val="24"/>
          <w:szCs w:val="24"/>
          <w:lang w:val="sr-Cyrl-RS"/>
        </w:rPr>
        <w:lastRenderedPageBreak/>
        <w:t>2. ПРАВНИ ОКВИР</w:t>
      </w:r>
      <w:r w:rsidR="00D849AA" w:rsidRPr="001479F9">
        <w:rPr>
          <w:rFonts w:ascii="Times New Roman" w:hAnsi="Times New Roman" w:cs="Times New Roman"/>
          <w:b/>
          <w:sz w:val="24"/>
          <w:szCs w:val="24"/>
          <w:lang w:val="sr-Cyrl-RS"/>
        </w:rPr>
        <w:t xml:space="preserve"> И</w:t>
      </w:r>
      <w:r w:rsidRPr="001479F9">
        <w:rPr>
          <w:rFonts w:ascii="Times New Roman" w:hAnsi="Times New Roman" w:cs="Times New Roman"/>
          <w:b/>
          <w:sz w:val="24"/>
          <w:szCs w:val="24"/>
          <w:lang w:val="sr-Cyrl-RS"/>
        </w:rPr>
        <w:t xml:space="preserve"> </w:t>
      </w:r>
      <w:r w:rsidR="00D849AA" w:rsidRPr="001479F9">
        <w:rPr>
          <w:rFonts w:ascii="Times New Roman" w:hAnsi="Times New Roman" w:cs="Times New Roman"/>
          <w:b/>
          <w:sz w:val="24"/>
          <w:szCs w:val="24"/>
          <w:lang w:val="sr-Cyrl-RS"/>
        </w:rPr>
        <w:t xml:space="preserve">ПЛАНСКИ ДОКУМЕНТИ </w:t>
      </w:r>
    </w:p>
    <w:p w14:paraId="36F75992" w14:textId="2FD17E4E" w:rsidR="00D849AA" w:rsidRPr="001479F9" w:rsidRDefault="00D849AA" w:rsidP="00E55287">
      <w:pPr>
        <w:spacing w:after="120" w:line="264" w:lineRule="auto"/>
        <w:ind w:firstLine="720"/>
        <w:jc w:val="both"/>
        <w:rPr>
          <w:rFonts w:ascii="Times New Roman" w:hAnsi="Times New Roman" w:cs="Times New Roman"/>
          <w:b/>
          <w:sz w:val="24"/>
          <w:szCs w:val="24"/>
          <w:lang w:val="sr-Cyrl-RS"/>
        </w:rPr>
      </w:pPr>
      <w:r w:rsidRPr="001479F9">
        <w:rPr>
          <w:rFonts w:ascii="Times New Roman" w:hAnsi="Times New Roman" w:cs="Times New Roman"/>
          <w:b/>
          <w:sz w:val="24"/>
          <w:szCs w:val="24"/>
          <w:lang w:val="sr-Cyrl-RS"/>
        </w:rPr>
        <w:t xml:space="preserve">2.1. </w:t>
      </w:r>
      <w:bookmarkStart w:id="1" w:name="_Toc126746510"/>
      <w:r w:rsidRPr="001479F9">
        <w:rPr>
          <w:rFonts w:ascii="Times New Roman" w:hAnsi="Times New Roman" w:cs="Times New Roman"/>
          <w:b/>
          <w:sz w:val="24"/>
          <w:szCs w:val="24"/>
          <w:lang w:val="sr-Cyrl-RS"/>
        </w:rPr>
        <w:t>Плански оквир релевантан за Стратегију</w:t>
      </w:r>
      <w:bookmarkEnd w:id="1"/>
    </w:p>
    <w:p w14:paraId="4A33FE45" w14:textId="3CC4F904" w:rsidR="00D849AA" w:rsidRPr="001479F9" w:rsidRDefault="00D849AA" w:rsidP="00E55287">
      <w:pPr>
        <w:spacing w:after="120" w:line="264" w:lineRule="auto"/>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Претходна Стратегија безбедности и здравља на раду у Републици Србији за период од 2018. до 2022. године са Акционим планом за њено спровођењ</w:t>
      </w:r>
      <w:r w:rsidR="00D0671C" w:rsidRPr="001479F9">
        <w:rPr>
          <w:rFonts w:ascii="Times New Roman" w:hAnsi="Times New Roman" w:cs="Times New Roman"/>
          <w:sz w:val="24"/>
          <w:szCs w:val="24"/>
          <w:lang w:val="sr-Cyrl-RS"/>
        </w:rPr>
        <w:t>е (</w:t>
      </w:r>
      <w:r w:rsidR="00D0671C" w:rsidRPr="001479F9">
        <w:rPr>
          <w:rFonts w:ascii="Times New Roman" w:hAnsi="Times New Roman" w:cs="Times New Roman"/>
          <w:sz w:val="24"/>
          <w:szCs w:val="24"/>
          <w:lang w:val="sr-Cyrl-CS"/>
        </w:rPr>
        <w:t>,,</w:t>
      </w:r>
      <w:r w:rsidR="00D0671C" w:rsidRPr="001479F9">
        <w:rPr>
          <w:rFonts w:ascii="Times New Roman" w:hAnsi="Times New Roman" w:cs="Times New Roman"/>
          <w:sz w:val="24"/>
          <w:szCs w:val="24"/>
          <w:lang w:val="sr-Cyrl-RS"/>
        </w:rPr>
        <w:t>Службени гласник РС</w:t>
      </w:r>
      <w:r w:rsidR="00D0671C" w:rsidRPr="001479F9">
        <w:rPr>
          <w:rFonts w:ascii="Times New Roman" w:hAnsi="Times New Roman" w:cs="Times New Roman"/>
          <w:sz w:val="24"/>
          <w:szCs w:val="24"/>
          <w:lang w:val="sr-Cyrl-CS"/>
        </w:rPr>
        <w:t>”</w:t>
      </w:r>
      <w:r w:rsidR="00AC77DB" w:rsidRPr="001479F9">
        <w:rPr>
          <w:rFonts w:ascii="Times New Roman" w:hAnsi="Times New Roman" w:cs="Times New Roman"/>
          <w:sz w:val="24"/>
          <w:szCs w:val="24"/>
          <w:lang w:val="sr-Cyrl-RS"/>
        </w:rPr>
        <w:t xml:space="preserve">, број 96/18) </w:t>
      </w:r>
      <w:r w:rsidRPr="001479F9">
        <w:rPr>
          <w:rFonts w:ascii="Times New Roman" w:hAnsi="Times New Roman" w:cs="Times New Roman"/>
          <w:sz w:val="24"/>
          <w:szCs w:val="24"/>
          <w:lang w:val="sr-Cyrl-RS"/>
        </w:rPr>
        <w:t xml:space="preserve">представљала је национални програм Владе којим су на целовит начин обухваћена питања безбедности и здравља на раду. Општи циљ Стратегије безбедности и здравља на раду у Републици Србији за период од 2018. до 2022. године са Акционим планом за њено спровођење био је унапређење безбедности на раду и очување здравља радно активног становништва, односно унапређење услова рада ради спречавања повреда на раду, професионалних болести и болести у вези са радом и њиховог свођења на најмању могућу меру, односно отклањање или смањење професионалних ризика. Стратегијом је постављен циљ смањења броја повреда на раду за 5 %, у односу на укупан број повреда на раду за претходни петогодишњи период спровођења Стратегије, према евиденцији коју води Инспекторат за рад. </w:t>
      </w:r>
    </w:p>
    <w:p w14:paraId="07965A5E" w14:textId="77777777" w:rsidR="007A292A" w:rsidRPr="001479F9" w:rsidRDefault="00D849AA" w:rsidP="00E55287">
      <w:pPr>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 xml:space="preserve">Стратегија </w:t>
      </w:r>
      <w:r w:rsidR="007A292A" w:rsidRPr="001479F9">
        <w:rPr>
          <w:rFonts w:ascii="Times New Roman" w:hAnsi="Times New Roman" w:cs="Times New Roman"/>
          <w:sz w:val="24"/>
          <w:szCs w:val="24"/>
          <w:lang w:val="sr-Cyrl-RS"/>
        </w:rPr>
        <w:t>је садржала и три посебна циља:</w:t>
      </w:r>
    </w:p>
    <w:p w14:paraId="485E212D" w14:textId="77777777" w:rsidR="007A292A" w:rsidRPr="001479F9" w:rsidRDefault="00D849AA" w:rsidP="00E55287">
      <w:pPr>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1) унапређење</w:t>
      </w:r>
      <w:r w:rsidR="007A292A" w:rsidRPr="001479F9">
        <w:rPr>
          <w:rFonts w:ascii="Times New Roman" w:hAnsi="Times New Roman" w:cs="Times New Roman"/>
          <w:sz w:val="24"/>
          <w:szCs w:val="24"/>
          <w:lang w:val="sr-Cyrl-RS"/>
        </w:rPr>
        <w:t xml:space="preserve"> безбедности и здравља на раду; </w:t>
      </w:r>
    </w:p>
    <w:p w14:paraId="37CF271A" w14:textId="77777777" w:rsidR="007A292A" w:rsidRPr="001479F9" w:rsidRDefault="00D849AA" w:rsidP="00E55287">
      <w:pPr>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t xml:space="preserve">2) превенција повреда на раду и професионалних болести; </w:t>
      </w:r>
    </w:p>
    <w:p w14:paraId="4073F209" w14:textId="77777777" w:rsidR="007A292A" w:rsidRPr="001479F9" w:rsidRDefault="00D849AA" w:rsidP="00E55287">
      <w:pPr>
        <w:ind w:firstLine="720"/>
        <w:jc w:val="both"/>
        <w:rPr>
          <w:rFonts w:ascii="Times New Roman" w:hAnsi="Times New Roman" w:cs="Times New Roman"/>
          <w:b/>
          <w:bCs/>
          <w:sz w:val="24"/>
          <w:szCs w:val="24"/>
          <w:lang w:val="sr-Cyrl-RS"/>
        </w:rPr>
      </w:pPr>
      <w:r w:rsidRPr="001479F9">
        <w:rPr>
          <w:rFonts w:ascii="Times New Roman" w:hAnsi="Times New Roman" w:cs="Times New Roman"/>
          <w:sz w:val="24"/>
          <w:szCs w:val="24"/>
          <w:lang w:val="sr-Cyrl-RS"/>
        </w:rPr>
        <w:t>3) унапређење евиденције о повредама на раду</w:t>
      </w:r>
      <w:r w:rsidRPr="001479F9">
        <w:rPr>
          <w:rFonts w:ascii="Times New Roman" w:hAnsi="Times New Roman" w:cs="Times New Roman"/>
          <w:bCs/>
          <w:sz w:val="24"/>
          <w:szCs w:val="24"/>
          <w:lang w:val="sr-Cyrl-RS"/>
        </w:rPr>
        <w:t xml:space="preserve">. </w:t>
      </w:r>
    </w:p>
    <w:p w14:paraId="47AE7ACD" w14:textId="671F8D13" w:rsidR="00D849AA" w:rsidRPr="001479F9" w:rsidRDefault="00D849AA" w:rsidP="00E55287">
      <w:pPr>
        <w:ind w:firstLine="720"/>
        <w:jc w:val="both"/>
        <w:rPr>
          <w:rFonts w:ascii="Times New Roman" w:hAnsi="Times New Roman" w:cs="Times New Roman"/>
          <w:sz w:val="24"/>
          <w:szCs w:val="24"/>
        </w:rPr>
      </w:pPr>
      <w:r w:rsidRPr="001479F9">
        <w:rPr>
          <w:rFonts w:ascii="Times New Roman" w:hAnsi="Times New Roman" w:cs="Times New Roman"/>
          <w:bCs/>
          <w:sz w:val="24"/>
          <w:szCs w:val="24"/>
          <w:lang w:val="sr-Cyrl-RS"/>
        </w:rPr>
        <w:t xml:space="preserve">Ради остварења посебних циљева, формулисано је 8 мера </w:t>
      </w:r>
      <w:r w:rsidRPr="001479F9">
        <w:rPr>
          <w:rFonts w:ascii="Times New Roman" w:hAnsi="Times New Roman" w:cs="Times New Roman"/>
          <w:bCs/>
          <w:sz w:val="24"/>
          <w:szCs w:val="24"/>
        </w:rPr>
        <w:t>(Т</w:t>
      </w:r>
      <w:r w:rsidRPr="001479F9">
        <w:rPr>
          <w:rFonts w:ascii="Times New Roman" w:hAnsi="Times New Roman" w:cs="Times New Roman"/>
          <w:bCs/>
          <w:sz w:val="24"/>
          <w:szCs w:val="24"/>
          <w:lang w:val="sr-Cyrl-RS"/>
        </w:rPr>
        <w:t>абела 1</w:t>
      </w:r>
      <w:r w:rsidRPr="001479F9">
        <w:rPr>
          <w:rFonts w:ascii="Times New Roman" w:hAnsi="Times New Roman" w:cs="Times New Roman"/>
          <w:bCs/>
          <w:sz w:val="24"/>
          <w:szCs w:val="24"/>
        </w:rPr>
        <w:t>),</w:t>
      </w:r>
      <w:r w:rsidRPr="001479F9">
        <w:rPr>
          <w:rFonts w:ascii="Times New Roman" w:hAnsi="Times New Roman" w:cs="Times New Roman"/>
          <w:bCs/>
          <w:sz w:val="24"/>
          <w:szCs w:val="24"/>
          <w:lang w:val="sr-Cyrl-RS"/>
        </w:rPr>
        <w:t xml:space="preserve"> односно 21 активност.</w:t>
      </w:r>
      <w:r w:rsidRPr="001479F9">
        <w:rPr>
          <w:rStyle w:val="FootnoteReference"/>
          <w:rFonts w:ascii="Times New Roman" w:hAnsi="Times New Roman" w:cs="Times New Roman"/>
          <w:bCs/>
          <w:sz w:val="24"/>
          <w:szCs w:val="24"/>
          <w:lang w:val="sr-Cyrl-RS"/>
        </w:rPr>
        <w:footnoteReference w:id="4"/>
      </w:r>
      <w:r w:rsidRPr="001479F9">
        <w:rPr>
          <w:rFonts w:ascii="Times New Roman" w:hAnsi="Times New Roman" w:cs="Times New Roman"/>
          <w:sz w:val="24"/>
          <w:szCs w:val="24"/>
          <w:lang w:val="sr-Cyrl-RS"/>
        </w:rPr>
        <w:t xml:space="preserve"> Спровођење мера и активности било је отежано услед пандемије COVID-19 и ограничени</w:t>
      </w:r>
      <w:r w:rsidRPr="001479F9">
        <w:rPr>
          <w:rFonts w:ascii="Times New Roman" w:hAnsi="Times New Roman" w:cs="Times New Roman"/>
          <w:sz w:val="24"/>
          <w:szCs w:val="24"/>
        </w:rPr>
        <w:t>х</w:t>
      </w:r>
      <w:r w:rsidRPr="001479F9">
        <w:rPr>
          <w:rFonts w:ascii="Times New Roman" w:hAnsi="Times New Roman" w:cs="Times New Roman"/>
          <w:sz w:val="24"/>
          <w:szCs w:val="24"/>
          <w:lang w:val="sr-Cyrl-RS"/>
        </w:rPr>
        <w:t xml:space="preserve"> ресурса. Стога</w:t>
      </w:r>
      <w:r w:rsidRPr="001479F9">
        <w:rPr>
          <w:rFonts w:ascii="Times New Roman" w:hAnsi="Times New Roman" w:cs="Times New Roman"/>
          <w:sz w:val="24"/>
          <w:szCs w:val="24"/>
        </w:rPr>
        <w:t>,</w:t>
      </w:r>
      <w:r w:rsidRPr="001479F9">
        <w:rPr>
          <w:rFonts w:ascii="Times New Roman" w:hAnsi="Times New Roman" w:cs="Times New Roman"/>
          <w:sz w:val="24"/>
          <w:szCs w:val="24"/>
          <w:lang w:val="sr-Cyrl-RS"/>
        </w:rPr>
        <w:t xml:space="preserve"> део мера и активности предвиђених Стратегијом није или није </w:t>
      </w:r>
      <w:r w:rsidRPr="001479F9">
        <w:rPr>
          <w:rFonts w:ascii="Times New Roman" w:hAnsi="Times New Roman" w:cs="Times New Roman"/>
          <w:sz w:val="24"/>
          <w:szCs w:val="24"/>
        </w:rPr>
        <w:t>у потпуности</w:t>
      </w:r>
      <w:r w:rsidRPr="001479F9">
        <w:rPr>
          <w:rFonts w:ascii="Times New Roman" w:hAnsi="Times New Roman" w:cs="Times New Roman"/>
          <w:sz w:val="24"/>
          <w:szCs w:val="24"/>
          <w:lang w:val="sr-Cyrl-RS"/>
        </w:rPr>
        <w:t xml:space="preserve"> спроведено. </w:t>
      </w:r>
      <w:r w:rsidRPr="001479F9">
        <w:rPr>
          <w:rFonts w:ascii="Times New Roman" w:hAnsi="Times New Roman" w:cs="Times New Roman"/>
          <w:bCs/>
          <w:sz w:val="24"/>
          <w:szCs w:val="24"/>
          <w:lang w:val="sr-Cyrl-RS"/>
        </w:rPr>
        <w:t>Од укупног броја активности (21), 1</w:t>
      </w:r>
      <w:r w:rsidRPr="001479F9">
        <w:rPr>
          <w:rFonts w:ascii="Times New Roman" w:hAnsi="Times New Roman" w:cs="Times New Roman"/>
          <w:bCs/>
          <w:sz w:val="24"/>
          <w:szCs w:val="24"/>
        </w:rPr>
        <w:t>0</w:t>
      </w:r>
      <w:r w:rsidRPr="001479F9">
        <w:rPr>
          <w:rFonts w:ascii="Times New Roman" w:hAnsi="Times New Roman" w:cs="Times New Roman"/>
          <w:bCs/>
          <w:sz w:val="24"/>
          <w:szCs w:val="24"/>
          <w:lang w:val="sr-Cyrl-RS"/>
        </w:rPr>
        <w:t xml:space="preserve"> активности није спроведено, док су четири мере делимично спроведене</w:t>
      </w:r>
      <w:r w:rsidRPr="001479F9">
        <w:rPr>
          <w:rFonts w:ascii="Times New Roman" w:hAnsi="Times New Roman" w:cs="Times New Roman"/>
          <w:sz w:val="24"/>
          <w:szCs w:val="24"/>
          <w:lang w:val="sr-Cyrl-RS"/>
        </w:rPr>
        <w:t xml:space="preserve">. </w:t>
      </w:r>
    </w:p>
    <w:p w14:paraId="0BA9ED3B" w14:textId="4FD8D95A" w:rsidR="00D849AA" w:rsidRPr="001479F9" w:rsidRDefault="00D849AA" w:rsidP="00E55287">
      <w:pPr>
        <w:ind w:firstLine="720"/>
        <w:jc w:val="both"/>
        <w:rPr>
          <w:rFonts w:ascii="Times New Roman" w:hAnsi="Times New Roman" w:cs="Times New Roman"/>
          <w:sz w:val="24"/>
          <w:szCs w:val="24"/>
        </w:rPr>
      </w:pPr>
      <w:r w:rsidRPr="001479F9">
        <w:rPr>
          <w:rFonts w:ascii="Times New Roman" w:hAnsi="Times New Roman" w:cs="Times New Roman"/>
          <w:sz w:val="24"/>
          <w:szCs w:val="24"/>
          <w:lang w:val="sr-Cyrl-RS"/>
        </w:rPr>
        <w:t>Новом Стратегијом се уводе нове, и редефинишу одређене мере из претходне стратегије, док је неколико мера преузето како би се спровеле у наредном периоду. Пре свега то су мере које се односе на увођење е-алата за самооцењивање, унапређење правног оквир</w:t>
      </w:r>
      <w:r w:rsidR="007A292A" w:rsidRPr="001479F9">
        <w:rPr>
          <w:rFonts w:ascii="Times New Roman" w:hAnsi="Times New Roman" w:cs="Times New Roman"/>
          <w:sz w:val="24"/>
          <w:szCs w:val="24"/>
          <w:lang w:val="sr-Cyrl-RS"/>
        </w:rPr>
        <w:t>а</w:t>
      </w:r>
      <w:r w:rsidRPr="001479F9">
        <w:rPr>
          <w:rFonts w:ascii="Times New Roman" w:hAnsi="Times New Roman" w:cs="Times New Roman"/>
          <w:sz w:val="24"/>
          <w:szCs w:val="24"/>
          <w:lang w:val="sr-Cyrl-RS"/>
        </w:rPr>
        <w:t xml:space="preserve"> и увођење јединственог Регистра повреда на раду.</w:t>
      </w:r>
      <w:r w:rsidRPr="001479F9">
        <w:rPr>
          <w:rFonts w:ascii="Times New Roman" w:hAnsi="Times New Roman" w:cs="Times New Roman"/>
          <w:sz w:val="24"/>
          <w:szCs w:val="24"/>
        </w:rPr>
        <w:t xml:space="preserve"> </w:t>
      </w:r>
    </w:p>
    <w:p w14:paraId="10FEB359" w14:textId="1BD42639" w:rsidR="00D849AA" w:rsidRPr="008C26F1" w:rsidRDefault="00D849AA" w:rsidP="000B1966">
      <w:pPr>
        <w:ind w:firstLine="720"/>
        <w:jc w:val="both"/>
        <w:rPr>
          <w:rFonts w:ascii="Times New Roman" w:hAnsi="Times New Roman" w:cs="Times New Roman"/>
          <w:b/>
          <w:i/>
          <w:sz w:val="24"/>
          <w:szCs w:val="24"/>
          <w:lang w:val="sr-Cyrl-RS"/>
        </w:rPr>
      </w:pPr>
      <w:bookmarkStart w:id="2" w:name="_Hlk126738174"/>
      <w:r w:rsidRPr="008C26F1">
        <w:rPr>
          <w:rFonts w:ascii="Times New Roman" w:hAnsi="Times New Roman" w:cs="Times New Roman"/>
          <w:b/>
          <w:i/>
          <w:sz w:val="24"/>
          <w:szCs w:val="24"/>
          <w:lang w:val="sr-Cyrl-RS"/>
        </w:rPr>
        <w:t xml:space="preserve">Табела </w:t>
      </w:r>
      <w:r w:rsidRPr="008C26F1">
        <w:rPr>
          <w:rFonts w:ascii="Times New Roman" w:hAnsi="Times New Roman" w:cs="Times New Roman"/>
          <w:b/>
          <w:i/>
          <w:sz w:val="24"/>
          <w:szCs w:val="24"/>
          <w:lang w:val="sr-Cyrl-RS"/>
        </w:rPr>
        <w:fldChar w:fldCharType="begin"/>
      </w:r>
      <w:r w:rsidRPr="008C26F1">
        <w:rPr>
          <w:rFonts w:ascii="Times New Roman" w:hAnsi="Times New Roman" w:cs="Times New Roman"/>
          <w:b/>
          <w:i/>
          <w:sz w:val="24"/>
          <w:szCs w:val="24"/>
          <w:lang w:val="sr-Cyrl-RS"/>
        </w:rPr>
        <w:instrText xml:space="preserve"> SEQ Табела \* ARABIC </w:instrText>
      </w:r>
      <w:r w:rsidRPr="008C26F1">
        <w:rPr>
          <w:rFonts w:ascii="Times New Roman" w:hAnsi="Times New Roman" w:cs="Times New Roman"/>
          <w:b/>
          <w:i/>
          <w:sz w:val="24"/>
          <w:szCs w:val="24"/>
          <w:lang w:val="sr-Cyrl-RS"/>
        </w:rPr>
        <w:fldChar w:fldCharType="separate"/>
      </w:r>
      <w:r w:rsidRPr="008C26F1">
        <w:rPr>
          <w:rFonts w:ascii="Times New Roman" w:hAnsi="Times New Roman" w:cs="Times New Roman"/>
          <w:b/>
          <w:i/>
          <w:noProof/>
          <w:sz w:val="24"/>
          <w:szCs w:val="24"/>
          <w:lang w:val="sr-Cyrl-RS"/>
        </w:rPr>
        <w:t>1</w:t>
      </w:r>
      <w:r w:rsidRPr="008C26F1">
        <w:rPr>
          <w:rFonts w:ascii="Times New Roman" w:hAnsi="Times New Roman" w:cs="Times New Roman"/>
          <w:b/>
          <w:i/>
          <w:sz w:val="24"/>
          <w:szCs w:val="24"/>
          <w:lang w:val="sr-Cyrl-RS"/>
        </w:rPr>
        <w:fldChar w:fldCharType="end"/>
      </w:r>
      <w:r w:rsidR="00FC51AE" w:rsidRPr="008C26F1">
        <w:rPr>
          <w:rFonts w:ascii="Times New Roman" w:hAnsi="Times New Roman" w:cs="Times New Roman"/>
          <w:b/>
          <w:i/>
          <w:sz w:val="24"/>
          <w:szCs w:val="24"/>
          <w:lang w:val="sr-Latn-RS"/>
        </w:rPr>
        <w:t>:</w:t>
      </w:r>
      <w:r w:rsidRPr="008C26F1">
        <w:rPr>
          <w:rFonts w:ascii="Times New Roman" w:hAnsi="Times New Roman" w:cs="Times New Roman"/>
          <w:b/>
          <w:i/>
          <w:sz w:val="24"/>
          <w:szCs w:val="24"/>
        </w:rPr>
        <w:t xml:space="preserve"> Посебни циљеви и мере предвиђене Стратегијом за период </w:t>
      </w:r>
      <w:r w:rsidR="000B1966" w:rsidRPr="008C26F1">
        <w:rPr>
          <w:rFonts w:ascii="Times New Roman" w:hAnsi="Times New Roman" w:cs="Times New Roman"/>
          <w:b/>
          <w:i/>
          <w:sz w:val="24"/>
          <w:szCs w:val="24"/>
          <w:lang w:val="sr-Cyrl-RS"/>
        </w:rPr>
        <w:t xml:space="preserve">од </w:t>
      </w:r>
      <w:r w:rsidR="000B1966" w:rsidRPr="008C26F1">
        <w:rPr>
          <w:rFonts w:ascii="Times New Roman" w:hAnsi="Times New Roman" w:cs="Times New Roman"/>
          <w:b/>
          <w:i/>
          <w:sz w:val="24"/>
          <w:szCs w:val="24"/>
        </w:rPr>
        <w:t xml:space="preserve">2018. </w:t>
      </w:r>
      <w:proofErr w:type="gramStart"/>
      <w:r w:rsidR="000B1966" w:rsidRPr="008C26F1">
        <w:rPr>
          <w:rFonts w:ascii="Times New Roman" w:hAnsi="Times New Roman" w:cs="Times New Roman"/>
          <w:b/>
          <w:i/>
          <w:sz w:val="24"/>
          <w:szCs w:val="24"/>
        </w:rPr>
        <w:t>до</w:t>
      </w:r>
      <w:proofErr w:type="gramEnd"/>
      <w:r w:rsidR="000B1966" w:rsidRPr="008C26F1">
        <w:rPr>
          <w:rFonts w:ascii="Times New Roman" w:hAnsi="Times New Roman" w:cs="Times New Roman"/>
          <w:b/>
          <w:i/>
          <w:sz w:val="24"/>
          <w:szCs w:val="24"/>
        </w:rPr>
        <w:t xml:space="preserve"> </w:t>
      </w:r>
      <w:r w:rsidRPr="008C26F1">
        <w:rPr>
          <w:rFonts w:ascii="Times New Roman" w:hAnsi="Times New Roman" w:cs="Times New Roman"/>
          <w:b/>
          <w:i/>
          <w:sz w:val="24"/>
          <w:szCs w:val="24"/>
        </w:rPr>
        <w:t>2022</w:t>
      </w:r>
      <w:r w:rsidR="000B1966" w:rsidRPr="008C26F1">
        <w:rPr>
          <w:rFonts w:ascii="Times New Roman" w:hAnsi="Times New Roman" w:cs="Times New Roman"/>
          <w:b/>
          <w:i/>
          <w:sz w:val="24"/>
          <w:szCs w:val="24"/>
          <w:lang w:val="sr-Cyrl-RS"/>
        </w:rPr>
        <w:t>. године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479F9" w:rsidRPr="001479F9" w14:paraId="4146794B" w14:textId="77777777" w:rsidTr="0022205E">
        <w:trPr>
          <w:trHeight w:val="20"/>
          <w:jc w:val="center"/>
        </w:trPr>
        <w:tc>
          <w:tcPr>
            <w:tcW w:w="9017" w:type="dxa"/>
            <w:shd w:val="clear" w:color="auto" w:fill="FFC000"/>
            <w:vAlign w:val="center"/>
            <w:hideMark/>
          </w:tcPr>
          <w:p w14:paraId="163318AE" w14:textId="77777777" w:rsidR="00D849AA" w:rsidRPr="001479F9" w:rsidRDefault="00D849AA" w:rsidP="0022205E">
            <w:pPr>
              <w:spacing w:after="0" w:line="240" w:lineRule="auto"/>
              <w:rPr>
                <w:rFonts w:ascii="Times New Roman" w:hAnsi="Times New Roman" w:cs="Times New Roman"/>
                <w:b/>
                <w:bCs/>
                <w:sz w:val="24"/>
                <w:szCs w:val="24"/>
                <w:lang w:val="en-GB" w:eastAsia="en-GB"/>
              </w:rPr>
            </w:pPr>
            <w:r w:rsidRPr="001479F9">
              <w:rPr>
                <w:rFonts w:ascii="Times New Roman" w:hAnsi="Times New Roman" w:cs="Times New Roman"/>
                <w:b/>
                <w:bCs/>
                <w:sz w:val="24"/>
                <w:szCs w:val="24"/>
                <w:lang w:val="sr-Cyrl-CS" w:eastAsia="en-GB"/>
              </w:rPr>
              <w:t xml:space="preserve">Посебан циљ </w:t>
            </w:r>
            <w:r w:rsidRPr="001479F9">
              <w:rPr>
                <w:rFonts w:ascii="Times New Roman" w:hAnsi="Times New Roman" w:cs="Times New Roman"/>
                <w:b/>
                <w:bCs/>
                <w:sz w:val="24"/>
                <w:szCs w:val="24"/>
                <w:lang w:eastAsia="en-GB"/>
              </w:rPr>
              <w:t>1</w:t>
            </w:r>
            <w:r w:rsidRPr="001479F9">
              <w:rPr>
                <w:rFonts w:ascii="Times New Roman" w:hAnsi="Times New Roman" w:cs="Times New Roman"/>
                <w:b/>
                <w:bCs/>
                <w:sz w:val="24"/>
                <w:szCs w:val="24"/>
                <w:lang w:val="sr-Cyrl-CS" w:eastAsia="en-GB"/>
              </w:rPr>
              <w:t>: Унапређење безбедности и здравља на раду</w:t>
            </w:r>
          </w:p>
        </w:tc>
      </w:tr>
      <w:tr w:rsidR="001479F9" w:rsidRPr="001479F9" w14:paraId="13382CF0" w14:textId="77777777" w:rsidTr="0022205E">
        <w:trPr>
          <w:trHeight w:val="20"/>
          <w:jc w:val="center"/>
        </w:trPr>
        <w:tc>
          <w:tcPr>
            <w:tcW w:w="9017" w:type="dxa"/>
            <w:shd w:val="clear" w:color="auto" w:fill="auto"/>
            <w:vAlign w:val="center"/>
            <w:hideMark/>
          </w:tcPr>
          <w:p w14:paraId="47A800EC" w14:textId="77777777" w:rsidR="00D849AA" w:rsidRPr="001479F9" w:rsidRDefault="00D849AA" w:rsidP="0022205E">
            <w:pPr>
              <w:spacing w:after="0" w:line="240" w:lineRule="auto"/>
              <w:rPr>
                <w:rFonts w:ascii="Times New Roman" w:hAnsi="Times New Roman" w:cs="Times New Roman"/>
                <w:sz w:val="24"/>
                <w:szCs w:val="24"/>
                <w:lang w:val="en-GB" w:eastAsia="en-GB"/>
              </w:rPr>
            </w:pPr>
            <w:r w:rsidRPr="001479F9">
              <w:rPr>
                <w:rFonts w:ascii="Times New Roman" w:eastAsia="Calibri" w:hAnsi="Times New Roman" w:cs="Times New Roman"/>
                <w:sz w:val="24"/>
                <w:szCs w:val="24"/>
                <w:lang w:val="sr-Cyrl-CS" w:eastAsia="en-GB"/>
              </w:rPr>
              <w:t xml:space="preserve">Социјални дијалог </w:t>
            </w:r>
          </w:p>
        </w:tc>
      </w:tr>
      <w:tr w:rsidR="001479F9" w:rsidRPr="001479F9" w14:paraId="189DF9D2" w14:textId="77777777" w:rsidTr="0022205E">
        <w:trPr>
          <w:trHeight w:val="20"/>
          <w:jc w:val="center"/>
        </w:trPr>
        <w:tc>
          <w:tcPr>
            <w:tcW w:w="9017" w:type="dxa"/>
            <w:shd w:val="clear" w:color="auto" w:fill="auto"/>
            <w:vAlign w:val="center"/>
            <w:hideMark/>
          </w:tcPr>
          <w:p w14:paraId="6D20A670" w14:textId="77777777" w:rsidR="00D849AA" w:rsidRPr="001479F9" w:rsidRDefault="00D849AA" w:rsidP="0022205E">
            <w:pPr>
              <w:spacing w:after="0" w:line="240" w:lineRule="auto"/>
              <w:rPr>
                <w:rFonts w:ascii="Times New Roman" w:hAnsi="Times New Roman" w:cs="Times New Roman"/>
                <w:sz w:val="24"/>
                <w:szCs w:val="24"/>
                <w:lang w:val="en-GB" w:eastAsia="en-GB"/>
              </w:rPr>
            </w:pPr>
            <w:r w:rsidRPr="001479F9">
              <w:rPr>
                <w:rFonts w:ascii="Times New Roman" w:eastAsia="Calibri" w:hAnsi="Times New Roman" w:cs="Times New Roman"/>
                <w:sz w:val="24"/>
                <w:szCs w:val="24"/>
                <w:lang w:val="sr-Cyrl-CS" w:eastAsia="en-GB"/>
              </w:rPr>
              <w:t xml:space="preserve">Промоција здравља на раду </w:t>
            </w:r>
          </w:p>
        </w:tc>
      </w:tr>
      <w:tr w:rsidR="001479F9" w:rsidRPr="001479F9" w14:paraId="46413C2F" w14:textId="77777777" w:rsidTr="0022205E">
        <w:trPr>
          <w:trHeight w:val="20"/>
          <w:jc w:val="center"/>
        </w:trPr>
        <w:tc>
          <w:tcPr>
            <w:tcW w:w="9017" w:type="dxa"/>
            <w:shd w:val="clear" w:color="auto" w:fill="auto"/>
            <w:vAlign w:val="center"/>
            <w:hideMark/>
          </w:tcPr>
          <w:p w14:paraId="7F85ACC0" w14:textId="77777777" w:rsidR="00D849AA" w:rsidRPr="001479F9" w:rsidRDefault="00D849AA" w:rsidP="0022205E">
            <w:pPr>
              <w:spacing w:after="0" w:line="240" w:lineRule="auto"/>
              <w:rPr>
                <w:rFonts w:ascii="Times New Roman" w:hAnsi="Times New Roman" w:cs="Times New Roman"/>
                <w:sz w:val="24"/>
                <w:szCs w:val="24"/>
                <w:lang w:val="en-GB" w:eastAsia="en-GB"/>
              </w:rPr>
            </w:pPr>
            <w:r w:rsidRPr="001479F9">
              <w:rPr>
                <w:rFonts w:ascii="Times New Roman" w:eastAsia="Calibri" w:hAnsi="Times New Roman" w:cs="Times New Roman"/>
                <w:sz w:val="24"/>
                <w:szCs w:val="24"/>
                <w:lang w:val="sr-Cyrl-CS" w:eastAsia="en-GB"/>
              </w:rPr>
              <w:t xml:space="preserve">Образовање и обука </w:t>
            </w:r>
          </w:p>
        </w:tc>
      </w:tr>
      <w:tr w:rsidR="001479F9" w:rsidRPr="001479F9" w14:paraId="7AA65F9C" w14:textId="77777777" w:rsidTr="0022205E">
        <w:trPr>
          <w:trHeight w:val="20"/>
          <w:jc w:val="center"/>
        </w:trPr>
        <w:tc>
          <w:tcPr>
            <w:tcW w:w="9017" w:type="dxa"/>
            <w:shd w:val="clear" w:color="auto" w:fill="auto"/>
            <w:vAlign w:val="center"/>
            <w:hideMark/>
          </w:tcPr>
          <w:p w14:paraId="4FAEA96B" w14:textId="77777777" w:rsidR="00D849AA" w:rsidRPr="001479F9" w:rsidRDefault="00D849AA" w:rsidP="0022205E">
            <w:pPr>
              <w:spacing w:after="0" w:line="240" w:lineRule="auto"/>
              <w:rPr>
                <w:rFonts w:ascii="Times New Roman" w:hAnsi="Times New Roman" w:cs="Times New Roman"/>
                <w:sz w:val="24"/>
                <w:szCs w:val="24"/>
                <w:lang w:val="en-GB" w:eastAsia="en-GB"/>
              </w:rPr>
            </w:pPr>
            <w:r w:rsidRPr="001479F9">
              <w:rPr>
                <w:rFonts w:ascii="Times New Roman" w:eastAsia="Calibri" w:hAnsi="Times New Roman" w:cs="Times New Roman"/>
                <w:sz w:val="24"/>
                <w:szCs w:val="24"/>
                <w:lang w:val="sr-Cyrl-CS" w:eastAsia="en-GB"/>
              </w:rPr>
              <w:t xml:space="preserve">Подизање свести о важности безбедности и здравља на раду </w:t>
            </w:r>
          </w:p>
        </w:tc>
      </w:tr>
      <w:tr w:rsidR="001479F9" w:rsidRPr="001479F9" w14:paraId="5DDC2BF8" w14:textId="77777777" w:rsidTr="0022205E">
        <w:trPr>
          <w:trHeight w:val="20"/>
          <w:jc w:val="center"/>
        </w:trPr>
        <w:tc>
          <w:tcPr>
            <w:tcW w:w="9017" w:type="dxa"/>
            <w:shd w:val="clear" w:color="auto" w:fill="FFC000"/>
            <w:vAlign w:val="center"/>
            <w:hideMark/>
          </w:tcPr>
          <w:p w14:paraId="5BAED988" w14:textId="77777777" w:rsidR="00D849AA" w:rsidRPr="001479F9" w:rsidRDefault="00D849AA" w:rsidP="0022205E">
            <w:pPr>
              <w:spacing w:after="0" w:line="240" w:lineRule="auto"/>
              <w:rPr>
                <w:rFonts w:ascii="Times New Roman" w:hAnsi="Times New Roman" w:cs="Times New Roman"/>
                <w:b/>
                <w:bCs/>
                <w:sz w:val="24"/>
                <w:szCs w:val="24"/>
                <w:lang w:val="en-GB" w:eastAsia="en-GB"/>
              </w:rPr>
            </w:pPr>
            <w:r w:rsidRPr="001479F9">
              <w:rPr>
                <w:rFonts w:ascii="Times New Roman" w:hAnsi="Times New Roman" w:cs="Times New Roman"/>
                <w:b/>
                <w:bCs/>
                <w:sz w:val="24"/>
                <w:szCs w:val="24"/>
                <w:lang w:val="sr-Cyrl-CS" w:eastAsia="en-GB"/>
              </w:rPr>
              <w:t>Посебан циљ 2: Превенција повреда на раду и професионалних болести</w:t>
            </w:r>
          </w:p>
        </w:tc>
      </w:tr>
      <w:tr w:rsidR="001479F9" w:rsidRPr="001479F9" w14:paraId="3B61DCE2" w14:textId="77777777" w:rsidTr="0022205E">
        <w:trPr>
          <w:trHeight w:val="20"/>
          <w:jc w:val="center"/>
        </w:trPr>
        <w:tc>
          <w:tcPr>
            <w:tcW w:w="9017" w:type="dxa"/>
            <w:shd w:val="clear" w:color="auto" w:fill="auto"/>
            <w:vAlign w:val="center"/>
            <w:hideMark/>
          </w:tcPr>
          <w:p w14:paraId="628FA2B5" w14:textId="77777777" w:rsidR="00D849AA" w:rsidRPr="001479F9" w:rsidRDefault="00D849AA" w:rsidP="0022205E">
            <w:pPr>
              <w:spacing w:after="0" w:line="240" w:lineRule="auto"/>
              <w:rPr>
                <w:rFonts w:ascii="Times New Roman" w:hAnsi="Times New Roman" w:cs="Times New Roman"/>
                <w:sz w:val="24"/>
                <w:szCs w:val="24"/>
                <w:lang w:val="en-GB" w:eastAsia="en-GB"/>
              </w:rPr>
            </w:pPr>
            <w:r w:rsidRPr="001479F9">
              <w:rPr>
                <w:rFonts w:ascii="Times New Roman" w:hAnsi="Times New Roman" w:cs="Times New Roman"/>
                <w:sz w:val="24"/>
                <w:szCs w:val="24"/>
                <w:lang w:val="sr-Cyrl-CS" w:eastAsia="en-GB"/>
              </w:rPr>
              <w:t xml:space="preserve">Унапређење правног оквира </w:t>
            </w:r>
          </w:p>
        </w:tc>
      </w:tr>
      <w:tr w:rsidR="001479F9" w:rsidRPr="001479F9" w14:paraId="6F5E31A8" w14:textId="77777777" w:rsidTr="0022205E">
        <w:trPr>
          <w:trHeight w:val="20"/>
          <w:jc w:val="center"/>
        </w:trPr>
        <w:tc>
          <w:tcPr>
            <w:tcW w:w="9017" w:type="dxa"/>
            <w:shd w:val="clear" w:color="auto" w:fill="auto"/>
            <w:vAlign w:val="center"/>
            <w:hideMark/>
          </w:tcPr>
          <w:p w14:paraId="3463AFDB" w14:textId="77777777" w:rsidR="00D849AA" w:rsidRPr="001479F9" w:rsidRDefault="00D849AA" w:rsidP="0022205E">
            <w:pPr>
              <w:spacing w:after="0" w:line="240" w:lineRule="auto"/>
              <w:rPr>
                <w:rFonts w:ascii="Times New Roman" w:hAnsi="Times New Roman" w:cs="Times New Roman"/>
                <w:sz w:val="24"/>
                <w:szCs w:val="24"/>
                <w:lang w:val="en-GB" w:eastAsia="en-GB"/>
              </w:rPr>
            </w:pPr>
            <w:r w:rsidRPr="001479F9">
              <w:rPr>
                <w:rFonts w:ascii="Times New Roman" w:hAnsi="Times New Roman" w:cs="Times New Roman"/>
                <w:sz w:val="24"/>
                <w:szCs w:val="24"/>
                <w:lang w:val="sr-Cyrl-CS" w:eastAsia="en-GB"/>
              </w:rPr>
              <w:t xml:space="preserve">Унапређење инспекцијских надзора </w:t>
            </w:r>
          </w:p>
        </w:tc>
      </w:tr>
      <w:tr w:rsidR="001479F9" w:rsidRPr="001479F9" w14:paraId="2C3C878C" w14:textId="77777777" w:rsidTr="0022205E">
        <w:trPr>
          <w:trHeight w:val="20"/>
          <w:jc w:val="center"/>
        </w:trPr>
        <w:tc>
          <w:tcPr>
            <w:tcW w:w="9017" w:type="dxa"/>
            <w:shd w:val="clear" w:color="auto" w:fill="FFC000"/>
            <w:vAlign w:val="center"/>
            <w:hideMark/>
          </w:tcPr>
          <w:p w14:paraId="0BA3F6B7" w14:textId="77777777" w:rsidR="00D849AA" w:rsidRPr="001479F9" w:rsidRDefault="00D849AA" w:rsidP="0022205E">
            <w:pPr>
              <w:spacing w:after="0" w:line="240" w:lineRule="auto"/>
              <w:rPr>
                <w:rFonts w:ascii="Times New Roman" w:hAnsi="Times New Roman" w:cs="Times New Roman"/>
                <w:b/>
                <w:bCs/>
                <w:sz w:val="24"/>
                <w:szCs w:val="24"/>
                <w:lang w:val="en-GB" w:eastAsia="en-GB"/>
              </w:rPr>
            </w:pPr>
            <w:r w:rsidRPr="001479F9">
              <w:rPr>
                <w:rFonts w:ascii="Times New Roman" w:hAnsi="Times New Roman" w:cs="Times New Roman"/>
                <w:b/>
                <w:bCs/>
                <w:sz w:val="24"/>
                <w:szCs w:val="24"/>
                <w:lang w:val="sr-Cyrl-CS" w:eastAsia="en-GB"/>
              </w:rPr>
              <w:t>Посебан циљ 3: Унапређење евиденције о повредама на раду</w:t>
            </w:r>
          </w:p>
        </w:tc>
      </w:tr>
      <w:tr w:rsidR="00D849AA" w:rsidRPr="001479F9" w14:paraId="2051453F" w14:textId="77777777" w:rsidTr="0022205E">
        <w:trPr>
          <w:trHeight w:val="20"/>
          <w:jc w:val="center"/>
        </w:trPr>
        <w:tc>
          <w:tcPr>
            <w:tcW w:w="9017" w:type="dxa"/>
            <w:shd w:val="clear" w:color="auto" w:fill="auto"/>
            <w:vAlign w:val="center"/>
            <w:hideMark/>
          </w:tcPr>
          <w:p w14:paraId="2928E120" w14:textId="77777777" w:rsidR="00D849AA" w:rsidRPr="001479F9" w:rsidRDefault="00D849AA" w:rsidP="0022205E">
            <w:pPr>
              <w:spacing w:after="0" w:line="240" w:lineRule="auto"/>
              <w:rPr>
                <w:rFonts w:ascii="Times New Roman" w:hAnsi="Times New Roman" w:cs="Times New Roman"/>
                <w:sz w:val="24"/>
                <w:szCs w:val="24"/>
                <w:lang w:val="en-GB" w:eastAsia="en-GB"/>
              </w:rPr>
            </w:pPr>
            <w:r w:rsidRPr="001479F9">
              <w:rPr>
                <w:rFonts w:ascii="Times New Roman" w:eastAsia="Calibri" w:hAnsi="Times New Roman" w:cs="Times New Roman"/>
                <w:sz w:val="24"/>
                <w:szCs w:val="24"/>
                <w:lang w:val="sr-Cyrl-CS" w:eastAsia="en-GB"/>
              </w:rPr>
              <w:t xml:space="preserve">Увођење јединственог регистра повреда на раду </w:t>
            </w:r>
          </w:p>
        </w:tc>
      </w:tr>
    </w:tbl>
    <w:p w14:paraId="68DA3356" w14:textId="77777777" w:rsidR="00D849AA" w:rsidRPr="001479F9" w:rsidRDefault="00D849AA" w:rsidP="00D849AA">
      <w:pPr>
        <w:jc w:val="both"/>
        <w:rPr>
          <w:rFonts w:ascii="Times New Roman" w:hAnsi="Times New Roman" w:cs="Times New Roman"/>
          <w:sz w:val="24"/>
          <w:szCs w:val="24"/>
          <w:lang w:val="sr-Cyrl-RS"/>
        </w:rPr>
      </w:pPr>
    </w:p>
    <w:bookmarkEnd w:id="2"/>
    <w:p w14:paraId="15F065F4" w14:textId="7FF3464B" w:rsidR="00D849AA" w:rsidRPr="001479F9" w:rsidRDefault="00D849AA" w:rsidP="00E55287">
      <w:pPr>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Cyrl-RS"/>
        </w:rPr>
        <w:lastRenderedPageBreak/>
        <w:t>Поред ове Стратегије, мањи број докумен</w:t>
      </w:r>
      <w:r w:rsidRPr="001479F9">
        <w:rPr>
          <w:rFonts w:ascii="Times New Roman" w:hAnsi="Times New Roman" w:cs="Times New Roman"/>
          <w:sz w:val="24"/>
          <w:szCs w:val="24"/>
          <w:lang w:val="sr-Latn-RS"/>
        </w:rPr>
        <w:t>a</w:t>
      </w:r>
      <w:r w:rsidRPr="001479F9">
        <w:rPr>
          <w:rFonts w:ascii="Times New Roman" w:hAnsi="Times New Roman" w:cs="Times New Roman"/>
          <w:sz w:val="24"/>
          <w:szCs w:val="24"/>
        </w:rPr>
        <w:t>та</w:t>
      </w:r>
      <w:r w:rsidRPr="001479F9">
        <w:rPr>
          <w:rFonts w:ascii="Times New Roman" w:hAnsi="Times New Roman" w:cs="Times New Roman"/>
          <w:sz w:val="24"/>
          <w:szCs w:val="24"/>
          <w:lang w:val="sr-Cyrl-RS"/>
        </w:rPr>
        <w:t xml:space="preserve"> јавних политика садрже елементе у вези са безбедношћу и здрављем на раду</w:t>
      </w:r>
      <w:r w:rsidR="00020E3D" w:rsidRPr="001479F9">
        <w:rPr>
          <w:rFonts w:ascii="Times New Roman" w:hAnsi="Times New Roman" w:cs="Times New Roman"/>
          <w:sz w:val="24"/>
          <w:szCs w:val="24"/>
          <w:lang w:val="sr-Cyrl-RS"/>
        </w:rPr>
        <w:t>,</w:t>
      </w:r>
      <w:r w:rsidRPr="001479F9">
        <w:rPr>
          <w:rFonts w:ascii="Times New Roman" w:hAnsi="Times New Roman" w:cs="Times New Roman"/>
          <w:sz w:val="24"/>
          <w:szCs w:val="24"/>
          <w:lang w:val="sr-Cyrl-RS"/>
        </w:rPr>
        <w:t xml:space="preserve"> и то: </w:t>
      </w:r>
    </w:p>
    <w:p w14:paraId="4283F0D8" w14:textId="38C75630" w:rsidR="00D849AA" w:rsidRPr="001479F9" w:rsidRDefault="00E55287" w:rsidP="00E55287">
      <w:pPr>
        <w:ind w:firstLine="720"/>
        <w:jc w:val="both"/>
        <w:rPr>
          <w:rFonts w:ascii="Times New Roman" w:hAnsi="Times New Roman" w:cs="Times New Roman"/>
          <w:sz w:val="24"/>
          <w:szCs w:val="24"/>
          <w:lang w:val="sr-Cyrl-RS"/>
        </w:rPr>
      </w:pPr>
      <w:r w:rsidRPr="001479F9">
        <w:rPr>
          <w:rFonts w:ascii="Times New Roman" w:hAnsi="Times New Roman" w:cs="Times New Roman"/>
          <w:bCs/>
          <w:iCs/>
          <w:sz w:val="24"/>
          <w:szCs w:val="24"/>
          <w:lang w:val="sr-Latn-RS"/>
        </w:rPr>
        <w:t xml:space="preserve">1) </w:t>
      </w:r>
      <w:r w:rsidR="00D849AA" w:rsidRPr="001479F9">
        <w:rPr>
          <w:rFonts w:ascii="Times New Roman" w:hAnsi="Times New Roman" w:cs="Times New Roman"/>
          <w:bCs/>
          <w:iCs/>
          <w:sz w:val="24"/>
          <w:szCs w:val="24"/>
          <w:lang w:val="sr-Cyrl-RS"/>
        </w:rPr>
        <w:t xml:space="preserve">Стратегија јавног здравља </w:t>
      </w:r>
      <w:r w:rsidR="00732077" w:rsidRPr="001479F9">
        <w:rPr>
          <w:rFonts w:ascii="Times New Roman" w:hAnsi="Times New Roman" w:cs="Times New Roman"/>
          <w:bCs/>
          <w:iCs/>
          <w:sz w:val="24"/>
          <w:szCs w:val="24"/>
          <w:lang w:val="sr-Cyrl-RS"/>
        </w:rPr>
        <w:t>у Републици Србији 2018-</w:t>
      </w:r>
      <w:r w:rsidR="00D849AA" w:rsidRPr="001479F9">
        <w:rPr>
          <w:rFonts w:ascii="Times New Roman" w:hAnsi="Times New Roman" w:cs="Times New Roman"/>
          <w:bCs/>
          <w:iCs/>
          <w:sz w:val="24"/>
          <w:szCs w:val="24"/>
          <w:lang w:val="sr-Cyrl-RS"/>
        </w:rPr>
        <w:t>2026. године</w:t>
      </w:r>
      <w:r w:rsidR="00732077" w:rsidRPr="001479F9">
        <w:rPr>
          <w:rFonts w:ascii="Verdana" w:hAnsi="Verdana"/>
          <w:b/>
          <w:bCs/>
          <w:sz w:val="18"/>
          <w:szCs w:val="18"/>
          <w:shd w:val="clear" w:color="auto" w:fill="FFFFFF"/>
        </w:rPr>
        <w:t xml:space="preserve"> </w:t>
      </w:r>
      <w:r w:rsidR="0073363A" w:rsidRPr="001479F9">
        <w:rPr>
          <w:rFonts w:ascii="Times New Roman" w:hAnsi="Times New Roman" w:cs="Times New Roman"/>
          <w:sz w:val="24"/>
          <w:szCs w:val="24"/>
          <w:lang w:val="sr-Cyrl-RS"/>
        </w:rPr>
        <w:t>(„Службени гласник РС</w:t>
      </w:r>
      <w:r w:rsidR="0073363A" w:rsidRPr="001479F9">
        <w:rPr>
          <w:rFonts w:ascii="Times New Roman" w:hAnsi="Times New Roman" w:cs="Times New Roman"/>
          <w:sz w:val="24"/>
          <w:szCs w:val="24"/>
          <w:lang w:val="sr-Cyrl-CS"/>
        </w:rPr>
        <w:t>”</w:t>
      </w:r>
      <w:r w:rsidR="00D849AA" w:rsidRPr="001479F9">
        <w:rPr>
          <w:rFonts w:ascii="Times New Roman" w:hAnsi="Times New Roman" w:cs="Times New Roman"/>
          <w:sz w:val="24"/>
          <w:szCs w:val="24"/>
          <w:lang w:val="sr-Cyrl-RS"/>
        </w:rPr>
        <w:t>, број 61/18)</w:t>
      </w:r>
      <w:r w:rsidR="00D849AA" w:rsidRPr="001479F9">
        <w:rPr>
          <w:rFonts w:ascii="Times New Roman" w:hAnsi="Times New Roman" w:cs="Times New Roman"/>
          <w:sz w:val="24"/>
          <w:szCs w:val="24"/>
          <w:vertAlign w:val="superscript"/>
          <w:lang w:val="sr-Cyrl-RS"/>
        </w:rPr>
        <w:footnoteReference w:id="5"/>
      </w:r>
      <w:r w:rsidR="00D849AA" w:rsidRPr="001479F9">
        <w:rPr>
          <w:rFonts w:ascii="Times New Roman" w:hAnsi="Times New Roman" w:cs="Times New Roman"/>
          <w:sz w:val="24"/>
          <w:szCs w:val="24"/>
          <w:lang w:val="sr-Cyrl-RS"/>
        </w:rPr>
        <w:t xml:space="preserve"> предвиђено је спровођење истраживања осетљивих група радно активне популације (млади, жене у репродуктивном периоду, старији радници, лица са инвалидитетом, незапослени, запослени у малим и микро правним лицима, пољопривредници).</w:t>
      </w:r>
    </w:p>
    <w:p w14:paraId="5ABB78F1" w14:textId="0299CA15" w:rsidR="00D849AA" w:rsidRPr="001479F9" w:rsidRDefault="00E55287" w:rsidP="00E55287">
      <w:pPr>
        <w:ind w:firstLine="720"/>
        <w:jc w:val="both"/>
        <w:rPr>
          <w:rFonts w:ascii="Times New Roman" w:hAnsi="Times New Roman" w:cs="Times New Roman"/>
          <w:sz w:val="24"/>
          <w:szCs w:val="24"/>
          <w:shd w:val="clear" w:color="auto" w:fill="FFFFFF"/>
          <w:lang w:val="sr-Cyrl-RS"/>
        </w:rPr>
      </w:pPr>
      <w:r w:rsidRPr="001479F9">
        <w:rPr>
          <w:rFonts w:ascii="Times New Roman" w:hAnsi="Times New Roman" w:cs="Times New Roman"/>
          <w:bCs/>
          <w:iCs/>
          <w:sz w:val="24"/>
          <w:szCs w:val="24"/>
          <w:shd w:val="clear" w:color="auto" w:fill="FFFFFF"/>
          <w:lang w:val="sr-Latn-RS"/>
        </w:rPr>
        <w:t xml:space="preserve">2) </w:t>
      </w:r>
      <w:r w:rsidR="00D849AA" w:rsidRPr="001479F9">
        <w:rPr>
          <w:rFonts w:ascii="Times New Roman" w:hAnsi="Times New Roman" w:cs="Times New Roman"/>
          <w:bCs/>
          <w:iCs/>
          <w:sz w:val="24"/>
          <w:szCs w:val="24"/>
          <w:shd w:val="clear" w:color="auto" w:fill="FFFFFF"/>
          <w:lang w:val="sr-Cyrl-RS"/>
        </w:rPr>
        <w:t>Стратегија запошљавања у Републици Србији за период од 2021. до 2026. године</w:t>
      </w:r>
      <w:r w:rsidR="00D849AA" w:rsidRPr="001479F9">
        <w:rPr>
          <w:rFonts w:ascii="Times New Roman" w:hAnsi="Times New Roman" w:cs="Times New Roman"/>
          <w:b/>
          <w:bCs/>
          <w:iCs/>
          <w:sz w:val="24"/>
          <w:szCs w:val="24"/>
          <w:shd w:val="clear" w:color="auto" w:fill="FFFFFF"/>
          <w:lang w:val="sr-Cyrl-RS"/>
        </w:rPr>
        <w:t xml:space="preserve"> </w:t>
      </w:r>
      <w:r w:rsidR="0073363A" w:rsidRPr="001479F9">
        <w:rPr>
          <w:rFonts w:ascii="Times New Roman" w:hAnsi="Times New Roman" w:cs="Times New Roman"/>
          <w:sz w:val="24"/>
          <w:szCs w:val="24"/>
          <w:lang w:val="sr-Cyrl-RS"/>
        </w:rPr>
        <w:t>(„Службени гласник РС</w:t>
      </w:r>
      <w:r w:rsidR="0073363A" w:rsidRPr="001479F9">
        <w:rPr>
          <w:rFonts w:ascii="Times New Roman" w:hAnsi="Times New Roman" w:cs="Times New Roman"/>
          <w:sz w:val="24"/>
          <w:szCs w:val="24"/>
          <w:lang w:val="sr-Cyrl-CS"/>
        </w:rPr>
        <w:t>”</w:t>
      </w:r>
      <w:r w:rsidR="00D849AA" w:rsidRPr="001479F9">
        <w:rPr>
          <w:rFonts w:ascii="Times New Roman" w:hAnsi="Times New Roman" w:cs="Times New Roman"/>
          <w:sz w:val="24"/>
          <w:szCs w:val="24"/>
          <w:lang w:val="sr-Cyrl-RS"/>
        </w:rPr>
        <w:t>, бр. 18/21 и 36/21</w:t>
      </w:r>
      <w:r w:rsidR="00D03039" w:rsidRPr="001479F9">
        <w:rPr>
          <w:rFonts w:ascii="Times New Roman" w:hAnsi="Times New Roman" w:cs="Times New Roman"/>
          <w:sz w:val="24"/>
          <w:szCs w:val="24"/>
          <w:lang w:val="sr-Cyrl-RS"/>
        </w:rPr>
        <w:t xml:space="preserve"> – исправка</w:t>
      </w:r>
      <w:r w:rsidR="00D849AA" w:rsidRPr="001479F9">
        <w:rPr>
          <w:rFonts w:ascii="Times New Roman" w:hAnsi="Times New Roman" w:cs="Times New Roman"/>
          <w:sz w:val="24"/>
          <w:szCs w:val="24"/>
          <w:lang w:val="sr-Cyrl-RS"/>
        </w:rPr>
        <w:t>)</w:t>
      </w:r>
      <w:r w:rsidR="00D849AA" w:rsidRPr="001479F9">
        <w:rPr>
          <w:rFonts w:ascii="Times New Roman" w:hAnsi="Times New Roman" w:cs="Times New Roman"/>
          <w:bCs/>
          <w:sz w:val="24"/>
          <w:szCs w:val="24"/>
          <w:shd w:val="clear" w:color="auto" w:fill="FFFFFF"/>
          <w:lang w:val="sr-Cyrl-RS"/>
        </w:rPr>
        <w:t xml:space="preserve">. </w:t>
      </w:r>
      <w:r w:rsidR="00D849AA" w:rsidRPr="001479F9">
        <w:rPr>
          <w:rFonts w:ascii="Times New Roman" w:hAnsi="Times New Roman" w:cs="Times New Roman"/>
          <w:sz w:val="24"/>
          <w:szCs w:val="24"/>
          <w:shd w:val="clear" w:color="auto" w:fill="FFFFFF"/>
          <w:lang w:val="sr-Cyrl-RS"/>
        </w:rPr>
        <w:t>Даље сузбијање рада „на црноˮ, смањење броја повреда на раду и радно-правна заштита запослених и радно ангажованих лица су приоритетне активности Инспектората за рад које подразумевају изградњу модерног система инспекције рада прилагођеног ЕУ стандардима односно модернизацију рада и перманентно јачање капацитета запослених.</w:t>
      </w:r>
    </w:p>
    <w:p w14:paraId="651B93A9" w14:textId="08B80259" w:rsidR="00D849AA" w:rsidRPr="001479F9" w:rsidRDefault="00E55287" w:rsidP="00E55287">
      <w:pPr>
        <w:ind w:firstLine="720"/>
        <w:jc w:val="both"/>
        <w:rPr>
          <w:rFonts w:ascii="Times New Roman" w:hAnsi="Times New Roman" w:cs="Times New Roman"/>
          <w:sz w:val="24"/>
          <w:szCs w:val="24"/>
          <w:lang w:val="sr-Cyrl-RS"/>
        </w:rPr>
      </w:pPr>
      <w:r w:rsidRPr="001479F9">
        <w:rPr>
          <w:rFonts w:ascii="Times New Roman" w:hAnsi="Times New Roman" w:cs="Times New Roman"/>
          <w:sz w:val="24"/>
          <w:szCs w:val="24"/>
          <w:lang w:val="sr-Latn-RS"/>
        </w:rPr>
        <w:t xml:space="preserve">3) </w:t>
      </w:r>
      <w:r w:rsidR="00D849AA" w:rsidRPr="001479F9">
        <w:rPr>
          <w:rFonts w:ascii="Times New Roman" w:hAnsi="Times New Roman" w:cs="Times New Roman"/>
          <w:sz w:val="24"/>
          <w:szCs w:val="24"/>
          <w:lang w:val="sr-Cyrl-RS"/>
        </w:rPr>
        <w:t>Програм</w:t>
      </w:r>
      <w:r w:rsidR="00D03039" w:rsidRPr="001479F9">
        <w:rPr>
          <w:rFonts w:ascii="Times New Roman" w:hAnsi="Times New Roman" w:cs="Times New Roman"/>
          <w:sz w:val="24"/>
          <w:szCs w:val="24"/>
          <w:lang w:val="sr-Cyrl-RS"/>
        </w:rPr>
        <w:t xml:space="preserve"> за сузбијање сиве економије 2023-</w:t>
      </w:r>
      <w:r w:rsidR="00D849AA" w:rsidRPr="001479F9">
        <w:rPr>
          <w:rFonts w:ascii="Times New Roman" w:hAnsi="Times New Roman" w:cs="Times New Roman"/>
          <w:sz w:val="24"/>
          <w:szCs w:val="24"/>
          <w:lang w:val="sr-Cyrl-RS"/>
        </w:rPr>
        <w:t xml:space="preserve">2025. </w:t>
      </w:r>
      <w:r w:rsidR="00D03039" w:rsidRPr="001479F9">
        <w:rPr>
          <w:rFonts w:ascii="Times New Roman" w:hAnsi="Times New Roman" w:cs="Times New Roman"/>
          <w:sz w:val="24"/>
          <w:szCs w:val="24"/>
          <w:lang w:val="sr-Cyrl-RS"/>
        </w:rPr>
        <w:t>године</w:t>
      </w:r>
      <w:r w:rsidR="00D03039" w:rsidRPr="001479F9">
        <w:rPr>
          <w:rFonts w:ascii="Times New Roman" w:hAnsi="Times New Roman" w:cs="Times New Roman"/>
          <w:b/>
          <w:sz w:val="24"/>
          <w:szCs w:val="24"/>
          <w:lang w:val="sr-Cyrl-RS"/>
        </w:rPr>
        <w:t xml:space="preserve"> </w:t>
      </w:r>
      <w:r w:rsidR="0073363A" w:rsidRPr="001479F9">
        <w:rPr>
          <w:rFonts w:ascii="Times New Roman" w:hAnsi="Times New Roman" w:cs="Times New Roman"/>
          <w:sz w:val="24"/>
          <w:szCs w:val="24"/>
          <w:lang w:val="sr-Cyrl-RS"/>
        </w:rPr>
        <w:t>(„Службени гласник РС</w:t>
      </w:r>
      <w:r w:rsidR="0073363A" w:rsidRPr="001479F9">
        <w:rPr>
          <w:rFonts w:ascii="Times New Roman" w:hAnsi="Times New Roman" w:cs="Times New Roman"/>
          <w:sz w:val="24"/>
          <w:szCs w:val="24"/>
          <w:lang w:val="sr-Cyrl-CS"/>
        </w:rPr>
        <w:t>”</w:t>
      </w:r>
      <w:r w:rsidR="00D849AA" w:rsidRPr="001479F9">
        <w:rPr>
          <w:rFonts w:ascii="Times New Roman" w:hAnsi="Times New Roman" w:cs="Times New Roman"/>
          <w:sz w:val="24"/>
          <w:szCs w:val="24"/>
          <w:lang w:val="sr-Cyrl-RS"/>
        </w:rPr>
        <w:t xml:space="preserve">, број 21/23) </w:t>
      </w:r>
      <w:r w:rsidR="00D849AA" w:rsidRPr="001479F9">
        <w:rPr>
          <w:rFonts w:ascii="Times New Roman" w:hAnsi="Times New Roman" w:cs="Times New Roman"/>
          <w:sz w:val="24"/>
          <w:szCs w:val="24"/>
          <w:shd w:val="clear" w:color="auto" w:fill="FFFFFF"/>
        </w:rPr>
        <w:t>има</w:t>
      </w:r>
      <w:r w:rsidR="00D849AA" w:rsidRPr="001479F9">
        <w:rPr>
          <w:rFonts w:ascii="Times New Roman" w:hAnsi="Times New Roman" w:cs="Times New Roman"/>
          <w:sz w:val="24"/>
          <w:szCs w:val="24"/>
          <w:shd w:val="clear" w:color="auto" w:fill="FFFFFF"/>
          <w:lang w:val="sr-Cyrl-RS"/>
        </w:rPr>
        <w:t xml:space="preserve"> за циљ </w:t>
      </w:r>
      <w:r w:rsidR="00D849AA" w:rsidRPr="001479F9">
        <w:rPr>
          <w:rFonts w:ascii="Times New Roman" w:hAnsi="Times New Roman" w:cs="Times New Roman"/>
          <w:sz w:val="24"/>
          <w:szCs w:val="24"/>
          <w:shd w:val="clear" w:color="auto" w:fill="FFFFFF"/>
        </w:rPr>
        <w:t xml:space="preserve">унапређење капацитета инспекција, а тиме и Инспектората рада и ефикасније спровођење надзора. Тиме ће се посредно </w:t>
      </w:r>
      <w:r w:rsidR="00D849AA" w:rsidRPr="001479F9">
        <w:rPr>
          <w:rFonts w:ascii="Times New Roman" w:hAnsi="Times New Roman" w:cs="Times New Roman"/>
          <w:sz w:val="24"/>
          <w:szCs w:val="24"/>
          <w:shd w:val="clear" w:color="auto" w:fill="FFFFFF"/>
          <w:lang w:val="sr-Cyrl-RS"/>
        </w:rPr>
        <w:t>спреч</w:t>
      </w:r>
      <w:r w:rsidR="00D849AA" w:rsidRPr="001479F9">
        <w:rPr>
          <w:rFonts w:ascii="Times New Roman" w:hAnsi="Times New Roman" w:cs="Times New Roman"/>
          <w:sz w:val="24"/>
          <w:szCs w:val="24"/>
          <w:shd w:val="clear" w:color="auto" w:fill="FFFFFF"/>
        </w:rPr>
        <w:t>ити</w:t>
      </w:r>
      <w:r w:rsidR="00D849AA" w:rsidRPr="001479F9">
        <w:rPr>
          <w:rFonts w:ascii="Times New Roman" w:hAnsi="Times New Roman" w:cs="Times New Roman"/>
          <w:sz w:val="24"/>
          <w:szCs w:val="24"/>
          <w:shd w:val="clear" w:color="auto" w:fill="FFFFFF"/>
          <w:lang w:val="sr-Cyrl-RS"/>
        </w:rPr>
        <w:t xml:space="preserve"> нарушавање права радно ангажованих лица, укључујући њихову безбедност и здравље (изостанак уплате доприноса за пензијско и инвалидско осигурање, здравствено осигурање и осигурање за случај незапослености, осигурање у случају повреде на раду.</w:t>
      </w:r>
      <w:r w:rsidR="00D849AA" w:rsidRPr="001479F9">
        <w:rPr>
          <w:rFonts w:ascii="Times New Roman" w:hAnsi="Times New Roman" w:cs="Times New Roman"/>
          <w:sz w:val="24"/>
          <w:szCs w:val="24"/>
          <w:shd w:val="clear" w:color="auto" w:fill="FFFFFF"/>
        </w:rPr>
        <w:t xml:space="preserve"> Сам Програм не садржи циљеве, односно мере </w:t>
      </w:r>
      <w:r w:rsidR="00D849AA" w:rsidRPr="001479F9">
        <w:rPr>
          <w:rFonts w:ascii="Times New Roman" w:hAnsi="Times New Roman" w:cs="Times New Roman"/>
          <w:sz w:val="24"/>
          <w:szCs w:val="24"/>
          <w:shd w:val="clear" w:color="auto" w:fill="FFFFFF"/>
          <w:lang w:val="sr-Cyrl-RS"/>
        </w:rPr>
        <w:t xml:space="preserve">се </w:t>
      </w:r>
      <w:r w:rsidR="00D849AA" w:rsidRPr="001479F9">
        <w:rPr>
          <w:rFonts w:ascii="Times New Roman" w:hAnsi="Times New Roman" w:cs="Times New Roman"/>
          <w:sz w:val="24"/>
          <w:szCs w:val="24"/>
          <w:shd w:val="clear" w:color="auto" w:fill="FFFFFF"/>
        </w:rPr>
        <w:t>које директно односе на питања безбедности и здравља на раду.</w:t>
      </w:r>
    </w:p>
    <w:p w14:paraId="6E32CE8D" w14:textId="2C39F7D5" w:rsidR="00E55287" w:rsidRPr="00A247E6" w:rsidRDefault="00D849AA" w:rsidP="00A247E6">
      <w:pPr>
        <w:ind w:firstLine="720"/>
        <w:jc w:val="both"/>
        <w:rPr>
          <w:rFonts w:ascii="Times New Roman" w:hAnsi="Times New Roman" w:cs="Times New Roman"/>
          <w:sz w:val="24"/>
          <w:szCs w:val="24"/>
        </w:rPr>
      </w:pPr>
      <w:r w:rsidRPr="001479F9">
        <w:rPr>
          <w:rFonts w:ascii="Times New Roman" w:hAnsi="Times New Roman" w:cs="Times New Roman"/>
          <w:sz w:val="24"/>
          <w:szCs w:val="24"/>
          <w:lang w:val="sr-Cyrl-RS"/>
        </w:rPr>
        <w:t>Низ других стратегија не садржи мере и активности које се баве питањима безбедности и здравља на раду.</w:t>
      </w:r>
      <w:r w:rsidRPr="001479F9">
        <w:rPr>
          <w:rFonts w:ascii="Times New Roman" w:hAnsi="Times New Roman" w:cs="Times New Roman"/>
          <w:sz w:val="24"/>
          <w:szCs w:val="24"/>
        </w:rPr>
        <w:t xml:space="preserve"> Неколико докумената јавних политика је тренутно у поступку израде (Национални програм адаптације </w:t>
      </w:r>
      <w:r w:rsidRPr="001479F9">
        <w:rPr>
          <w:rFonts w:ascii="Times New Roman" w:hAnsi="Times New Roman" w:cs="Times New Roman"/>
          <w:sz w:val="24"/>
          <w:szCs w:val="24"/>
          <w:lang w:val="sr-Cyrl-RS"/>
        </w:rPr>
        <w:t xml:space="preserve">на </w:t>
      </w:r>
      <w:r w:rsidRPr="001479F9">
        <w:rPr>
          <w:rFonts w:ascii="Times New Roman" w:hAnsi="Times New Roman" w:cs="Times New Roman"/>
          <w:sz w:val="24"/>
          <w:szCs w:val="24"/>
        </w:rPr>
        <w:t>климатске промене, нова стратегија заштите и спасавања у ванредним ситуацијама) са којима је потребно усагласити релевантне мере и активности предвиђене овом стратегијом.</w:t>
      </w:r>
    </w:p>
    <w:p w14:paraId="0F2E02B5" w14:textId="4ADE3178" w:rsidR="00E55287" w:rsidRPr="001479F9" w:rsidRDefault="00E55287" w:rsidP="00E55287">
      <w:pPr>
        <w:ind w:firstLine="720"/>
        <w:jc w:val="both"/>
        <w:rPr>
          <w:rFonts w:ascii="Times New Roman" w:hAnsi="Times New Roman" w:cs="Times New Roman"/>
          <w:b/>
          <w:sz w:val="24"/>
          <w:szCs w:val="24"/>
          <w:shd w:val="clear" w:color="auto" w:fill="FFFFFF"/>
          <w:lang w:val="sr-Cyrl-RS"/>
        </w:rPr>
      </w:pPr>
      <w:bookmarkStart w:id="3" w:name="_Toc126746511"/>
      <w:r w:rsidRPr="001479F9">
        <w:rPr>
          <w:rFonts w:ascii="Times New Roman" w:hAnsi="Times New Roman" w:cs="Times New Roman"/>
          <w:b/>
          <w:sz w:val="24"/>
          <w:szCs w:val="24"/>
          <w:shd w:val="clear" w:color="auto" w:fill="FFFFFF"/>
          <w:lang w:val="sr-Cyrl-RS"/>
        </w:rPr>
        <w:t>2.2. Анализа правног оквира</w:t>
      </w:r>
      <w:bookmarkEnd w:id="3"/>
    </w:p>
    <w:p w14:paraId="41BB2AA4" w14:textId="14167127" w:rsidR="00E55287" w:rsidRPr="001479F9" w:rsidRDefault="00E55287" w:rsidP="0022205E">
      <w:pPr>
        <w:ind w:firstLine="720"/>
        <w:jc w:val="both"/>
        <w:rPr>
          <w:rFonts w:ascii="Times New Roman" w:hAnsi="Times New Roman" w:cs="Times New Roman"/>
          <w:sz w:val="24"/>
          <w:szCs w:val="24"/>
          <w:shd w:val="clear" w:color="auto" w:fill="FFFFFF"/>
        </w:rPr>
      </w:pPr>
      <w:bookmarkStart w:id="4" w:name="_Hlk126738373"/>
      <w:r w:rsidRPr="001479F9">
        <w:rPr>
          <w:rFonts w:ascii="Times New Roman" w:hAnsi="Times New Roman" w:cs="Times New Roman"/>
          <w:sz w:val="24"/>
          <w:szCs w:val="24"/>
          <w:shd w:val="clear" w:color="auto" w:fill="FFFFFF"/>
        </w:rPr>
        <w:t xml:space="preserve">У периоду спровођења Стратегије безбедности и здравља на раду у Републици Србији за период од 2018. до 2022. </w:t>
      </w:r>
      <w:proofErr w:type="gramStart"/>
      <w:r w:rsidRPr="001479F9">
        <w:rPr>
          <w:rFonts w:ascii="Times New Roman" w:hAnsi="Times New Roman" w:cs="Times New Roman"/>
          <w:sz w:val="24"/>
          <w:szCs w:val="24"/>
          <w:shd w:val="clear" w:color="auto" w:fill="FFFFFF"/>
        </w:rPr>
        <w:t>године</w:t>
      </w:r>
      <w:proofErr w:type="gramEnd"/>
      <w:r w:rsidRPr="001479F9">
        <w:rPr>
          <w:rFonts w:ascii="Times New Roman" w:hAnsi="Times New Roman" w:cs="Times New Roman"/>
          <w:sz w:val="24"/>
          <w:szCs w:val="24"/>
          <w:shd w:val="clear" w:color="auto" w:fill="FFFFFF"/>
        </w:rPr>
        <w:t xml:space="preserve"> настављен је процес даљег усаглашавања националног законодавства са правним оквиром ЕУ, односно обавезама које су проистекле из Преговарачког поглавља 19 – Социјална политика и запошљавање.</w:t>
      </w:r>
    </w:p>
    <w:p w14:paraId="264C685F" w14:textId="33721F72" w:rsidR="00E55287" w:rsidRPr="001479F9" w:rsidRDefault="00E55287" w:rsidP="0022205E">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Законом о безбедности и здрављу на раду („Службени гласник РС”, бр. 101/05, 91/15 и 113/17 – др. закон) уређује се спровођење и унапређивање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 Ипак, од свог усвајања закон је само једном био предмет измена и допуна, 2015. године када су отклоњени недостаци у примени и спровело даље усклађивање са Директивом Савета 89/391/ЕЕЗ о увођењу мера за подстицање побољшања безбедности и здравља запослених на раду од 21. јуна 1989. </w:t>
      </w:r>
      <w:proofErr w:type="gramStart"/>
      <w:r w:rsidRPr="001479F9">
        <w:rPr>
          <w:rFonts w:ascii="Times New Roman" w:hAnsi="Times New Roman" w:cs="Times New Roman"/>
          <w:sz w:val="24"/>
          <w:szCs w:val="24"/>
          <w:shd w:val="clear" w:color="auto" w:fill="FFFFFF"/>
        </w:rPr>
        <w:t>године</w:t>
      </w:r>
      <w:proofErr w:type="gramEnd"/>
      <w:r w:rsidRPr="001479F9">
        <w:rPr>
          <w:rFonts w:ascii="Times New Roman" w:hAnsi="Times New Roman" w:cs="Times New Roman"/>
          <w:sz w:val="24"/>
          <w:szCs w:val="24"/>
          <w:shd w:val="clear" w:color="auto" w:fill="FFFFFF"/>
        </w:rPr>
        <w:t xml:space="preserve">. </w:t>
      </w:r>
    </w:p>
    <w:p w14:paraId="0A34C8CE" w14:textId="34B37BEB" w:rsidR="00E55287" w:rsidRPr="001479F9" w:rsidRDefault="00E55287" w:rsidP="0022205E">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Поред Закона о безбедности и здрављу на раду, правни оквир чини још 60 подзаконских аката. Током </w:t>
      </w:r>
      <w:r w:rsidR="002F22AE" w:rsidRPr="001479F9">
        <w:rPr>
          <w:rFonts w:ascii="Times New Roman" w:hAnsi="Times New Roman" w:cs="Times New Roman"/>
          <w:sz w:val="24"/>
          <w:szCs w:val="24"/>
          <w:shd w:val="clear" w:color="auto" w:fill="FFFFFF"/>
        </w:rPr>
        <w:t xml:space="preserve">посматраног периода од 2018. </w:t>
      </w:r>
      <w:proofErr w:type="gramStart"/>
      <w:r w:rsidR="002F22AE" w:rsidRPr="001479F9">
        <w:rPr>
          <w:rFonts w:ascii="Times New Roman" w:hAnsi="Times New Roman" w:cs="Times New Roman"/>
          <w:sz w:val="24"/>
          <w:szCs w:val="24"/>
          <w:shd w:val="clear" w:color="auto" w:fill="FFFFFF"/>
        </w:rPr>
        <w:t>до</w:t>
      </w:r>
      <w:proofErr w:type="gramEnd"/>
      <w:r w:rsidR="002F22AE" w:rsidRPr="001479F9">
        <w:rPr>
          <w:rFonts w:ascii="Times New Roman" w:hAnsi="Times New Roman" w:cs="Times New Roman"/>
          <w:sz w:val="24"/>
          <w:szCs w:val="24"/>
          <w:shd w:val="clear" w:color="auto" w:fill="FFFFFF"/>
        </w:rPr>
        <w:t xml:space="preserve"> </w:t>
      </w:r>
      <w:r w:rsidRPr="001479F9">
        <w:rPr>
          <w:rFonts w:ascii="Times New Roman" w:hAnsi="Times New Roman" w:cs="Times New Roman"/>
          <w:sz w:val="24"/>
          <w:szCs w:val="24"/>
          <w:shd w:val="clear" w:color="auto" w:fill="FFFFFF"/>
        </w:rPr>
        <w:t xml:space="preserve">2022. </w:t>
      </w:r>
      <w:proofErr w:type="gramStart"/>
      <w:r w:rsidRPr="001479F9">
        <w:rPr>
          <w:rFonts w:ascii="Times New Roman" w:hAnsi="Times New Roman" w:cs="Times New Roman"/>
          <w:sz w:val="24"/>
          <w:szCs w:val="24"/>
          <w:shd w:val="clear" w:color="auto" w:fill="FFFFFF"/>
        </w:rPr>
        <w:t>године</w:t>
      </w:r>
      <w:proofErr w:type="gramEnd"/>
      <w:r w:rsidRPr="001479F9">
        <w:rPr>
          <w:rFonts w:ascii="Times New Roman" w:hAnsi="Times New Roman" w:cs="Times New Roman"/>
          <w:sz w:val="24"/>
          <w:szCs w:val="24"/>
          <w:shd w:val="clear" w:color="auto" w:fill="FFFFFF"/>
        </w:rPr>
        <w:t xml:space="preserve"> ступило је на </w:t>
      </w:r>
      <w:r w:rsidRPr="001479F9">
        <w:rPr>
          <w:rFonts w:ascii="Times New Roman" w:hAnsi="Times New Roman" w:cs="Times New Roman"/>
          <w:sz w:val="24"/>
          <w:szCs w:val="24"/>
          <w:shd w:val="clear" w:color="auto" w:fill="FFFFFF"/>
        </w:rPr>
        <w:lastRenderedPageBreak/>
        <w:t>снагу 18 нових, односно измењених и допуњених подзаконских аката којима су у национално законодавство транспоноване директиве или је унапређен постојећи оквир.</w:t>
      </w:r>
      <w:r w:rsidRPr="001479F9">
        <w:rPr>
          <w:rFonts w:ascii="Times New Roman" w:hAnsi="Times New Roman" w:cs="Times New Roman"/>
          <w:sz w:val="24"/>
          <w:szCs w:val="24"/>
          <w:shd w:val="clear" w:color="auto" w:fill="FFFFFF"/>
          <w:vertAlign w:val="superscript"/>
        </w:rPr>
        <w:footnoteReference w:id="6"/>
      </w:r>
      <w:r w:rsidRPr="001479F9">
        <w:rPr>
          <w:rFonts w:ascii="Times New Roman" w:hAnsi="Times New Roman" w:cs="Times New Roman"/>
          <w:sz w:val="24"/>
          <w:szCs w:val="24"/>
          <w:shd w:val="clear" w:color="auto" w:fill="FFFFFF"/>
          <w:vertAlign w:val="superscript"/>
        </w:rPr>
        <w:t xml:space="preserve"> </w:t>
      </w:r>
    </w:p>
    <w:p w14:paraId="24786353" w14:textId="3A3C3885" w:rsidR="00E55287" w:rsidRPr="001479F9" w:rsidRDefault="00E55287" w:rsidP="0022205E">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У циљу спровођења Закона о безбедности и здрављу на раду („Службени гласник РС”, бр. 101/05, 91/15 и 113/17 – др. закон) донети су правилници који уређују превентивне мере при излагању буци, вибрацијама, биолошким штетностима, хемијским материјама, електромагнетском пољу, као и низ правилника који уређује превентивне мере у другим околностима. Такође</w:t>
      </w:r>
      <w:r w:rsidR="000518AD" w:rsidRPr="001479F9">
        <w:rPr>
          <w:rFonts w:ascii="Times New Roman" w:hAnsi="Times New Roman" w:cs="Times New Roman"/>
          <w:sz w:val="24"/>
          <w:szCs w:val="24"/>
          <w:shd w:val="clear" w:color="auto" w:fill="FFFFFF"/>
          <w:lang w:val="sr-Cyrl-RS"/>
        </w:rPr>
        <w:t>,</w:t>
      </w:r>
      <w:r w:rsidRPr="001479F9">
        <w:rPr>
          <w:rFonts w:ascii="Times New Roman" w:hAnsi="Times New Roman" w:cs="Times New Roman"/>
          <w:sz w:val="24"/>
          <w:szCs w:val="24"/>
          <w:shd w:val="clear" w:color="auto" w:fill="FFFFFF"/>
        </w:rPr>
        <w:t xml:space="preserve"> био је прописан програм и начин полагања стручног испита за обављање послова безбедности и здравља на раду, о условима за издавање лиценци за обављање послова безбедности и здравља на раду. </w:t>
      </w:r>
    </w:p>
    <w:p w14:paraId="0FDE9B1C" w14:textId="28F362C8" w:rsidR="00E55287" w:rsidRPr="001479F9" w:rsidRDefault="00E55287" w:rsidP="0022205E">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Претходни законски оквир се суочавао са неколико ограничења и недостатака. Прво, оквир није био у потпуности усклађен са правним тековинама ЕУ (Оквирна Директива 89/391/ЕЕЗ о увођењу мера за подстицање побољшања безбедности и здравља запослених на раду и 23 посебне директиве) и посебним конвенцијама МОР-а које је Република Србија ратификовала. Друго, поједине одредбе претходног Закона о безбедности и здрављу на раду нису биле усклађене са одредбама других закона. Коначно, уочени су проблеми у примени и правне празнине. Поједине одредбе закона било је неопходно прецизирати, односно извршити правно-техничко усклађивање, како би се примена тог института реализовала са што мање тумачења и на тај начин допринело бржем спровођењу, као и већој доследности у примени. </w:t>
      </w:r>
      <w:bookmarkEnd w:id="4"/>
    </w:p>
    <w:p w14:paraId="69F146A1" w14:textId="1961EA87" w:rsidR="00E55287" w:rsidRPr="001479F9" w:rsidRDefault="00E55287" w:rsidP="0022205E">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Проблеми у примени претходног Закона на које су привредни субјекти најчешће указивали односили су се на спровођење поступка процене ризика и доношење акта о процени ризика, увођење нових института у режим заштите запослених, који се превасходно односе на обезбеђивање веће заштите здравља и проширивање круга лица која уживају заштиту,  различито поступање инспектора рада у поступку инспекцијског надзора у области безбедности и здравља на раду из разлога непрецизних дефиниција (радно место) или непостојања дефиниције лица које се самозапошљава. Поједина решења, односно одсуство уређења неких питања створило је негативне ефекте у пракси. </w:t>
      </w:r>
      <w:r w:rsidRPr="001479F9">
        <w:rPr>
          <w:rFonts w:ascii="Times New Roman" w:hAnsi="Times New Roman" w:cs="Times New Roman"/>
          <w:sz w:val="24"/>
          <w:szCs w:val="24"/>
          <w:shd w:val="clear" w:color="auto" w:fill="FFFFFF"/>
        </w:rPr>
        <w:lastRenderedPageBreak/>
        <w:t>У делатности грађевинарства у случају извођења хитних радова, као што је на пример отклањање кварова на електроенергетском објекту или пуцање водоводних цеви, послодавац није могао да пријави радове и изради елаборат о уређењу градилишта због хитног отпочињања и завршетка извођења радова и тиме испуни законску обавезу према којој је послодавац који изводи радове на изградњи објекта у складу са прописима о безбедности и здрављу на раду на привременим или покретним градилиштима, дужан да изради прописан елаборат о уређењу градилишта који уз извештај о почетку рада доставља надлежној инспекцији рада најмање осам дана пре почетка рада. Проблем је био у томе што су послодавци који су примењивали прописе могли да учине прекршај због немогућности спровођења прописа. Претходним законом није прописан изузетак за ове и сличне ситуације. Такође, приликом извођења високоризичних радова као што су радови на висини, у дубини, у скученом простору, Законом није била прописана обавеза издавања дозвола за рад, а најчешћи узроци смртних повреда на раду у 2020. години били су пад са висине, удар падајућег објекта, удар објекта који се креће, струјни удар, обрушавање земље. Новим Законом о безбедности и здрављ</w:t>
      </w:r>
      <w:r w:rsidR="007A6F73" w:rsidRPr="001479F9">
        <w:rPr>
          <w:rFonts w:ascii="Times New Roman" w:hAnsi="Times New Roman" w:cs="Times New Roman"/>
          <w:sz w:val="24"/>
          <w:szCs w:val="24"/>
          <w:shd w:val="clear" w:color="auto" w:fill="FFFFFF"/>
        </w:rPr>
        <w:t>у на раду („Службени гласник РС</w:t>
      </w:r>
      <w:r w:rsidR="007A6F73" w:rsidRPr="001479F9">
        <w:rPr>
          <w:rFonts w:ascii="Times New Roman" w:hAnsi="Times New Roman" w:cs="Times New Roman"/>
          <w:sz w:val="24"/>
          <w:szCs w:val="24"/>
          <w:lang w:val="sr-Cyrl-CS"/>
        </w:rPr>
        <w:t>”</w:t>
      </w:r>
      <w:r w:rsidRPr="001479F9">
        <w:rPr>
          <w:rFonts w:ascii="Times New Roman" w:hAnsi="Times New Roman" w:cs="Times New Roman"/>
          <w:sz w:val="24"/>
          <w:szCs w:val="24"/>
          <w:shd w:val="clear" w:color="auto" w:fill="FFFFFF"/>
        </w:rPr>
        <w:t>, број 35/23) је прописано издавање дозвола за рад приликом извођења радова на висини, у дубини, у скученом простору, у простору са потенцијално експлозивним атмос</w:t>
      </w:r>
      <w:r w:rsidR="009358A6" w:rsidRPr="001479F9">
        <w:rPr>
          <w:rFonts w:ascii="Times New Roman" w:hAnsi="Times New Roman" w:cs="Times New Roman"/>
          <w:sz w:val="24"/>
          <w:szCs w:val="24"/>
          <w:shd w:val="clear" w:color="auto" w:fill="FFFFFF"/>
        </w:rPr>
        <w:t>фера</w:t>
      </w:r>
      <w:r w:rsidR="00866FCA" w:rsidRPr="001479F9">
        <w:rPr>
          <w:rFonts w:ascii="Times New Roman" w:hAnsi="Times New Roman" w:cs="Times New Roman"/>
          <w:sz w:val="24"/>
          <w:szCs w:val="24"/>
          <w:shd w:val="clear" w:color="auto" w:fill="FFFFFF"/>
        </w:rPr>
        <w:t xml:space="preserve">ма, на </w:t>
      </w:r>
      <w:r w:rsidRPr="001479F9">
        <w:rPr>
          <w:rFonts w:ascii="Times New Roman" w:hAnsi="Times New Roman" w:cs="Times New Roman"/>
          <w:sz w:val="24"/>
          <w:szCs w:val="24"/>
          <w:shd w:val="clear" w:color="auto" w:fill="FFFFFF"/>
        </w:rPr>
        <w:t xml:space="preserve">енергетском објекту, при коришћењу опасне хемијске материје и у зонама у којима је присутна озбиљна, неизбежна или непосредна опасност или штетност. Овом одредбом уведена је новина према којој се због веће заштите запослених при обављању одређених високоризичних и нестандарних послова уводи обавеза издавања дозволе за рад ради прецизирања услова које треба испунити, као и мера за безбедан и здрав рад које треба применити пре, у току и после завршеног рада а у околностима да оне нису препознате у описима послова и Акту о процени ризика. </w:t>
      </w:r>
    </w:p>
    <w:p w14:paraId="7FF2B6F7" w14:textId="468E8EE8" w:rsidR="00E55287" w:rsidRPr="001479F9" w:rsidRDefault="00E55287"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Иако је законом била прописана обавеза послодавца да изврши оспособљавање запосленог за безбедан и здрав рад и случајеви када је дужан да изврши оспособљавање, као и да оспособљавање мора да буде прилагођено специфичностима радног места и да се спроводи по програму, чији садржај послодавац мора, када је то потребно, да обнавља и мења, поједина законска решења су недостајала. Наиме, није била прописана садржина програма оспособљавања што је у пракси довело до доношења програма оспособљавања различите садржине. Такође, није била прописана обавеза послодавца да посебно оспособљава представника запослених за обављање активности представника запослених за безбедан и здрав рад. Коначно, није била прописана обавеза послодавца да у случају тешке или смртне повреде на раду, односно оштећења здравља које је настало приликом излагања штетностима изврши додатну обуку запослених за безбедан и здрав рад на тим радним местима у организационој је</w:t>
      </w:r>
      <w:r w:rsidR="009D036A" w:rsidRPr="001479F9">
        <w:rPr>
          <w:rFonts w:ascii="Times New Roman" w:hAnsi="Times New Roman" w:cs="Times New Roman"/>
          <w:sz w:val="24"/>
          <w:szCs w:val="24"/>
          <w:shd w:val="clear" w:color="auto" w:fill="FFFFFF"/>
        </w:rPr>
        <w:t>диници где се повреда догодила.</w:t>
      </w:r>
    </w:p>
    <w:p w14:paraId="58F8FCC7" w14:textId="67B67D57" w:rsidR="00E55287" w:rsidRPr="001479F9" w:rsidRDefault="00E55287"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Током израде Стратегије, усвојен је нови Закон о безбедности и здрављу на раду („Службени гласник РС”, бр. 35/23) који отклања наведене недостатке. Основна новина коју доноси нови закон јесте захтевање већег степена безбедности и здравља на раду који послодавци морају да обезбеде, а запослени да примењују мере безбедности и здравља на раду. Нови Закон уводи бројне нове појмове: радна средина; радионица; рад на висини, рад на дубини, озбиљна, неизбежна и непосредна опасност, радно место са повећаним ризиком, рад од куће, рад на даљину итд. Такође, Законом се уводи виши ниво стручности стручњака за безбедност и здравље на раду, лиценцирање свих физичких лица која обављају послове безбедности и здравља на раду и њихово континуирано усавршавање њиховог знања. С обзиром на изузетан ризик са којима су </w:t>
      </w:r>
      <w:r w:rsidRPr="001479F9">
        <w:rPr>
          <w:rFonts w:ascii="Times New Roman" w:hAnsi="Times New Roman" w:cs="Times New Roman"/>
          <w:sz w:val="24"/>
          <w:szCs w:val="24"/>
          <w:shd w:val="clear" w:color="auto" w:fill="FFFFFF"/>
        </w:rPr>
        <w:lastRenderedPageBreak/>
        <w:t>суочени запослени у сектору грађевинарства, Новим законом прецизирају се обавезе послодавца који обавља делатност грађевинарства, као једне од најризичнијих делатности. Сваки од послодаваца извођача радова је дужан да сачини елаборат о уређењу градилишта, ако радови трају дуже од три дана непрекидно, и да почетак рада пријави надлежној инспекцији рада. Нови Закон такође</w:t>
      </w:r>
      <w:r w:rsidR="009A5FDE" w:rsidRPr="001479F9">
        <w:rPr>
          <w:rFonts w:ascii="Times New Roman" w:hAnsi="Times New Roman" w:cs="Times New Roman"/>
          <w:sz w:val="24"/>
          <w:szCs w:val="24"/>
          <w:shd w:val="clear" w:color="auto" w:fill="FFFFFF"/>
          <w:lang w:val="sr-Cyrl-RS"/>
        </w:rPr>
        <w:t>,</w:t>
      </w:r>
      <w:r w:rsidRPr="001479F9">
        <w:rPr>
          <w:rFonts w:ascii="Times New Roman" w:hAnsi="Times New Roman" w:cs="Times New Roman"/>
          <w:sz w:val="24"/>
          <w:szCs w:val="24"/>
          <w:shd w:val="clear" w:color="auto" w:fill="FFFFFF"/>
        </w:rPr>
        <w:t xml:space="preserve"> прописује нове обав</w:t>
      </w:r>
      <w:r w:rsidR="009A5FDE" w:rsidRPr="001479F9">
        <w:rPr>
          <w:rFonts w:ascii="Times New Roman" w:hAnsi="Times New Roman" w:cs="Times New Roman"/>
          <w:sz w:val="24"/>
          <w:szCs w:val="24"/>
          <w:shd w:val="clear" w:color="auto" w:fill="FFFFFF"/>
        </w:rPr>
        <w:t xml:space="preserve">езе послодавцима у случају </w:t>
      </w:r>
      <w:r w:rsidRPr="001479F9">
        <w:rPr>
          <w:rFonts w:ascii="Times New Roman" w:hAnsi="Times New Roman" w:cs="Times New Roman"/>
          <w:sz w:val="24"/>
          <w:szCs w:val="24"/>
          <w:shd w:val="clear" w:color="auto" w:fill="FFFFFF"/>
        </w:rPr>
        <w:t>тешке или смртне повреде на раду, да најкасније у року од осам дана од настанка повреде обезбеди додатну обуку запосленима на тим радним местима. Послодавац такође мора запосленог на његов захтев да упути на лекарски преглед који одговара ризицима на радном месту у редовним интервалима, а најкасније у року од пет година од претходног прегледа. Коначно, послодавац има обавезу да обезбеди издавање дозволe за рад у циљу веће заштите запослених при обављању одређених послова високог ризика (приликом обављања послова на висини, у дубини, у скученим просторима, у просторима са потенцијално експлозивном атмосфером). Прописана је дужност инспектора рада да забрани рад на привременим или покретним градилиштима, док је казнена политика пооштре</w:t>
      </w:r>
      <w:r w:rsidR="009D036A" w:rsidRPr="001479F9">
        <w:rPr>
          <w:rFonts w:ascii="Times New Roman" w:hAnsi="Times New Roman" w:cs="Times New Roman"/>
          <w:sz w:val="24"/>
          <w:szCs w:val="24"/>
          <w:shd w:val="clear" w:color="auto" w:fill="FFFFFF"/>
        </w:rPr>
        <w:t>на.</w:t>
      </w:r>
    </w:p>
    <w:p w14:paraId="6306543A" w14:textId="39AEB858" w:rsidR="00E55287" w:rsidRPr="001479F9" w:rsidRDefault="00E55287" w:rsidP="0022205E">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Како је област безбедности и здравља на раду мултидисциплинарног карактера правни основ је садржан у више закона и подзаконских аката. У наставку су наведени најважнији прописи, док су сви рел</w:t>
      </w:r>
      <w:r w:rsidR="009D036A" w:rsidRPr="001479F9">
        <w:rPr>
          <w:rFonts w:ascii="Times New Roman" w:hAnsi="Times New Roman" w:cs="Times New Roman"/>
          <w:sz w:val="24"/>
          <w:szCs w:val="24"/>
          <w:shd w:val="clear" w:color="auto" w:fill="FFFFFF"/>
        </w:rPr>
        <w:t>евантни прописи дати у фусноти.</w:t>
      </w:r>
    </w:p>
    <w:p w14:paraId="41AAD691" w14:textId="0B60C2FF" w:rsidR="00E55287" w:rsidRPr="001479F9" w:rsidRDefault="009D036A"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1) </w:t>
      </w:r>
      <w:r w:rsidR="00E55287" w:rsidRPr="001479F9">
        <w:rPr>
          <w:rFonts w:ascii="Times New Roman" w:hAnsi="Times New Roman" w:cs="Times New Roman"/>
          <w:sz w:val="24"/>
          <w:szCs w:val="24"/>
          <w:shd w:val="clear" w:color="auto" w:fill="FFFFFF"/>
        </w:rPr>
        <w:t>Закон о раду („Службени гласник РСˮ, бр. 24/05, 61/05, 54/09, 32/13, 75/14, 13/17 – УС,113/17 и 95/18 – аутентично тумачење), као општи пропис у области рада, уређује закључивање уговора о раду и других уговора о радном ангажовању, радно време и друга права, обавезе и одговорности запослених и других радно ангажованих лица из рада и по основу рада, као и друге услове рада, осим услова којима се обезбеђује безбедност и здравље на раду. Законом о раду такође је прописано да је послодавац дужан да обезбеди услове рада и организује рад како би се обезбедили услови безбедности и заштите живота и здравља на раду. Такође, прописује и права и обавезе запослених у погледу безбедности и за</w:t>
      </w:r>
      <w:r w:rsidRPr="001479F9">
        <w:rPr>
          <w:rFonts w:ascii="Times New Roman" w:hAnsi="Times New Roman" w:cs="Times New Roman"/>
          <w:sz w:val="24"/>
          <w:szCs w:val="24"/>
          <w:shd w:val="clear" w:color="auto" w:fill="FFFFFF"/>
        </w:rPr>
        <w:t>штите живота и здравља на раду.</w:t>
      </w:r>
    </w:p>
    <w:p w14:paraId="73D94BD3" w14:textId="1DD39604" w:rsidR="00E55287" w:rsidRPr="001479F9" w:rsidRDefault="009D036A"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2) </w:t>
      </w:r>
      <w:r w:rsidR="00E55287" w:rsidRPr="001479F9">
        <w:rPr>
          <w:rFonts w:ascii="Times New Roman" w:hAnsi="Times New Roman" w:cs="Times New Roman"/>
          <w:sz w:val="24"/>
          <w:szCs w:val="24"/>
          <w:shd w:val="clear" w:color="auto" w:fill="FFFFFF"/>
        </w:rPr>
        <w:t>Закон о инспекцијско</w:t>
      </w:r>
      <w:r w:rsidR="00941EEE" w:rsidRPr="001479F9">
        <w:rPr>
          <w:rFonts w:ascii="Times New Roman" w:hAnsi="Times New Roman" w:cs="Times New Roman"/>
          <w:sz w:val="24"/>
          <w:szCs w:val="24"/>
          <w:shd w:val="clear" w:color="auto" w:fill="FFFFFF"/>
        </w:rPr>
        <w:t>м надзору (,</w:t>
      </w:r>
      <w:proofErr w:type="gramStart"/>
      <w:r w:rsidR="00941EEE" w:rsidRPr="001479F9">
        <w:rPr>
          <w:rFonts w:ascii="Times New Roman" w:hAnsi="Times New Roman" w:cs="Times New Roman"/>
          <w:sz w:val="24"/>
          <w:szCs w:val="24"/>
          <w:shd w:val="clear" w:color="auto" w:fill="FFFFFF"/>
        </w:rPr>
        <w:t>,Службени</w:t>
      </w:r>
      <w:proofErr w:type="gramEnd"/>
      <w:r w:rsidR="00941EEE" w:rsidRPr="001479F9">
        <w:rPr>
          <w:rFonts w:ascii="Times New Roman" w:hAnsi="Times New Roman" w:cs="Times New Roman"/>
          <w:sz w:val="24"/>
          <w:szCs w:val="24"/>
          <w:shd w:val="clear" w:color="auto" w:fill="FFFFFF"/>
        </w:rPr>
        <w:t xml:space="preserve"> гласник РС”</w:t>
      </w:r>
      <w:r w:rsidR="00E55287" w:rsidRPr="001479F9">
        <w:rPr>
          <w:rFonts w:ascii="Times New Roman" w:hAnsi="Times New Roman" w:cs="Times New Roman"/>
          <w:sz w:val="24"/>
          <w:szCs w:val="24"/>
          <w:shd w:val="clear" w:color="auto" w:fill="FFFFFF"/>
        </w:rPr>
        <w:t xml:space="preserve">, 36/15 бр. 36/15, 44/18 – др. закон и 95/18) којим се уређује садржина, врсте и облици и поступак инспекцијског надзора, овлашћења и обавезе учесника у инспекцијском надзору и друга питања од </w:t>
      </w:r>
      <w:r w:rsidRPr="001479F9">
        <w:rPr>
          <w:rFonts w:ascii="Times New Roman" w:hAnsi="Times New Roman" w:cs="Times New Roman"/>
          <w:sz w:val="24"/>
          <w:szCs w:val="24"/>
          <w:shd w:val="clear" w:color="auto" w:fill="FFFFFF"/>
        </w:rPr>
        <w:t>значаја за инспекцијски надзор.</w:t>
      </w:r>
    </w:p>
    <w:p w14:paraId="72199D8F" w14:textId="5F3ABAD0" w:rsidR="00E55287" w:rsidRPr="006F6E3E" w:rsidRDefault="009D036A"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3) </w:t>
      </w:r>
      <w:r w:rsidR="00E55287" w:rsidRPr="001479F9">
        <w:rPr>
          <w:rFonts w:ascii="Times New Roman" w:hAnsi="Times New Roman" w:cs="Times New Roman"/>
          <w:sz w:val="24"/>
          <w:szCs w:val="24"/>
          <w:shd w:val="clear" w:color="auto" w:fill="FFFFFF"/>
        </w:rPr>
        <w:t>Правилник о утврђивању професионалних болести (,</w:t>
      </w:r>
      <w:proofErr w:type="gramStart"/>
      <w:r w:rsidR="00E55287" w:rsidRPr="001479F9">
        <w:rPr>
          <w:rFonts w:ascii="Times New Roman" w:hAnsi="Times New Roman" w:cs="Times New Roman"/>
          <w:sz w:val="24"/>
          <w:szCs w:val="24"/>
          <w:shd w:val="clear" w:color="auto" w:fill="FFFFFF"/>
        </w:rPr>
        <w:t>,Службени</w:t>
      </w:r>
      <w:proofErr w:type="gramEnd"/>
      <w:r w:rsidR="00E55287" w:rsidRPr="001479F9">
        <w:rPr>
          <w:rFonts w:ascii="Times New Roman" w:hAnsi="Times New Roman" w:cs="Times New Roman"/>
          <w:sz w:val="24"/>
          <w:szCs w:val="24"/>
          <w:shd w:val="clear" w:color="auto" w:fill="FFFFFF"/>
        </w:rPr>
        <w:t xml:space="preserve"> гласник РС</w:t>
      </w:r>
      <w:r w:rsidR="00941EEE" w:rsidRPr="001479F9">
        <w:rPr>
          <w:rFonts w:ascii="Times New Roman" w:hAnsi="Times New Roman" w:cs="Times New Roman"/>
          <w:sz w:val="24"/>
          <w:szCs w:val="24"/>
          <w:shd w:val="clear" w:color="auto" w:fill="FFFFFF"/>
        </w:rPr>
        <w:t>”</w:t>
      </w:r>
      <w:r w:rsidR="00E55287" w:rsidRPr="001479F9">
        <w:rPr>
          <w:rFonts w:ascii="Times New Roman" w:hAnsi="Times New Roman" w:cs="Times New Roman"/>
          <w:sz w:val="24"/>
          <w:szCs w:val="24"/>
          <w:shd w:val="clear" w:color="auto" w:fill="FFFFFF"/>
        </w:rPr>
        <w:t xml:space="preserve"> број 14/19) утврђуј</w:t>
      </w:r>
      <w:r w:rsidRPr="001479F9">
        <w:rPr>
          <w:rFonts w:ascii="Times New Roman" w:hAnsi="Times New Roman" w:cs="Times New Roman"/>
          <w:sz w:val="24"/>
          <w:szCs w:val="24"/>
          <w:shd w:val="clear" w:color="auto" w:fill="FFFFFF"/>
        </w:rPr>
        <w:t>е листу професионалних болести.</w:t>
      </w:r>
    </w:p>
    <w:p w14:paraId="3480A9D5" w14:textId="7828089F" w:rsidR="00E55287" w:rsidRPr="001479F9" w:rsidRDefault="009D036A"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4) </w:t>
      </w:r>
      <w:r w:rsidR="00E55287" w:rsidRPr="001479F9">
        <w:rPr>
          <w:rFonts w:ascii="Times New Roman" w:hAnsi="Times New Roman" w:cs="Times New Roman"/>
          <w:sz w:val="24"/>
          <w:szCs w:val="24"/>
          <w:shd w:val="clear" w:color="auto" w:fill="FFFFFF"/>
        </w:rPr>
        <w:t>Закон о здравственом осигурању (,</w:t>
      </w:r>
      <w:proofErr w:type="gramStart"/>
      <w:r w:rsidR="00E55287" w:rsidRPr="001479F9">
        <w:rPr>
          <w:rFonts w:ascii="Times New Roman" w:hAnsi="Times New Roman" w:cs="Times New Roman"/>
          <w:sz w:val="24"/>
          <w:szCs w:val="24"/>
          <w:shd w:val="clear" w:color="auto" w:fill="FFFFFF"/>
        </w:rPr>
        <w:t>,Службени</w:t>
      </w:r>
      <w:proofErr w:type="gramEnd"/>
      <w:r w:rsidR="00E55287" w:rsidRPr="001479F9">
        <w:rPr>
          <w:rFonts w:ascii="Times New Roman" w:hAnsi="Times New Roman" w:cs="Times New Roman"/>
          <w:sz w:val="24"/>
          <w:szCs w:val="24"/>
          <w:shd w:val="clear" w:color="auto" w:fill="FFFFFF"/>
        </w:rPr>
        <w:t xml:space="preserve"> гласник РС”, број 25/19) утврђено је, између осталог, и право на здравствену заштиту у случају повреде на раду или професионалне болести и која обухвата здравствену заштиту у случају настанка повреде на раду или професионалне болести која се обезбеђује на примарном, се</w:t>
      </w:r>
      <w:r w:rsidRPr="001479F9">
        <w:rPr>
          <w:rFonts w:ascii="Times New Roman" w:hAnsi="Times New Roman" w:cs="Times New Roman"/>
          <w:sz w:val="24"/>
          <w:szCs w:val="24"/>
          <w:shd w:val="clear" w:color="auto" w:fill="FFFFFF"/>
        </w:rPr>
        <w:t xml:space="preserve">кундарном и терцијарном нивоу. </w:t>
      </w:r>
    </w:p>
    <w:p w14:paraId="47000D85" w14:textId="2E122373" w:rsidR="00E55287" w:rsidRPr="001479F9" w:rsidRDefault="009D036A" w:rsidP="0022205E">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5) </w:t>
      </w:r>
      <w:r w:rsidR="00E55287" w:rsidRPr="001479F9">
        <w:rPr>
          <w:rFonts w:ascii="Times New Roman" w:hAnsi="Times New Roman" w:cs="Times New Roman"/>
          <w:sz w:val="24"/>
          <w:szCs w:val="24"/>
          <w:shd w:val="clear" w:color="auto" w:fill="FFFFFF"/>
        </w:rPr>
        <w:t xml:space="preserve">Закон о пензијском и инвалидском осигурању („Службени гласник РС”, бр. 34/03, 64/04 – УС; 84/04 – др. закон; 85/05, 101/05 – др. закон, 63/06 – УС, 5/09, 107/09, 101/10, 93/12, 62/13, 108/13, 75/14, 142/14, </w:t>
      </w:r>
      <w:r w:rsidR="00941EEE" w:rsidRPr="001479F9">
        <w:rPr>
          <w:rFonts w:ascii="Times New Roman" w:hAnsi="Times New Roman" w:cs="Times New Roman"/>
          <w:sz w:val="24"/>
          <w:szCs w:val="24"/>
          <w:shd w:val="clear" w:color="auto" w:fill="FFFFFF"/>
        </w:rPr>
        <w:t xml:space="preserve">73/18, 46/19 – УС, 86/19, </w:t>
      </w:r>
      <w:r w:rsidR="00E55287" w:rsidRPr="001479F9">
        <w:rPr>
          <w:rFonts w:ascii="Times New Roman" w:hAnsi="Times New Roman" w:cs="Times New Roman"/>
          <w:sz w:val="24"/>
          <w:szCs w:val="24"/>
          <w:shd w:val="clear" w:color="auto" w:fill="FFFFFF"/>
        </w:rPr>
        <w:t>62/21</w:t>
      </w:r>
      <w:r w:rsidR="00941EEE" w:rsidRPr="001479F9">
        <w:rPr>
          <w:rFonts w:ascii="Times New Roman" w:hAnsi="Times New Roman" w:cs="Times New Roman"/>
          <w:sz w:val="24"/>
          <w:szCs w:val="24"/>
          <w:shd w:val="clear" w:color="auto" w:fill="FFFFFF"/>
        </w:rPr>
        <w:t xml:space="preserve"> </w:t>
      </w:r>
      <w:r w:rsidR="00941EEE" w:rsidRPr="006F6E3E">
        <w:rPr>
          <w:rFonts w:ascii="Times New Roman" w:hAnsi="Times New Roman" w:cs="Times New Roman"/>
          <w:sz w:val="24"/>
          <w:szCs w:val="24"/>
          <w:shd w:val="clear" w:color="auto" w:fill="FFFFFF"/>
        </w:rPr>
        <w:t>и 76/23</w:t>
      </w:r>
      <w:r w:rsidR="00E55287" w:rsidRPr="001479F9">
        <w:rPr>
          <w:rFonts w:ascii="Times New Roman" w:hAnsi="Times New Roman" w:cs="Times New Roman"/>
          <w:sz w:val="24"/>
          <w:szCs w:val="24"/>
          <w:shd w:val="clear" w:color="auto" w:fill="FFFFFF"/>
        </w:rPr>
        <w:t xml:space="preserve">). Овај закон који уређује права за случај инвалидности и телесног оштећења проузрокованих повредом на раду или професионалном болешћу. Законом о пензијском и инвалидском осигурању такође је утврђено шта се, у смислу овог закона, сматра повредом на раду и </w:t>
      </w:r>
      <w:r w:rsidR="00E55287" w:rsidRPr="001479F9">
        <w:rPr>
          <w:rFonts w:ascii="Times New Roman" w:hAnsi="Times New Roman" w:cs="Times New Roman"/>
          <w:sz w:val="24"/>
          <w:szCs w:val="24"/>
          <w:shd w:val="clear" w:color="auto" w:fill="FFFFFF"/>
        </w:rPr>
        <w:lastRenderedPageBreak/>
        <w:t xml:space="preserve">шта су професионалне болести и уређују се права за случај инвалидности и телесног оштећења проузрокованих повредом на раду или професионалном болешћу. </w:t>
      </w:r>
    </w:p>
    <w:p w14:paraId="50909EB8" w14:textId="3708DF55" w:rsidR="00E55287" w:rsidRPr="001479F9" w:rsidRDefault="009D036A"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6) </w:t>
      </w:r>
      <w:r w:rsidR="00E55287" w:rsidRPr="001479F9">
        <w:rPr>
          <w:rFonts w:ascii="Times New Roman" w:hAnsi="Times New Roman" w:cs="Times New Roman"/>
          <w:sz w:val="24"/>
          <w:szCs w:val="24"/>
          <w:shd w:val="clear" w:color="auto" w:fill="FFFFFF"/>
        </w:rPr>
        <w:t>Закон о професионалној рехабилитацији и запошљавању особа са инвалидитетом („Службени гласник РС”, бр. 36/09 и 32/13) регулише подстицаје за запошљавање особа са инвалидитетом ради стварања услова за њихово равноправно укључивање на тржиште рада, процену радне способности, професионалну рехабилитацију, обавезу запошљавања особа са инвалидитетом, услове за оснивање и обављање делатности предузећа за професионалну рехабилитацију и запошљавање особа са инвалидитетом и других посебних облика запошљавања и радног ангажовања особа са инвалидитетом и друга питања од значаја за професионалну рехабилитацију и запо</w:t>
      </w:r>
      <w:r w:rsidRPr="001479F9">
        <w:rPr>
          <w:rFonts w:ascii="Times New Roman" w:hAnsi="Times New Roman" w:cs="Times New Roman"/>
          <w:sz w:val="24"/>
          <w:szCs w:val="24"/>
          <w:shd w:val="clear" w:color="auto" w:fill="FFFFFF"/>
        </w:rPr>
        <w:t>шљавање особа са инвалидитетом.</w:t>
      </w:r>
    </w:p>
    <w:p w14:paraId="60D11817" w14:textId="7C1E1D42" w:rsidR="00E55287" w:rsidRPr="001479F9" w:rsidRDefault="009D036A"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7) </w:t>
      </w:r>
      <w:r w:rsidR="00E55287" w:rsidRPr="001479F9">
        <w:rPr>
          <w:rFonts w:ascii="Times New Roman" w:hAnsi="Times New Roman" w:cs="Times New Roman"/>
          <w:sz w:val="24"/>
          <w:szCs w:val="24"/>
          <w:shd w:val="clear" w:color="auto" w:fill="FFFFFF"/>
        </w:rPr>
        <w:t>Закон о агенцијском запошљавању („Службени гласник РС”, бр. 86/19) уређује заштиту права запослених који закључују уговор о раду са агенцијом за привремено запошљавање ради уступања на привремени рад послодавцу кориснику, једнак третман уступљених запослених у погледу остваривања одређених права из радног односа и по основу рада, начин и у</w:t>
      </w:r>
      <w:r w:rsidRPr="001479F9">
        <w:rPr>
          <w:rFonts w:ascii="Times New Roman" w:hAnsi="Times New Roman" w:cs="Times New Roman"/>
          <w:sz w:val="24"/>
          <w:szCs w:val="24"/>
          <w:shd w:val="clear" w:color="auto" w:fill="FFFFFF"/>
        </w:rPr>
        <w:t>слове уступања запослених и др.</w:t>
      </w:r>
    </w:p>
    <w:p w14:paraId="28312C8F" w14:textId="1CCBDED2" w:rsidR="00E55287" w:rsidRPr="001479F9" w:rsidRDefault="009D036A"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8) </w:t>
      </w:r>
      <w:r w:rsidR="00E55287" w:rsidRPr="001479F9">
        <w:rPr>
          <w:rFonts w:ascii="Times New Roman" w:hAnsi="Times New Roman" w:cs="Times New Roman"/>
          <w:sz w:val="24"/>
          <w:szCs w:val="24"/>
          <w:shd w:val="clear" w:color="auto" w:fill="FFFFFF"/>
        </w:rPr>
        <w:t>Закон о запошљавању странаца („Службени гласник РС”, бр. 128/14, 113/17, 50/18, 31/19 и 62/23) уређује услове и поступке за запошљавање странaца у Републици Србији и друга питања од значаја за запошљавање и рад странаца у Републици Србији. Странац који се запошљава у Републици Србији у складу са овим законом, има једнака права и обавезе у погледу рада, запошљавања и самозапошљавања као и њени држављани, ако су испуње</w:t>
      </w:r>
      <w:r w:rsidRPr="001479F9">
        <w:rPr>
          <w:rFonts w:ascii="Times New Roman" w:hAnsi="Times New Roman" w:cs="Times New Roman"/>
          <w:sz w:val="24"/>
          <w:szCs w:val="24"/>
          <w:shd w:val="clear" w:color="auto" w:fill="FFFFFF"/>
        </w:rPr>
        <w:t xml:space="preserve">ни услови у складу са законом; </w:t>
      </w:r>
    </w:p>
    <w:p w14:paraId="3B40C513" w14:textId="741CB648" w:rsidR="00E55287" w:rsidRPr="001479F9" w:rsidRDefault="009D036A"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9) </w:t>
      </w:r>
      <w:r w:rsidR="00E55287" w:rsidRPr="001479F9">
        <w:rPr>
          <w:rFonts w:ascii="Times New Roman" w:hAnsi="Times New Roman" w:cs="Times New Roman"/>
          <w:sz w:val="24"/>
          <w:szCs w:val="24"/>
          <w:shd w:val="clear" w:color="auto" w:fill="FFFFFF"/>
        </w:rPr>
        <w:t>Закон о поједностављеном радном ангажовању на сезонским пословима у одређеним делат</w:t>
      </w:r>
      <w:r w:rsidR="007B3A8C" w:rsidRPr="001479F9">
        <w:rPr>
          <w:rFonts w:ascii="Times New Roman" w:hAnsi="Times New Roman" w:cs="Times New Roman"/>
          <w:sz w:val="24"/>
          <w:szCs w:val="24"/>
          <w:shd w:val="clear" w:color="auto" w:fill="FFFFFF"/>
        </w:rPr>
        <w:t>ностима („</w:t>
      </w:r>
      <w:proofErr w:type="gramStart"/>
      <w:r w:rsidR="007B3A8C" w:rsidRPr="001479F9">
        <w:rPr>
          <w:rFonts w:ascii="Times New Roman" w:hAnsi="Times New Roman" w:cs="Times New Roman"/>
          <w:sz w:val="24"/>
          <w:szCs w:val="24"/>
          <w:shd w:val="clear" w:color="auto" w:fill="FFFFFF"/>
        </w:rPr>
        <w:t>Службени  гласник</w:t>
      </w:r>
      <w:proofErr w:type="gramEnd"/>
      <w:r w:rsidR="007B3A8C" w:rsidRPr="001479F9">
        <w:rPr>
          <w:rFonts w:ascii="Times New Roman" w:hAnsi="Times New Roman" w:cs="Times New Roman"/>
          <w:sz w:val="24"/>
          <w:szCs w:val="24"/>
          <w:shd w:val="clear" w:color="auto" w:fill="FFFFFF"/>
        </w:rPr>
        <w:t xml:space="preserve">  РС”</w:t>
      </w:r>
      <w:r w:rsidR="00E55287" w:rsidRPr="001479F9">
        <w:rPr>
          <w:rFonts w:ascii="Times New Roman" w:hAnsi="Times New Roman" w:cs="Times New Roman"/>
          <w:sz w:val="24"/>
          <w:szCs w:val="24"/>
          <w:shd w:val="clear" w:color="auto" w:fill="FFFFFF"/>
        </w:rPr>
        <w:t>, број 50/18). Овим законом се, због посебних карактеристика и услова сезонског рада у одређеним делатностима, уређује поједностављен начин радног ангажовања лица и плаћања пореза и доприноса за рад на пословима који су сезонског карактера у појединим делатностима одређеним у складу са овим законом у сектору пољопривреде, шумарства и рибарства (сезонски послови), у складу са прописом којим се прописује класификација дел</w:t>
      </w:r>
      <w:r w:rsidRPr="001479F9">
        <w:rPr>
          <w:rFonts w:ascii="Times New Roman" w:hAnsi="Times New Roman" w:cs="Times New Roman"/>
          <w:sz w:val="24"/>
          <w:szCs w:val="24"/>
          <w:shd w:val="clear" w:color="auto" w:fill="FFFFFF"/>
        </w:rPr>
        <w:t xml:space="preserve">атности. </w:t>
      </w:r>
      <w:r w:rsidR="00E55287" w:rsidRPr="001479F9">
        <w:rPr>
          <w:rFonts w:ascii="Times New Roman" w:hAnsi="Times New Roman" w:cs="Times New Roman"/>
          <w:sz w:val="24"/>
          <w:szCs w:val="24"/>
          <w:shd w:val="clear" w:color="auto" w:fill="FFFFFF"/>
        </w:rPr>
        <w:t>Услови за безбедност и здравље на раду односе се на упознавање сезонског радника са свим ризицима и променама ризика који би могли утицати на безбедност и здравље на раду, а посебно о ризицима повезаним са процесом рада који могу да проузрокују повреду на раду, оштећење здравља или обољење сезонског радника и начином и мерама за њихово спречавање, отклањање или смањење на најмању могућу меру и мерама пружања прве помо</w:t>
      </w:r>
      <w:r w:rsidRPr="001479F9">
        <w:rPr>
          <w:rFonts w:ascii="Times New Roman" w:hAnsi="Times New Roman" w:cs="Times New Roman"/>
          <w:sz w:val="24"/>
          <w:szCs w:val="24"/>
          <w:shd w:val="clear" w:color="auto" w:fill="FFFFFF"/>
        </w:rPr>
        <w:t>ћи и о лицима која их спроводе.</w:t>
      </w:r>
    </w:p>
    <w:p w14:paraId="1735A5EB" w14:textId="1E9BD532" w:rsidR="00E55287" w:rsidRPr="001479F9" w:rsidRDefault="009D036A"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10) </w:t>
      </w:r>
      <w:r w:rsidR="00E55287" w:rsidRPr="001479F9">
        <w:rPr>
          <w:rFonts w:ascii="Times New Roman" w:hAnsi="Times New Roman" w:cs="Times New Roman"/>
          <w:sz w:val="24"/>
          <w:szCs w:val="24"/>
          <w:shd w:val="clear" w:color="auto" w:fill="FFFFFF"/>
        </w:rPr>
        <w:t>Правилник о безб</w:t>
      </w:r>
      <w:r w:rsidR="007B3A8C" w:rsidRPr="001479F9">
        <w:rPr>
          <w:rFonts w:ascii="Times New Roman" w:hAnsi="Times New Roman" w:cs="Times New Roman"/>
          <w:sz w:val="24"/>
          <w:szCs w:val="24"/>
          <w:shd w:val="clear" w:color="auto" w:fill="FFFFFF"/>
        </w:rPr>
        <w:t>едности машина („Службени гласник РС”</w:t>
      </w:r>
      <w:r w:rsidR="00E55287" w:rsidRPr="001479F9">
        <w:rPr>
          <w:rFonts w:ascii="Times New Roman" w:hAnsi="Times New Roman" w:cs="Times New Roman"/>
          <w:sz w:val="24"/>
          <w:szCs w:val="24"/>
          <w:shd w:val="clear" w:color="auto" w:fill="FFFFFF"/>
        </w:rPr>
        <w:t>, б</w:t>
      </w:r>
      <w:r w:rsidRPr="001479F9">
        <w:rPr>
          <w:rFonts w:ascii="Times New Roman" w:hAnsi="Times New Roman" w:cs="Times New Roman"/>
          <w:sz w:val="24"/>
          <w:szCs w:val="24"/>
          <w:shd w:val="clear" w:color="auto" w:fill="FFFFFF"/>
        </w:rPr>
        <w:t>р. 58/16 и 21/20) који уређује битниe</w:t>
      </w:r>
      <w:r w:rsidR="00E55287" w:rsidRPr="001479F9">
        <w:rPr>
          <w:rFonts w:ascii="Times New Roman" w:hAnsi="Times New Roman" w:cs="Times New Roman"/>
          <w:sz w:val="24"/>
          <w:szCs w:val="24"/>
          <w:shd w:val="clear" w:color="auto" w:fill="FFFFFF"/>
        </w:rPr>
        <w:t xml:space="preserve"> захтеве за заштиту здравља и безбедности који се односе на пројектовање и израду машина, као и друге захтеве и услове који морају бити испуњени за њихово став</w:t>
      </w:r>
      <w:r w:rsidRPr="001479F9">
        <w:rPr>
          <w:rFonts w:ascii="Times New Roman" w:hAnsi="Times New Roman" w:cs="Times New Roman"/>
          <w:sz w:val="24"/>
          <w:szCs w:val="24"/>
          <w:shd w:val="clear" w:color="auto" w:fill="FFFFFF"/>
        </w:rPr>
        <w:t>љање на тржиште и/или употребу.</w:t>
      </w:r>
    </w:p>
    <w:p w14:paraId="4B90C4AC" w14:textId="77777777" w:rsidR="002D3919" w:rsidRDefault="00083804" w:rsidP="002D3919">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11) </w:t>
      </w:r>
      <w:r w:rsidR="00E55287" w:rsidRPr="001479F9">
        <w:rPr>
          <w:rFonts w:ascii="Times New Roman" w:hAnsi="Times New Roman" w:cs="Times New Roman"/>
          <w:sz w:val="24"/>
          <w:szCs w:val="24"/>
          <w:shd w:val="clear" w:color="auto" w:fill="FFFFFF"/>
        </w:rPr>
        <w:t xml:space="preserve">Закон о заштити </w:t>
      </w:r>
      <w:r w:rsidR="007B3A8C" w:rsidRPr="001479F9">
        <w:rPr>
          <w:rFonts w:ascii="Times New Roman" w:hAnsi="Times New Roman" w:cs="Times New Roman"/>
          <w:sz w:val="24"/>
          <w:szCs w:val="24"/>
          <w:shd w:val="clear" w:color="auto" w:fill="FFFFFF"/>
        </w:rPr>
        <w:t>од пожара („Службени гласник РС”</w:t>
      </w:r>
      <w:r w:rsidR="00E55287" w:rsidRPr="001479F9">
        <w:rPr>
          <w:rFonts w:ascii="Times New Roman" w:hAnsi="Times New Roman" w:cs="Times New Roman"/>
          <w:sz w:val="24"/>
          <w:szCs w:val="24"/>
          <w:shd w:val="clear" w:color="auto" w:fill="FFFFFF"/>
        </w:rPr>
        <w:t>, 111/09, 20/15,</w:t>
      </w:r>
      <w:r w:rsidR="0066697C" w:rsidRPr="006F6E3E">
        <w:rPr>
          <w:rFonts w:ascii="Times New Roman" w:hAnsi="Times New Roman" w:cs="Times New Roman"/>
          <w:sz w:val="24"/>
          <w:szCs w:val="24"/>
          <w:shd w:val="clear" w:color="auto" w:fill="FFFFFF"/>
        </w:rPr>
        <w:t xml:space="preserve"> 87/18 и</w:t>
      </w:r>
      <w:r w:rsidR="00E55287" w:rsidRPr="001479F9">
        <w:rPr>
          <w:rFonts w:ascii="Times New Roman" w:hAnsi="Times New Roman" w:cs="Times New Roman"/>
          <w:sz w:val="24"/>
          <w:szCs w:val="24"/>
          <w:shd w:val="clear" w:color="auto" w:fill="FFFFFF"/>
        </w:rPr>
        <w:t xml:space="preserve"> 87/18 - др. закони) којим се између осталог уређују питања обук</w:t>
      </w:r>
      <w:r w:rsidR="009D036A" w:rsidRPr="001479F9">
        <w:rPr>
          <w:rFonts w:ascii="Times New Roman" w:hAnsi="Times New Roman" w:cs="Times New Roman"/>
          <w:sz w:val="24"/>
          <w:szCs w:val="24"/>
          <w:shd w:val="clear" w:color="auto" w:fill="FFFFFF"/>
        </w:rPr>
        <w:t>а из области заштите од пожара.</w:t>
      </w:r>
    </w:p>
    <w:p w14:paraId="4D3D1A81" w14:textId="5D20BA1D" w:rsidR="00E55287" w:rsidRPr="001479F9" w:rsidRDefault="00083804" w:rsidP="002D3919">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lastRenderedPageBreak/>
        <w:t xml:space="preserve">12) </w:t>
      </w:r>
      <w:r w:rsidR="007B3A8C" w:rsidRPr="001479F9">
        <w:rPr>
          <w:rFonts w:ascii="Times New Roman" w:hAnsi="Times New Roman" w:cs="Times New Roman"/>
          <w:sz w:val="24"/>
          <w:szCs w:val="24"/>
          <w:shd w:val="clear" w:color="auto" w:fill="FFFFFF"/>
        </w:rPr>
        <w:t>Закон о хемикалијама</w:t>
      </w:r>
      <w:r w:rsidR="00E55287" w:rsidRPr="001479F9">
        <w:rPr>
          <w:rFonts w:ascii="Times New Roman" w:hAnsi="Times New Roman" w:cs="Times New Roman"/>
          <w:sz w:val="24"/>
          <w:szCs w:val="24"/>
          <w:shd w:val="clear" w:color="auto" w:fill="FFFFFF"/>
        </w:rPr>
        <w:t xml:space="preserve"> („Службени гласник РС</w:t>
      </w:r>
      <w:r w:rsidR="007B3A8C" w:rsidRPr="001479F9">
        <w:rPr>
          <w:rFonts w:ascii="Times New Roman" w:hAnsi="Times New Roman" w:cs="Times New Roman"/>
          <w:sz w:val="24"/>
          <w:szCs w:val="24"/>
          <w:shd w:val="clear" w:color="auto" w:fill="FFFFFF"/>
        </w:rPr>
        <w:t>”</w:t>
      </w:r>
      <w:r w:rsidR="00E55287" w:rsidRPr="001479F9">
        <w:rPr>
          <w:rFonts w:ascii="Times New Roman" w:hAnsi="Times New Roman" w:cs="Times New Roman"/>
          <w:sz w:val="24"/>
          <w:szCs w:val="24"/>
          <w:shd w:val="clear" w:color="auto" w:fill="FFFFFF"/>
        </w:rPr>
        <w:t>, бр. 36/09, 88/10, 92/11, 93/12, 25/15) којим се уређују питања интегрисаног управљања хемикалијама, класификација, паковање и обележавање хемикалија и друга питања.</w:t>
      </w:r>
    </w:p>
    <w:p w14:paraId="40309323" w14:textId="2C324136" w:rsidR="00E55287" w:rsidRPr="001479F9" w:rsidRDefault="00083804"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13) </w:t>
      </w:r>
      <w:r w:rsidR="00E55287" w:rsidRPr="001479F9">
        <w:rPr>
          <w:rFonts w:ascii="Times New Roman" w:hAnsi="Times New Roman" w:cs="Times New Roman"/>
          <w:sz w:val="24"/>
          <w:szCs w:val="24"/>
          <w:shd w:val="clear" w:color="auto" w:fill="FFFFFF"/>
        </w:rPr>
        <w:t>Законом о планирању и</w:t>
      </w:r>
      <w:r w:rsidR="007B3A8C" w:rsidRPr="001479F9">
        <w:rPr>
          <w:rFonts w:ascii="Times New Roman" w:hAnsi="Times New Roman" w:cs="Times New Roman"/>
          <w:sz w:val="24"/>
          <w:szCs w:val="24"/>
          <w:shd w:val="clear" w:color="auto" w:fill="FFFFFF"/>
        </w:rPr>
        <w:t xml:space="preserve"> изградњи („Службени гласник РС”</w:t>
      </w:r>
      <w:r w:rsidR="00E55287" w:rsidRPr="001479F9">
        <w:rPr>
          <w:rFonts w:ascii="Times New Roman" w:hAnsi="Times New Roman" w:cs="Times New Roman"/>
          <w:sz w:val="24"/>
          <w:szCs w:val="24"/>
          <w:shd w:val="clear" w:color="auto" w:fill="FFFFFF"/>
        </w:rPr>
        <w:t xml:space="preserve">, бр. 72/09, 81/09 - испр., 64/10 - одлука УС, 24/11, 121/12, 42/13 - одлука УС, 50/13 - одлука УС, 98/13 - одлука УС, 132/14, 145/14, 83/18, 31/19, 37/19 - др. закон, 9/20, 52/21 и 62/23) уређују се услови и начин уређења простора, начин и услови изградње објеката и друга питања од значаја за планирање простора и изградњу објеката. Овај закон је веома важан са аспекта безбедности  и здравља на раду и усаглашености са прописима из ове области, посебно имајући у виду да су у Закон пренете Директиве Савета 89/391/ЕЕЗ од 12. јуна 1989. године о увођењу мера за подстицање побољшања безбедности и здравља запослених на раду и Директива Европског парламента и Савета 92/57/ЕЕЗ од 24. јуна 1992. </w:t>
      </w:r>
      <w:proofErr w:type="gramStart"/>
      <w:r w:rsidR="00E55287" w:rsidRPr="001479F9">
        <w:rPr>
          <w:rFonts w:ascii="Times New Roman" w:hAnsi="Times New Roman" w:cs="Times New Roman"/>
          <w:sz w:val="24"/>
          <w:szCs w:val="24"/>
          <w:shd w:val="clear" w:color="auto" w:fill="FFFFFF"/>
        </w:rPr>
        <w:t>године</w:t>
      </w:r>
      <w:proofErr w:type="gramEnd"/>
      <w:r w:rsidR="00E55287" w:rsidRPr="001479F9">
        <w:rPr>
          <w:rFonts w:ascii="Times New Roman" w:hAnsi="Times New Roman" w:cs="Times New Roman"/>
          <w:sz w:val="24"/>
          <w:szCs w:val="24"/>
          <w:shd w:val="clear" w:color="auto" w:fill="FFFFFF"/>
        </w:rPr>
        <w:t xml:space="preserve"> о минималним захтевима за БЗР на привреме</w:t>
      </w:r>
      <w:r w:rsidR="009D036A" w:rsidRPr="001479F9">
        <w:rPr>
          <w:rFonts w:ascii="Times New Roman" w:hAnsi="Times New Roman" w:cs="Times New Roman"/>
          <w:sz w:val="24"/>
          <w:szCs w:val="24"/>
          <w:shd w:val="clear" w:color="auto" w:fill="FFFFFF"/>
        </w:rPr>
        <w:t>ним или покретним градилиштима.</w:t>
      </w:r>
    </w:p>
    <w:p w14:paraId="104E17FE" w14:textId="4B3E0900" w:rsidR="00E55287" w:rsidRPr="001479F9" w:rsidRDefault="00083804"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14) </w:t>
      </w:r>
      <w:r w:rsidR="008A7CCC" w:rsidRPr="001479F9">
        <w:rPr>
          <w:rFonts w:ascii="Times New Roman" w:hAnsi="Times New Roman" w:cs="Times New Roman"/>
          <w:sz w:val="24"/>
          <w:szCs w:val="24"/>
          <w:shd w:val="clear" w:color="auto" w:fill="FFFFFF"/>
        </w:rPr>
        <w:t>Законом о дуалном образовању („Службени гласник РС”</w:t>
      </w:r>
      <w:r w:rsidR="00E55287" w:rsidRPr="001479F9">
        <w:rPr>
          <w:rFonts w:ascii="Times New Roman" w:hAnsi="Times New Roman" w:cs="Times New Roman"/>
          <w:sz w:val="24"/>
          <w:szCs w:val="24"/>
          <w:shd w:val="clear" w:color="auto" w:fill="FFFFFF"/>
        </w:rPr>
        <w:t>, бр. 101/17, 6/20) уређују се садржај и начин остваривања дуалног образовања, узајамна права и обавезе ученика, родитеља, односно других законских заступника ученика, школе и послодавца, материјално и финансијско обезбеђење ученика, као и друга питања од значаја за дуално образовање. Одредбе овог закона примењују се на део средњег стручног образовања и васпитања за образовне профиле у трајању од три, односно четири године и мајсторско и специјалистичко образовање, као и образовање за рад у трајању од дв</w:t>
      </w:r>
      <w:r w:rsidR="009D036A" w:rsidRPr="001479F9">
        <w:rPr>
          <w:rFonts w:ascii="Times New Roman" w:hAnsi="Times New Roman" w:cs="Times New Roman"/>
          <w:sz w:val="24"/>
          <w:szCs w:val="24"/>
          <w:shd w:val="clear" w:color="auto" w:fill="FFFFFF"/>
        </w:rPr>
        <w:t xml:space="preserve">е године, у складу са законом. </w:t>
      </w:r>
    </w:p>
    <w:p w14:paraId="25640011" w14:textId="2A462956" w:rsidR="00E55287" w:rsidRPr="001479F9" w:rsidRDefault="00083804" w:rsidP="009D036A">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15) </w:t>
      </w:r>
      <w:r w:rsidR="00E55287" w:rsidRPr="001479F9">
        <w:rPr>
          <w:rFonts w:ascii="Times New Roman" w:hAnsi="Times New Roman" w:cs="Times New Roman"/>
          <w:sz w:val="24"/>
          <w:szCs w:val="24"/>
          <w:shd w:val="clear" w:color="auto" w:fill="FFFFFF"/>
        </w:rPr>
        <w:t>Правилник о превентивним мерама з</w:t>
      </w:r>
      <w:r w:rsidR="008A7CCC" w:rsidRPr="001479F9">
        <w:rPr>
          <w:rFonts w:ascii="Times New Roman" w:hAnsi="Times New Roman" w:cs="Times New Roman"/>
          <w:sz w:val="24"/>
          <w:szCs w:val="24"/>
          <w:shd w:val="clear" w:color="auto" w:fill="FFFFFF"/>
        </w:rPr>
        <w:t>а безбедан и здрав рад младих („Службени гласник РС”</w:t>
      </w:r>
      <w:r w:rsidR="00E55287" w:rsidRPr="001479F9">
        <w:rPr>
          <w:rFonts w:ascii="Times New Roman" w:hAnsi="Times New Roman" w:cs="Times New Roman"/>
          <w:sz w:val="24"/>
          <w:szCs w:val="24"/>
          <w:shd w:val="clear" w:color="auto" w:fill="FFFFFF"/>
        </w:rPr>
        <w:t>, број 102/16) којим се прописују захтеви које је послодавац дужан да испуни у обезбеђивању примене превентивних мера са циљем отклањања или свођења на најмању могућу меру ризика од настанка оштећења здравља младих на раду, а нарочито у вези са њихови</w:t>
      </w:r>
      <w:r w:rsidR="009D036A" w:rsidRPr="001479F9">
        <w:rPr>
          <w:rFonts w:ascii="Times New Roman" w:hAnsi="Times New Roman" w:cs="Times New Roman"/>
          <w:sz w:val="24"/>
          <w:szCs w:val="24"/>
          <w:shd w:val="clear" w:color="auto" w:fill="FFFFFF"/>
        </w:rPr>
        <w:t>м духовним и телесним развојем.</w:t>
      </w:r>
    </w:p>
    <w:p w14:paraId="7070195C" w14:textId="39A41A13" w:rsidR="006F6E3E" w:rsidRPr="006F6E3E" w:rsidRDefault="00083804" w:rsidP="00EA0EA6">
      <w:pPr>
        <w:ind w:firstLine="720"/>
        <w:jc w:val="both"/>
        <w:rPr>
          <w:rFonts w:ascii="Times New Roman" w:hAnsi="Times New Roman" w:cs="Times New Roman"/>
          <w:sz w:val="24"/>
          <w:szCs w:val="24"/>
          <w:shd w:val="clear" w:color="auto" w:fill="FFFFFF"/>
        </w:rPr>
      </w:pPr>
      <w:r w:rsidRPr="001479F9">
        <w:rPr>
          <w:rFonts w:ascii="Times New Roman" w:hAnsi="Times New Roman" w:cs="Times New Roman"/>
          <w:sz w:val="24"/>
          <w:szCs w:val="24"/>
          <w:shd w:val="clear" w:color="auto" w:fill="FFFFFF"/>
        </w:rPr>
        <w:t xml:space="preserve">16) </w:t>
      </w:r>
      <w:r w:rsidR="00E55287" w:rsidRPr="001479F9">
        <w:rPr>
          <w:rFonts w:ascii="Times New Roman" w:hAnsi="Times New Roman" w:cs="Times New Roman"/>
          <w:sz w:val="24"/>
          <w:szCs w:val="24"/>
          <w:shd w:val="clear" w:color="auto" w:fill="FFFFFF"/>
        </w:rPr>
        <w:t>Правилник о мерама за безбедан и здрав рад запослене жене за време трудноће, породи</w:t>
      </w:r>
      <w:r w:rsidR="008A7CCC" w:rsidRPr="001479F9">
        <w:rPr>
          <w:rFonts w:ascii="Times New Roman" w:hAnsi="Times New Roman" w:cs="Times New Roman"/>
          <w:sz w:val="24"/>
          <w:szCs w:val="24"/>
          <w:shd w:val="clear" w:color="auto" w:fill="FFFFFF"/>
        </w:rPr>
        <w:t>ље и запослене која доји дете („Службени гласник РС”</w:t>
      </w:r>
      <w:r w:rsidR="00E55287" w:rsidRPr="001479F9">
        <w:rPr>
          <w:rFonts w:ascii="Times New Roman" w:hAnsi="Times New Roman" w:cs="Times New Roman"/>
          <w:sz w:val="24"/>
          <w:szCs w:val="24"/>
          <w:shd w:val="clear" w:color="auto" w:fill="FFFFFF"/>
        </w:rPr>
        <w:t>, број 102/16) којим се прописују захтеви које је послодавац дужан да испуни у обезбеђивању примене мера за безбедан и здрав рад са циљем спречавања, отклањања и смањења на најмању могућу меру ризика по безбедност и здравље запослене жен</w:t>
      </w:r>
      <w:r w:rsidR="00E87BBA" w:rsidRPr="001479F9">
        <w:rPr>
          <w:rFonts w:ascii="Times New Roman" w:hAnsi="Times New Roman" w:cs="Times New Roman"/>
          <w:sz w:val="24"/>
          <w:szCs w:val="24"/>
          <w:shd w:val="clear" w:color="auto" w:fill="FFFFFF"/>
        </w:rPr>
        <w:t>е за време трудноће, породиље</w:t>
      </w:r>
      <w:r w:rsidR="00E87BBA" w:rsidRPr="006F6E3E">
        <w:rPr>
          <w:rFonts w:ascii="Times New Roman" w:hAnsi="Times New Roman" w:cs="Times New Roman"/>
          <w:sz w:val="24"/>
          <w:szCs w:val="24"/>
          <w:shd w:val="clear" w:color="auto" w:fill="FFFFFF"/>
        </w:rPr>
        <w:t xml:space="preserve"> и запослене која доји дете.</w:t>
      </w:r>
    </w:p>
    <w:p w14:paraId="7F1E71E8" w14:textId="4154DD24" w:rsidR="00D157C3" w:rsidRPr="00A5461F" w:rsidRDefault="00D157C3" w:rsidP="00E87BBA">
      <w:pPr>
        <w:ind w:firstLine="720"/>
        <w:jc w:val="both"/>
        <w:rPr>
          <w:rFonts w:ascii="Times New Roman" w:hAnsi="Times New Roman" w:cs="Times New Roman"/>
          <w:b/>
          <w:sz w:val="24"/>
          <w:szCs w:val="24"/>
          <w:shd w:val="clear" w:color="auto" w:fill="FFFFFF"/>
        </w:rPr>
      </w:pPr>
      <w:r w:rsidRPr="00A5461F">
        <w:rPr>
          <w:rFonts w:ascii="Times New Roman" w:hAnsi="Times New Roman" w:cs="Times New Roman"/>
          <w:b/>
          <w:sz w:val="24"/>
          <w:szCs w:val="24"/>
          <w:shd w:val="clear" w:color="auto" w:fill="FFFFFF"/>
        </w:rPr>
        <w:t>2</w:t>
      </w:r>
      <w:r w:rsidR="00E87BBA" w:rsidRPr="00A5461F">
        <w:rPr>
          <w:rFonts w:ascii="Times New Roman" w:hAnsi="Times New Roman" w:cs="Times New Roman"/>
          <w:b/>
          <w:sz w:val="24"/>
          <w:szCs w:val="24"/>
          <w:shd w:val="clear" w:color="auto" w:fill="FFFFFF"/>
        </w:rPr>
        <w:t>.3. Међународни оквир</w:t>
      </w:r>
    </w:p>
    <w:p w14:paraId="1CD8EDFC" w14:textId="77777777" w:rsidR="00E87BBA"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Правни оквир за безбедност и здравље на раду у Републици Србији заснован је на међународним стандардима (правном оквиру ЕУ и конвенцијама МОР) који су установљени на примени принципа превенције од повреда на раду, обољења или оштећења здравља запосленог који се спроводе пре почетка рада на радном месту и у радној околини. </w:t>
      </w:r>
    </w:p>
    <w:p w14:paraId="492EAF0B" w14:textId="77777777" w:rsidR="00E87BBA"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Кључни оквир ЕУ представља Директива Савета 89/391/ЕЕЗ од 12. јуна 1989. године, о увођењу мера за подстицање побољшања безбедности и здравља радника на раду, као и остале посебне директиве донете по основу члана 16. ове директиве. Поред ове директиве појединачне директиве уређују специфична питања у области безбедности и здравља на раду. Ове директиве прилагођавају принципе оквирне </w:t>
      </w:r>
      <w:r w:rsidRPr="00A5461F">
        <w:rPr>
          <w:rFonts w:ascii="Times New Roman" w:hAnsi="Times New Roman" w:cs="Times New Roman"/>
          <w:sz w:val="24"/>
          <w:szCs w:val="24"/>
          <w:shd w:val="clear" w:color="auto" w:fill="FFFFFF"/>
        </w:rPr>
        <w:lastRenderedPageBreak/>
        <w:t>директиве на пример за специфичне задатке (нпр. ручно руковање теретом), специфичне опасности (нпр. излагање опасним супстанцама или физичким агенсима), специфична радна места и секторе (нпр. привремена радна места, индустрија рударства), специфичне групе запослених (нпр. труднице, млади радници, радници са уговором о раду на одређено време) и одређене аспекте у вези са послова (нпр. организација радног времена). Ове директиве такође су транспоноване у домаће законодавство.</w:t>
      </w:r>
      <w:r w:rsidRPr="00A5461F">
        <w:rPr>
          <w:rFonts w:ascii="Times New Roman" w:hAnsi="Times New Roman" w:cs="Times New Roman"/>
          <w:sz w:val="24"/>
          <w:szCs w:val="24"/>
          <w:shd w:val="clear" w:color="auto" w:fill="FFFFFF"/>
          <w:vertAlign w:val="superscript"/>
        </w:rPr>
        <w:footnoteReference w:id="7"/>
      </w:r>
      <w:r w:rsidRPr="00A5461F">
        <w:rPr>
          <w:rFonts w:ascii="Times New Roman" w:hAnsi="Times New Roman" w:cs="Times New Roman"/>
          <w:sz w:val="24"/>
          <w:szCs w:val="24"/>
          <w:shd w:val="clear" w:color="auto" w:fill="FFFFFF"/>
        </w:rPr>
        <w:t xml:space="preserve"> Ипак, оквирна директива наставља да се примењује на све области обухваћене појединачним директивама. Тамо где појединачне директиве садрже строжије и специфичније одредбе, те посебне одредбе преовладавају. </w:t>
      </w:r>
    </w:p>
    <w:p w14:paraId="3EC1EB35" w14:textId="77777777" w:rsidR="00E0293E"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Други кључни акти ЕУ обухватају Европску социјалну повељу и Смернице за процену ризика  из 1996. године. Коначно, Европска комисија је усвојила Стратешки оквир за здравље и безбедност за период 2021-2027 којим се утврђују кључни приоритети и активности за унапређење здравља и безбедности радника. Стратешки оквир фокусиран је на: </w:t>
      </w:r>
    </w:p>
    <w:p w14:paraId="74D04719" w14:textId="7831708E" w:rsidR="00E0293E"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1) </w:t>
      </w:r>
      <w:proofErr w:type="gramStart"/>
      <w:r w:rsidRPr="00A5461F">
        <w:rPr>
          <w:rFonts w:ascii="Times New Roman" w:hAnsi="Times New Roman" w:cs="Times New Roman"/>
          <w:sz w:val="24"/>
          <w:szCs w:val="24"/>
          <w:shd w:val="clear" w:color="auto" w:fill="FFFFFF"/>
        </w:rPr>
        <w:t>предвиђање</w:t>
      </w:r>
      <w:proofErr w:type="gramEnd"/>
      <w:r w:rsidRPr="00A5461F">
        <w:rPr>
          <w:rFonts w:ascii="Times New Roman" w:hAnsi="Times New Roman" w:cs="Times New Roman"/>
          <w:sz w:val="24"/>
          <w:szCs w:val="24"/>
          <w:shd w:val="clear" w:color="auto" w:fill="FFFFFF"/>
        </w:rPr>
        <w:t xml:space="preserve"> и управљање променама у контексту зелене, дигиталне и демографске транзиције; </w:t>
      </w:r>
    </w:p>
    <w:p w14:paraId="1686A4CF" w14:textId="499D7559" w:rsidR="00E0293E"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2) </w:t>
      </w:r>
      <w:proofErr w:type="gramStart"/>
      <w:r w:rsidRPr="00A5461F">
        <w:rPr>
          <w:rFonts w:ascii="Times New Roman" w:hAnsi="Times New Roman" w:cs="Times New Roman"/>
          <w:sz w:val="24"/>
          <w:szCs w:val="24"/>
          <w:shd w:val="clear" w:color="auto" w:fill="FFFFFF"/>
        </w:rPr>
        <w:t>бољу</w:t>
      </w:r>
      <w:proofErr w:type="gramEnd"/>
      <w:r w:rsidRPr="00A5461F">
        <w:rPr>
          <w:rFonts w:ascii="Times New Roman" w:hAnsi="Times New Roman" w:cs="Times New Roman"/>
          <w:sz w:val="24"/>
          <w:szCs w:val="24"/>
          <w:shd w:val="clear" w:color="auto" w:fill="FFFFFF"/>
        </w:rPr>
        <w:t xml:space="preserve"> превенцију повреда на раду и професионалних болести те смањење повреда са смртним исходом на нулу (Vision Zero), и </w:t>
      </w:r>
    </w:p>
    <w:p w14:paraId="1EFE1250" w14:textId="225B6F53" w:rsidR="00E87BBA"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3) </w:t>
      </w:r>
      <w:proofErr w:type="gramStart"/>
      <w:r w:rsidRPr="00A5461F">
        <w:rPr>
          <w:rFonts w:ascii="Times New Roman" w:hAnsi="Times New Roman" w:cs="Times New Roman"/>
          <w:sz w:val="24"/>
          <w:szCs w:val="24"/>
          <w:shd w:val="clear" w:color="auto" w:fill="FFFFFF"/>
        </w:rPr>
        <w:t>повећање</w:t>
      </w:r>
      <w:proofErr w:type="gramEnd"/>
      <w:r w:rsidRPr="00A5461F">
        <w:rPr>
          <w:rFonts w:ascii="Times New Roman" w:hAnsi="Times New Roman" w:cs="Times New Roman"/>
          <w:sz w:val="24"/>
          <w:szCs w:val="24"/>
          <w:shd w:val="clear" w:color="auto" w:fill="FFFFFF"/>
        </w:rPr>
        <w:t xml:space="preserve"> спремности за одговор на здравствене кризе.</w:t>
      </w:r>
    </w:p>
    <w:p w14:paraId="14114E53" w14:textId="77777777" w:rsidR="00E87BBA"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Међународна организације рада (MOР) је примарни субјект у креирању међународног радног законодавства. Међународни стандарди рада доносе се у форми конвенција или препорука и регулишу основна права запослених попут слободе удруживања, права организовања, колективног преговарања, укидања принудног рада, једнакости у пружању шанси и третмана, као и других стандарда који регулишу услове који се односе на читав спектар питања из области радног права. Република Србија је чланица МОР-а од њеног оснивања 1919. године. Међународне конвенције које доноси МОР у области безбедности и здравља на раду представљају најважнија законодавна акта о овој материји. У њима су прописани најзначајнији стандарди, пре свега за подручје технике, здравства и права који су у непосредној вези са безбедношћу и здрављем на раду. Република Србија је до данас у области безбедности и здравља на раду ратификовала, односно потврдила велики број конвенција МОР-а у виду закона чије су норме директно имплементиране у национално законодавство из области безбедности и здравља на раду, и као такве се непосредно примењују. Кључне Конвенције из области безбедности и здравља на раду су: </w:t>
      </w:r>
    </w:p>
    <w:p w14:paraId="76F66FA9" w14:textId="094CC502" w:rsidR="00E87BBA" w:rsidRPr="000B4435" w:rsidRDefault="00E87BBA" w:rsidP="00E87BBA">
      <w:pPr>
        <w:ind w:firstLine="720"/>
        <w:jc w:val="both"/>
        <w:rPr>
          <w:rFonts w:ascii="Times New Roman" w:hAnsi="Times New Roman" w:cs="Times New Roman"/>
          <w:sz w:val="24"/>
          <w:szCs w:val="24"/>
          <w:shd w:val="clear" w:color="auto" w:fill="FFFFFF"/>
          <w:lang w:val="sr-Cyrl-RS"/>
        </w:rPr>
      </w:pPr>
      <w:r w:rsidRPr="00A5461F">
        <w:rPr>
          <w:rFonts w:ascii="Times New Roman" w:hAnsi="Times New Roman" w:cs="Times New Roman"/>
          <w:sz w:val="24"/>
          <w:szCs w:val="24"/>
          <w:shd w:val="clear" w:color="auto" w:fill="FFFFFF"/>
        </w:rPr>
        <w:t xml:space="preserve">1) Конвенција Међународне организације рада број 155 о заштити на раду, здравственој заштити и радној средини, усвојена 22. </w:t>
      </w:r>
      <w:proofErr w:type="gramStart"/>
      <w:r w:rsidRPr="00A5461F">
        <w:rPr>
          <w:rFonts w:ascii="Times New Roman" w:hAnsi="Times New Roman" w:cs="Times New Roman"/>
          <w:sz w:val="24"/>
          <w:szCs w:val="24"/>
          <w:shd w:val="clear" w:color="auto" w:fill="FFFFFF"/>
        </w:rPr>
        <w:t>јуна</w:t>
      </w:r>
      <w:proofErr w:type="gramEnd"/>
      <w:r w:rsidRPr="00A5461F">
        <w:rPr>
          <w:rFonts w:ascii="Times New Roman" w:hAnsi="Times New Roman" w:cs="Times New Roman"/>
          <w:sz w:val="24"/>
          <w:szCs w:val="24"/>
          <w:shd w:val="clear" w:color="auto" w:fill="FFFFFF"/>
        </w:rPr>
        <w:t xml:space="preserve"> 1981. </w:t>
      </w:r>
      <w:r w:rsidR="000B4435">
        <w:rPr>
          <w:rFonts w:ascii="Times New Roman" w:hAnsi="Times New Roman" w:cs="Times New Roman"/>
          <w:sz w:val="24"/>
          <w:szCs w:val="24"/>
          <w:shd w:val="clear" w:color="auto" w:fill="FFFFFF"/>
          <w:lang w:val="sr-Cyrl-RS"/>
        </w:rPr>
        <w:t>године.</w:t>
      </w:r>
    </w:p>
    <w:p w14:paraId="6726985C" w14:textId="5D930249" w:rsidR="00E87BBA"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2) Конвенција Међународне организације рада број 167 о безбедности и здрављу у грађевинарству, усвојена 20. јуна 1988. </w:t>
      </w:r>
      <w:r w:rsidR="000B4435">
        <w:rPr>
          <w:rFonts w:ascii="Times New Roman" w:hAnsi="Times New Roman" w:cs="Times New Roman"/>
          <w:sz w:val="24"/>
          <w:szCs w:val="24"/>
          <w:shd w:val="clear" w:color="auto" w:fill="FFFFFF"/>
          <w:lang w:val="sr-Cyrl-RS"/>
        </w:rPr>
        <w:t>године.</w:t>
      </w:r>
      <w:r w:rsidRPr="00A5461F">
        <w:rPr>
          <w:rFonts w:ascii="Times New Roman" w:hAnsi="Times New Roman" w:cs="Times New Roman"/>
          <w:sz w:val="24"/>
          <w:szCs w:val="24"/>
          <w:shd w:val="clear" w:color="auto" w:fill="FFFFFF"/>
        </w:rPr>
        <w:t xml:space="preserve"> </w:t>
      </w:r>
    </w:p>
    <w:p w14:paraId="4EAFE5E6" w14:textId="7FC10984" w:rsidR="00E87BBA"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3) Конвенција Међународне организације рада број 184 безбедност и здравље у пољопривреди, усвојена 21. јуна 2001. </w:t>
      </w:r>
      <w:r w:rsidR="000B4435">
        <w:rPr>
          <w:rFonts w:ascii="Times New Roman" w:hAnsi="Times New Roman" w:cs="Times New Roman"/>
          <w:sz w:val="24"/>
          <w:szCs w:val="24"/>
          <w:shd w:val="clear" w:color="auto" w:fill="FFFFFF"/>
          <w:lang w:val="sr-Cyrl-RS"/>
        </w:rPr>
        <w:t>године.</w:t>
      </w:r>
    </w:p>
    <w:p w14:paraId="4D1398A6" w14:textId="7CA3B65D" w:rsidR="00E87BBA" w:rsidRPr="00A5461F" w:rsidRDefault="00E87BBA" w:rsidP="00E87BBA">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lastRenderedPageBreak/>
        <w:t xml:space="preserve">4) Конвенција Међународне организације рада број 187 о промотивном оквиру безбедности и здравља на раду, усвојена 15. </w:t>
      </w:r>
      <w:proofErr w:type="gramStart"/>
      <w:r w:rsidRPr="00A5461F">
        <w:rPr>
          <w:rFonts w:ascii="Times New Roman" w:hAnsi="Times New Roman" w:cs="Times New Roman"/>
          <w:sz w:val="24"/>
          <w:szCs w:val="24"/>
          <w:shd w:val="clear" w:color="auto" w:fill="FFFFFF"/>
        </w:rPr>
        <w:t>јуна</w:t>
      </w:r>
      <w:proofErr w:type="gramEnd"/>
      <w:r w:rsidRPr="00A5461F">
        <w:rPr>
          <w:rFonts w:ascii="Times New Roman" w:hAnsi="Times New Roman" w:cs="Times New Roman"/>
          <w:sz w:val="24"/>
          <w:szCs w:val="24"/>
          <w:shd w:val="clear" w:color="auto" w:fill="FFFFFF"/>
        </w:rPr>
        <w:t xml:space="preserve"> 2006.</w:t>
      </w:r>
      <w:r w:rsidR="000B4435" w:rsidRPr="000B4435">
        <w:rPr>
          <w:rFonts w:ascii="Times New Roman" w:hAnsi="Times New Roman" w:cs="Times New Roman"/>
          <w:sz w:val="24"/>
          <w:szCs w:val="24"/>
          <w:shd w:val="clear" w:color="auto" w:fill="FFFFFF"/>
          <w:lang w:val="sr-Cyrl-RS"/>
        </w:rPr>
        <w:t xml:space="preserve"> </w:t>
      </w:r>
      <w:r w:rsidR="000B4435">
        <w:rPr>
          <w:rFonts w:ascii="Times New Roman" w:hAnsi="Times New Roman" w:cs="Times New Roman"/>
          <w:sz w:val="24"/>
          <w:szCs w:val="24"/>
          <w:shd w:val="clear" w:color="auto" w:fill="FFFFFF"/>
          <w:lang w:val="sr-Cyrl-RS"/>
        </w:rPr>
        <w:t>године.</w:t>
      </w:r>
    </w:p>
    <w:p w14:paraId="77F89034" w14:textId="544E3857" w:rsidR="00A5461F" w:rsidRPr="00EA0EA6" w:rsidRDefault="00E87BBA" w:rsidP="00EA0EA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Aктивности усаглашавања и транспоновања неопходно je наставити с обзиром да већ донети прописи нису у потпуности усаглашени са директивама, као и због чињенице да ЕУ мења директиве које је донела, а истовремено доноси нове због увођења нових технологија и процеса рада.</w:t>
      </w:r>
    </w:p>
    <w:p w14:paraId="02C038D5" w14:textId="4EA9C71A" w:rsidR="001374C9" w:rsidRPr="00A5461F" w:rsidRDefault="008B54F6" w:rsidP="008B54F6">
      <w:pPr>
        <w:ind w:firstLine="720"/>
        <w:jc w:val="both"/>
        <w:rPr>
          <w:rFonts w:ascii="Times New Roman" w:hAnsi="Times New Roman" w:cs="Times New Roman"/>
          <w:b/>
          <w:sz w:val="24"/>
          <w:szCs w:val="24"/>
          <w:shd w:val="clear" w:color="auto" w:fill="FFFFFF"/>
        </w:rPr>
      </w:pPr>
      <w:bookmarkStart w:id="5" w:name="_Toc126746513"/>
      <w:r w:rsidRPr="00A5461F">
        <w:rPr>
          <w:rFonts w:ascii="Times New Roman" w:hAnsi="Times New Roman" w:cs="Times New Roman"/>
          <w:b/>
          <w:sz w:val="24"/>
          <w:szCs w:val="24"/>
          <w:shd w:val="clear" w:color="auto" w:fill="FFFFFF"/>
        </w:rPr>
        <w:t xml:space="preserve">2.4. </w:t>
      </w:r>
      <w:r w:rsidR="001374C9" w:rsidRPr="00A5461F">
        <w:rPr>
          <w:rFonts w:ascii="Times New Roman" w:hAnsi="Times New Roman" w:cs="Times New Roman"/>
          <w:b/>
          <w:sz w:val="24"/>
          <w:szCs w:val="24"/>
          <w:shd w:val="clear" w:color="auto" w:fill="FFFFFF"/>
        </w:rPr>
        <w:t>Анализа управљачко-организационог оквира</w:t>
      </w:r>
      <w:bookmarkEnd w:id="5"/>
    </w:p>
    <w:p w14:paraId="2351023F" w14:textId="0420A24C" w:rsidR="001374C9" w:rsidRPr="00A5461F" w:rsidRDefault="008B54F6" w:rsidP="008B54F6">
      <w:pPr>
        <w:ind w:firstLine="720"/>
        <w:jc w:val="both"/>
        <w:rPr>
          <w:rFonts w:ascii="Times New Roman" w:hAnsi="Times New Roman" w:cs="Times New Roman"/>
          <w:b/>
          <w:sz w:val="24"/>
          <w:szCs w:val="24"/>
          <w:shd w:val="clear" w:color="auto" w:fill="FFFFFF"/>
        </w:rPr>
      </w:pPr>
      <w:bookmarkStart w:id="6" w:name="_Toc126746514"/>
      <w:r w:rsidRPr="00A5461F">
        <w:rPr>
          <w:rFonts w:ascii="Times New Roman" w:hAnsi="Times New Roman" w:cs="Times New Roman"/>
          <w:b/>
          <w:sz w:val="24"/>
          <w:szCs w:val="24"/>
          <w:shd w:val="clear" w:color="auto" w:fill="FFFFFF"/>
        </w:rPr>
        <w:t xml:space="preserve">2.4.1. </w:t>
      </w:r>
      <w:r w:rsidR="001374C9" w:rsidRPr="00A5461F">
        <w:rPr>
          <w:rFonts w:ascii="Times New Roman" w:hAnsi="Times New Roman" w:cs="Times New Roman"/>
          <w:b/>
          <w:sz w:val="24"/>
          <w:szCs w:val="24"/>
          <w:shd w:val="clear" w:color="auto" w:fill="FFFFFF"/>
        </w:rPr>
        <w:t>Управа за безбедност и здравље на раду</w:t>
      </w:r>
      <w:bookmarkEnd w:id="6"/>
    </w:p>
    <w:p w14:paraId="75CFED93" w14:textId="0124CB10"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Како би се установио функционални систем безбедности и здравља на раду у складу са директивама ЕУ у Републици Србији је формирана Управа за безбедност и здравље на раду (у даљем тексту: У</w:t>
      </w:r>
      <w:r w:rsidR="001C1F2C" w:rsidRPr="00A5461F">
        <w:rPr>
          <w:rFonts w:ascii="Times New Roman" w:hAnsi="Times New Roman" w:cs="Times New Roman"/>
          <w:sz w:val="24"/>
          <w:szCs w:val="24"/>
          <w:shd w:val="clear" w:color="auto" w:fill="FFFFFF"/>
        </w:rPr>
        <w:t>права</w:t>
      </w:r>
      <w:r w:rsidRPr="00A5461F">
        <w:rPr>
          <w:rFonts w:ascii="Times New Roman" w:hAnsi="Times New Roman" w:cs="Times New Roman"/>
          <w:sz w:val="24"/>
          <w:szCs w:val="24"/>
          <w:shd w:val="clear" w:color="auto" w:fill="FFFFFF"/>
        </w:rPr>
        <w:t xml:space="preserve">) која функционише као посебан орган управе у саставу министарства надлежног за рад, утврђујући и њену надлежност. </w:t>
      </w:r>
    </w:p>
    <w:p w14:paraId="44DA0435"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Управа има кључну улогу у погледу израде прописа у области безбедности и здравља на раду и давању мишљења за њихову примену. Управа такође врши и низ других послова укључујући  праћење и оцењивање стања безбедности и здравља на раду и припремање ставова за јединствено уређивање мера безбедности и здравља на раду које су предмет Закона о безбедности и здрављу на раду и других прописа; пружање стручне помоћи у области безбедности и здравља запослених; анализа узрока и појава који за последицу имају повреде на раду, професионалне болести и болести у вези са радом; организовање полагања стручних испита; вршење надзора над радом правних лица и предузетника као и одговорних лица са лиценцом и припремање предлога решења за издавање и одузимање лиценци, о чему се води евиденција; прикупљање и анализу података о повредама на раду, професионалним обољењима, болестима у вези са радом и појавама које утичу на здравље запослених; обављање информационо –документационе делатности у области безбедности и здравља запослених. </w:t>
      </w:r>
    </w:p>
    <w:p w14:paraId="59B2578C" w14:textId="41672CB8" w:rsidR="008B54F6" w:rsidRPr="00A5461F" w:rsidRDefault="001374C9" w:rsidP="00FC51AE">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Управа такође организује саветовања, едукације запослених, послодаваца, саветника, односно сарадника за безбедност и здравље на раду, инспектора и др.; објављује различите материјале и информише јавност о стању у области безбедности и здравља на раду; подстиче образовање и развијање културе рада у области безбедности и здравља на раду, стара се о додели националних признања у области безбедности и здравља на раду у циљу промовисања добре праксе. У Управи је запослено девет лица.</w:t>
      </w:r>
    </w:p>
    <w:p w14:paraId="0790D104" w14:textId="76C843AC" w:rsidR="001374C9" w:rsidRPr="00A5461F" w:rsidRDefault="008B54F6" w:rsidP="008B54F6">
      <w:pPr>
        <w:ind w:firstLine="720"/>
        <w:jc w:val="both"/>
        <w:rPr>
          <w:rFonts w:ascii="Times New Roman" w:hAnsi="Times New Roman" w:cs="Times New Roman"/>
          <w:b/>
          <w:sz w:val="24"/>
          <w:szCs w:val="24"/>
          <w:shd w:val="clear" w:color="auto" w:fill="FFFFFF"/>
        </w:rPr>
      </w:pPr>
      <w:bookmarkStart w:id="7" w:name="_Toc126746515"/>
      <w:r w:rsidRPr="00A5461F">
        <w:rPr>
          <w:rFonts w:ascii="Times New Roman" w:hAnsi="Times New Roman" w:cs="Times New Roman"/>
          <w:b/>
          <w:sz w:val="24"/>
          <w:szCs w:val="24"/>
          <w:shd w:val="clear" w:color="auto" w:fill="FFFFFF"/>
          <w:lang w:val="sr-Cyrl-RS"/>
        </w:rPr>
        <w:t xml:space="preserve">2.4.2. </w:t>
      </w:r>
      <w:r w:rsidR="001374C9" w:rsidRPr="00A5461F">
        <w:rPr>
          <w:rFonts w:ascii="Times New Roman" w:hAnsi="Times New Roman" w:cs="Times New Roman"/>
          <w:b/>
          <w:sz w:val="24"/>
          <w:szCs w:val="24"/>
          <w:shd w:val="clear" w:color="auto" w:fill="FFFFFF"/>
        </w:rPr>
        <w:t>Инспекторат за рад</w:t>
      </w:r>
      <w:bookmarkEnd w:id="7"/>
    </w:p>
    <w:p w14:paraId="59AF39ED" w14:textId="77777777" w:rsidR="001374C9" w:rsidRPr="00A5461F" w:rsidRDefault="001374C9" w:rsidP="008B54F6">
      <w:pPr>
        <w:ind w:firstLine="720"/>
        <w:jc w:val="both"/>
        <w:rPr>
          <w:rFonts w:ascii="Times New Roman" w:hAnsi="Times New Roman" w:cs="Times New Roman"/>
          <w:sz w:val="24"/>
          <w:szCs w:val="24"/>
          <w:shd w:val="clear" w:color="auto" w:fill="FFFFFF"/>
        </w:rPr>
      </w:pPr>
      <w:bookmarkStart w:id="8" w:name="_Toc126746516"/>
      <w:r w:rsidRPr="00A5461F">
        <w:rPr>
          <w:rFonts w:ascii="Times New Roman" w:hAnsi="Times New Roman" w:cs="Times New Roman"/>
          <w:sz w:val="24"/>
          <w:szCs w:val="24"/>
          <w:shd w:val="clear" w:color="auto" w:fill="FFFFFF"/>
        </w:rPr>
        <w:t>Кључну улогу у спровођењу надзора над применом мера безбедности и здравља на раду има Инспекторат за рад, орган у саставу Министарства за рад, запошљавање, борачка и социјална питања. Поред надзора над применом Закона о безбедности и здрављу на раду, инспекција рада врши надзор и над применом других прописа о мерама и нормативима безбедности и здравља на раду, техничким мерама које се односе на безбедност и здравље на раду, стандарда и опште признатих мера у делу којим се уређују питања из области безбедности и здравља на раду.</w:t>
      </w:r>
    </w:p>
    <w:p w14:paraId="324E3122"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Инспекторат за рад, обавља инспекцијске послове и са њима повезане стручне послове у области радних односа и безбедности и здравља на раду који се односе на: редовни, ванредни, допунски и контролни надзор, инспекцијски надзор поводом </w:t>
      </w:r>
      <w:r w:rsidRPr="00A5461F">
        <w:rPr>
          <w:rFonts w:ascii="Times New Roman" w:hAnsi="Times New Roman" w:cs="Times New Roman"/>
          <w:sz w:val="24"/>
          <w:szCs w:val="24"/>
          <w:shd w:val="clear" w:color="auto" w:fill="FFFFFF"/>
        </w:rPr>
        <w:lastRenderedPageBreak/>
        <w:t>смртних, тешких и колективних повреда на раду, утврђивање испуњености прописаних услова у области безбедности и здравља на раду, пре почетка обављања делатности послодавца, као и друге послове одређене законом.</w:t>
      </w:r>
    </w:p>
    <w:p w14:paraId="7CBFBEBD"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У поступку инспекцијског надзора инспектор рада има право и дужност да предузима радње којима се контролишу безбедност и здравље на раду, а нарочито хигијена и услови рада, производња, стављање у промет, коришћење и одржавање средстава за рад, средстава и опреме за личну заштиту на раду, опасне материје и друго, као и да: 1) прегледа опште и појединачне акте, евиденције и другу документацију; 2) саслуша и узима изјаве од одговорних и заинтересованих лица; 3) прегледа пословне просторије, објекте, постројења, уређаје, средства и опрему за личну заштиту, предмете и робу и сл.; 4) наређује мерења која обавља друга стручна организација кад послодавац самостално или преко одређене стручне организације врши мерења у одговарајућим областима, а резултати извршеног мерења пружају основ за то; 5) послодавцима, запосленим, њиховим представницима и синдикату даје обавештења и савете у области безбедности и здравља на раду, као и о мерама чијом применом се обезбеђује извршавање овог закона на најефикаснији начин; 6) у складу са поднетим захтевом, послодавца и запосленог или представника запослених обавести о извршеном инспекцијском надзору и утврђеном стању; 7) предузима друге радње за које је овлашћен другим прописом.</w:t>
      </w:r>
    </w:p>
    <w:p w14:paraId="63054D3F"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Инспекторат за рад у свом саставу има 25 одвојених одељења и одсека инспекције рада у управним окрузима, 2 одељења инспекције рада у Граду Београду, као и једно  одељење и један одсек  у седишту Инспектората за рад.</w:t>
      </w:r>
    </w:p>
    <w:p w14:paraId="5D715C00" w14:textId="6A288034"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Правилником  о унутрашњем уређењу и систематизацији радних места у Министарству за рад, запошљавање, борачка и социјална  питања, у Инспекторату за</w:t>
      </w:r>
      <w:r w:rsidR="00EE1FAA">
        <w:rPr>
          <w:rFonts w:ascii="Times New Roman" w:hAnsi="Times New Roman" w:cs="Times New Roman"/>
          <w:sz w:val="24"/>
          <w:szCs w:val="24"/>
          <w:shd w:val="clear" w:color="auto" w:fill="FFFFFF"/>
        </w:rPr>
        <w:t xml:space="preserve"> рад, је систематизовано укупно </w:t>
      </w:r>
      <w:r w:rsidRPr="00A5461F">
        <w:rPr>
          <w:rFonts w:ascii="Times New Roman" w:hAnsi="Times New Roman" w:cs="Times New Roman"/>
          <w:sz w:val="24"/>
          <w:szCs w:val="24"/>
          <w:shd w:val="clear" w:color="auto" w:fill="FFFFFF"/>
        </w:rPr>
        <w:t>278 радних места, од којих је 267 радних места инспектора рада. У Инспекторату за рад Републике Србије у 2022. години укупно је било 229 запослених, од којих 214 инспекторa рада.</w:t>
      </w:r>
    </w:p>
    <w:p w14:paraId="60E35E57"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Према подацима Агенције за привредне регистре тренутно је регистрованo 450.424 привредних субјеката (137.970 привреднх друштава и 312.454 предузетника) за чију контролу спровођења закона у области рада је надлежна инспекција рада. Такође, од 30. јула 2015. године, када су ступиле на снагу одредбе Закона о инспекцијском надзору које се односе на контролу нерегистрованих субјеката, инспекција рада је надлежна да контролише и све нерегистроване субјекте. </w:t>
      </w:r>
    </w:p>
    <w:p w14:paraId="0DA7107E"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Константно повећање броја привредних субјеката, као и све већи број законских и подзаконских аката које послодавци треба да примењују, а над чијим спровођењем надзор врше инспектори рада, свакако захтева адекватан број инспектора рада и адекватну  техничку  опремљеност инспекције рада, а ради ефикасног и ефективног надзора, како би се заштитила права запослених и обезбедило доследно спровођење прописа у области рада. Тренутни кадровски капацитети и техничка опремљеност инспекције рада омогућују пуну контролу спровођења прописа у области рада, а доследнију примену и ефикаснији надзор свакако би поспешио већи број инспектора рада и боља техничка опремљеност. </w:t>
      </w:r>
    </w:p>
    <w:p w14:paraId="5D305FEE"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Према Функционалној анализи републичких инспекција са анализом капацитета,  постојећи кадровски капацитет Инспектората за рад који врши надзор над применом </w:t>
      </w:r>
      <w:r w:rsidRPr="00A5461F">
        <w:rPr>
          <w:rFonts w:ascii="Times New Roman" w:hAnsi="Times New Roman" w:cs="Times New Roman"/>
          <w:sz w:val="24"/>
          <w:szCs w:val="24"/>
          <w:shd w:val="clear" w:color="auto" w:fill="FFFFFF"/>
        </w:rPr>
        <w:lastRenderedPageBreak/>
        <w:t xml:space="preserve">прописа у области безбедности и здравља на раду нису били довољни у односу на систематизован број од 267, попуњено је 247, док је за нормално обављање послова из надлежности инспекције потребно 307 инспектора, односно за 40 више од систематизованог броја инспектора рада. </w:t>
      </w:r>
    </w:p>
    <w:p w14:paraId="23DD031B"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С обзиром на високу просечну старост и велики одлив инспектора рада, превасходно због одласка у пензију, као и на темпо ангажовања нових инспектора, није дошло до испуњења броја потребних инспектора који је утврђен Функционалном анализом републичких инспекција са анализом капацитета. Наиме, у Инспекторату за рад Републике Србије у 2020. години било је укупно 218 запослених, од чега 203 инспектора рада. Стога је неопходно јачати капацитете Инспектората, посебно у области безбедности и здравља на раду.</w:t>
      </w:r>
    </w:p>
    <w:p w14:paraId="00CEF775" w14:textId="7DE9503C" w:rsidR="001374C9" w:rsidRPr="00A5461F" w:rsidRDefault="008B54F6" w:rsidP="008B54F6">
      <w:pPr>
        <w:ind w:firstLine="720"/>
        <w:jc w:val="both"/>
        <w:rPr>
          <w:rFonts w:ascii="Times New Roman" w:hAnsi="Times New Roman" w:cs="Times New Roman"/>
          <w:b/>
          <w:sz w:val="24"/>
          <w:szCs w:val="24"/>
          <w:shd w:val="clear" w:color="auto" w:fill="FFFFFF"/>
        </w:rPr>
      </w:pPr>
      <w:r w:rsidRPr="00A5461F">
        <w:rPr>
          <w:rFonts w:ascii="Times New Roman" w:hAnsi="Times New Roman" w:cs="Times New Roman"/>
          <w:b/>
          <w:sz w:val="24"/>
          <w:szCs w:val="24"/>
          <w:shd w:val="clear" w:color="auto" w:fill="FFFFFF"/>
          <w:lang w:val="sr-Cyrl-RS"/>
        </w:rPr>
        <w:t xml:space="preserve">2.4.3. </w:t>
      </w:r>
      <w:r w:rsidR="001374C9" w:rsidRPr="00A5461F">
        <w:rPr>
          <w:rFonts w:ascii="Times New Roman" w:hAnsi="Times New Roman" w:cs="Times New Roman"/>
          <w:b/>
          <w:sz w:val="24"/>
          <w:szCs w:val="24"/>
          <w:shd w:val="clear" w:color="auto" w:fill="FFFFFF"/>
        </w:rPr>
        <w:t>Савет за безбедност и здравље на раду</w:t>
      </w:r>
      <w:bookmarkEnd w:id="8"/>
    </w:p>
    <w:p w14:paraId="1EF7FCD4"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Савет за безбедност и здравље на раду образован је Одлуком о образовању Савета за безбедност и здравље на раду („Службени гласник РС”, бр. 40/05 и 71/07). Задаци Савета за безбедност и здравље на раду су да: даје иницијативе за доношење прописа у области безбедности и здравља на раду, даје иницијативу за израду националног програма развоја безбедности и здравља на раду, својим деловањем доприноси приближавању различитих ставова учесника у социјалном дијалогу у овој области, иницира превентивну политику по свим питањима која се односе на безбедност и здравље на раду.</w:t>
      </w:r>
    </w:p>
    <w:p w14:paraId="4FC411ED" w14:textId="7B69CA72" w:rsidR="008B54F6" w:rsidRPr="00A5461F" w:rsidRDefault="001374C9" w:rsidP="00AA0507">
      <w:pPr>
        <w:ind w:firstLine="720"/>
        <w:jc w:val="both"/>
        <w:rPr>
          <w:rFonts w:ascii="Times New Roman" w:hAnsi="Times New Roman" w:cs="Times New Roman"/>
          <w:sz w:val="24"/>
          <w:szCs w:val="24"/>
          <w:shd w:val="clear" w:color="auto" w:fill="FFFFFF"/>
          <w:lang w:val="sr-Cyrl-RS"/>
        </w:rPr>
      </w:pPr>
      <w:r w:rsidRPr="00A5461F">
        <w:rPr>
          <w:rFonts w:ascii="Times New Roman" w:hAnsi="Times New Roman" w:cs="Times New Roman"/>
          <w:sz w:val="24"/>
          <w:szCs w:val="24"/>
          <w:shd w:val="clear" w:color="auto" w:fill="FFFFFF"/>
        </w:rPr>
        <w:t>Током периода спровођења стратегије, Савет се повремено састајао како би разматрао стање у области безбедности и здравља на раду са предлозима за унапређење. Савет је био активан у првом периоду спровођења Стратегије, када су одржане три седнице (две у 2018. години и једна у 2019. години). Стратегијом је потребно предвидети активности како би се обезбедило редовно заседање савета, односно како би се успоставио оквир који обезбеђује адекватан социјални дијалог, те како би се иницирале превентивне мере.</w:t>
      </w:r>
    </w:p>
    <w:p w14:paraId="01D3D279" w14:textId="6F2C3ECD" w:rsidR="001374C9" w:rsidRPr="00A5461F" w:rsidRDefault="008B54F6" w:rsidP="008B54F6">
      <w:pPr>
        <w:ind w:firstLine="720"/>
        <w:jc w:val="both"/>
        <w:rPr>
          <w:rFonts w:ascii="Times New Roman" w:hAnsi="Times New Roman" w:cs="Times New Roman"/>
          <w:b/>
          <w:sz w:val="24"/>
          <w:szCs w:val="24"/>
          <w:shd w:val="clear" w:color="auto" w:fill="FFFFFF"/>
        </w:rPr>
      </w:pPr>
      <w:bookmarkStart w:id="9" w:name="_Toc126746517"/>
      <w:r w:rsidRPr="00A5461F">
        <w:rPr>
          <w:rFonts w:ascii="Times New Roman" w:hAnsi="Times New Roman" w:cs="Times New Roman"/>
          <w:b/>
          <w:sz w:val="24"/>
          <w:szCs w:val="24"/>
          <w:shd w:val="clear" w:color="auto" w:fill="FFFFFF"/>
          <w:lang w:val="sr-Cyrl-RS"/>
        </w:rPr>
        <w:t xml:space="preserve">2.4.4. </w:t>
      </w:r>
      <w:r w:rsidR="001374C9" w:rsidRPr="00A5461F">
        <w:rPr>
          <w:rFonts w:ascii="Times New Roman" w:hAnsi="Times New Roman" w:cs="Times New Roman"/>
          <w:b/>
          <w:sz w:val="24"/>
          <w:szCs w:val="24"/>
          <w:shd w:val="clear" w:color="auto" w:fill="FFFFFF"/>
        </w:rPr>
        <w:t>Социјално-економски савет</w:t>
      </w:r>
      <w:bookmarkEnd w:id="9"/>
      <w:r w:rsidR="001374C9" w:rsidRPr="00A5461F">
        <w:rPr>
          <w:rFonts w:ascii="Times New Roman" w:hAnsi="Times New Roman" w:cs="Times New Roman"/>
          <w:b/>
          <w:sz w:val="24"/>
          <w:szCs w:val="24"/>
          <w:shd w:val="clear" w:color="auto" w:fill="FFFFFF"/>
        </w:rPr>
        <w:t xml:space="preserve"> </w:t>
      </w:r>
    </w:p>
    <w:p w14:paraId="363E0BA7"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Социјално-економски савет је основан у циљу успостављања и развоја социјалног дијалога у питањима од значаја за остваривање економских и социјалних слобода и права човека, материјалног, социјалног и економског положаја запослених и послодаваца и услова њиховог живота и рада, развоја културе преговарања, подстицања мирног решавања колективних радних спорова, развоја демократије и издавања часописа, брошура и других публикација из делокруга свог рада.</w:t>
      </w:r>
    </w:p>
    <w:p w14:paraId="0551D925"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Социјално-економски савет разматра питања: развоја и унапређивања колективног преговарања, утицаја економске политике и мера за њено спровођење на социјални развој и стабилност, политике запошљавања, политике зарада и цена, конкуренције и продуктивности, приватизације и друга питања структурног прилагођавања, заштите радне и животне средине, образовања и професионалне обуке, здравствене и социјалне заштите и сигурности, демографских кретања и друга питања у складу са актима Социјално-економског савета. </w:t>
      </w:r>
    </w:p>
    <w:p w14:paraId="5A9B44A6" w14:textId="3F5149C8" w:rsidR="008B54F6" w:rsidRPr="00A5461F" w:rsidRDefault="001374C9" w:rsidP="00AA0507">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Савет је такође имао активну улогу у изради Нацр</w:t>
      </w:r>
      <w:r w:rsidR="00213B98">
        <w:rPr>
          <w:rFonts w:ascii="Times New Roman" w:hAnsi="Times New Roman" w:cs="Times New Roman"/>
          <w:sz w:val="24"/>
          <w:szCs w:val="24"/>
          <w:shd w:val="clear" w:color="auto" w:fill="FFFFFF"/>
        </w:rPr>
        <w:t>та Закона о безбедности и здрав</w:t>
      </w:r>
      <w:r w:rsidRPr="00A5461F">
        <w:rPr>
          <w:rFonts w:ascii="Times New Roman" w:hAnsi="Times New Roman" w:cs="Times New Roman"/>
          <w:sz w:val="24"/>
          <w:szCs w:val="24"/>
          <w:shd w:val="clear" w:color="auto" w:fill="FFFFFF"/>
        </w:rPr>
        <w:t xml:space="preserve">љу на раду. Савет је размотрио нацрт Закона о безбедности и здрављу на раду и </w:t>
      </w:r>
      <w:r w:rsidRPr="00A5461F">
        <w:rPr>
          <w:rFonts w:ascii="Times New Roman" w:hAnsi="Times New Roman" w:cs="Times New Roman"/>
          <w:sz w:val="24"/>
          <w:szCs w:val="24"/>
          <w:shd w:val="clear" w:color="auto" w:fill="FFFFFF"/>
        </w:rPr>
        <w:lastRenderedPageBreak/>
        <w:t>дао позитивно мишљење. Коначно, изузетно важну улогу има радно тело Савета које се бави облашћу безбедности и здравља на раду.</w:t>
      </w:r>
    </w:p>
    <w:p w14:paraId="272F5389" w14:textId="499ED6EE" w:rsidR="001374C9" w:rsidRPr="00A5461F" w:rsidRDefault="008B54F6" w:rsidP="008B54F6">
      <w:pPr>
        <w:ind w:firstLine="720"/>
        <w:jc w:val="both"/>
        <w:rPr>
          <w:rFonts w:ascii="Times New Roman" w:hAnsi="Times New Roman" w:cs="Times New Roman"/>
          <w:sz w:val="24"/>
          <w:szCs w:val="24"/>
          <w:shd w:val="clear" w:color="auto" w:fill="FFFFFF"/>
        </w:rPr>
      </w:pPr>
      <w:bookmarkStart w:id="10" w:name="_Toc126746518"/>
      <w:r w:rsidRPr="00A5461F">
        <w:rPr>
          <w:rFonts w:ascii="Times New Roman" w:hAnsi="Times New Roman" w:cs="Times New Roman"/>
          <w:b/>
          <w:sz w:val="24"/>
          <w:szCs w:val="24"/>
          <w:shd w:val="clear" w:color="auto" w:fill="FFFFFF"/>
          <w:lang w:val="sr-Cyrl-RS"/>
        </w:rPr>
        <w:t xml:space="preserve">2.4.5. </w:t>
      </w:r>
      <w:r w:rsidR="001374C9" w:rsidRPr="00A5461F">
        <w:rPr>
          <w:rFonts w:ascii="Times New Roman" w:hAnsi="Times New Roman" w:cs="Times New Roman"/>
          <w:b/>
          <w:sz w:val="24"/>
          <w:szCs w:val="24"/>
          <w:shd w:val="clear" w:color="auto" w:fill="FFFFFF"/>
        </w:rPr>
        <w:t>Службе медицине рада</w:t>
      </w:r>
      <w:bookmarkEnd w:id="10"/>
      <w:r w:rsidR="001374C9" w:rsidRPr="00A5461F">
        <w:rPr>
          <w:rFonts w:ascii="Times New Roman" w:hAnsi="Times New Roman" w:cs="Times New Roman"/>
          <w:sz w:val="24"/>
          <w:szCs w:val="24"/>
          <w:shd w:val="clear" w:color="auto" w:fill="FFFFFF"/>
          <w:vertAlign w:val="superscript"/>
        </w:rPr>
        <w:footnoteReference w:id="8"/>
      </w:r>
    </w:p>
    <w:p w14:paraId="5DA48456" w14:textId="6EA38933"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Медицина рада, као мултидисциплинарна област, је повезана директно и индиректно са више министарстава Владе Србије. Најдиректније везе су са Министарством здравља и Министарством за рад, запошљавање, борачка и социјална питања. Медицина рада представља део здравственог система, у надлежности Министарства здравља које прописује делокруг рада, организацију, услове за обављање делатности из ове области на различитим нивоима и вођење евиденције. Ипак, највећи део прописа који регулишу специфичну активност медицине рада доноси Министарство за рад, запошљавање, борачка и социјална питања. Институт за медицину рад</w:t>
      </w:r>
      <w:r w:rsidR="002A3650">
        <w:rPr>
          <w:rFonts w:ascii="Times New Roman" w:hAnsi="Times New Roman" w:cs="Times New Roman"/>
          <w:sz w:val="24"/>
          <w:szCs w:val="24"/>
          <w:shd w:val="clear" w:color="auto" w:fill="FFFFFF"/>
        </w:rPr>
        <w:t>а Србије „Др Драгомир Карајовић</w:t>
      </w:r>
      <w:r w:rsidR="00AF4124" w:rsidRPr="00A5461F">
        <w:rPr>
          <w:rFonts w:ascii="Times New Roman" w:hAnsi="Times New Roman" w:cs="Times New Roman"/>
          <w:bCs/>
          <w:sz w:val="24"/>
          <w:szCs w:val="24"/>
        </w:rPr>
        <w:t>”</w:t>
      </w:r>
      <w:r w:rsidRPr="00A5461F">
        <w:rPr>
          <w:rFonts w:ascii="Times New Roman" w:hAnsi="Times New Roman" w:cs="Times New Roman"/>
          <w:sz w:val="24"/>
          <w:szCs w:val="24"/>
          <w:shd w:val="clear" w:color="auto" w:fill="FFFFFF"/>
        </w:rPr>
        <w:t xml:space="preserve">, је тело које се налази на врху, док су Заводи за медицину рада углавном изгубили своју улогу коју су имали у прошлости. Највећи број служби медицине рада је угашен а уместо њих су отворене установе у приватном власништву, Заводи за здравствену заштиту радника и приватне амбуланте медицине рада. Према расположивим подацима Министарство здравља одобрава све мањи број специјализација медицине рада тако да је укупан број специјализаната медицине рада у Србији 17. Старосна структура специјалиста медицине рада у Србији је неповољна јер је највећи број специјалиста пред пензијом. Институт за јавно здравље Србије </w:t>
      </w:r>
      <w:r w:rsidR="00BB013E">
        <w:rPr>
          <w:rFonts w:ascii="Times New Roman" w:hAnsi="Times New Roman" w:cs="Times New Roman"/>
          <w:bCs/>
          <w:sz w:val="24"/>
          <w:szCs w:val="24"/>
          <w:lang w:val="sr-Cyrl-RS"/>
        </w:rPr>
        <w:t>„</w:t>
      </w:r>
      <w:r w:rsidRPr="00A5461F">
        <w:rPr>
          <w:rFonts w:ascii="Times New Roman" w:hAnsi="Times New Roman" w:cs="Times New Roman"/>
          <w:bCs/>
          <w:sz w:val="24"/>
          <w:szCs w:val="24"/>
        </w:rPr>
        <w:t>Д</w:t>
      </w:r>
      <w:r w:rsidR="004545C7" w:rsidRPr="00A5461F">
        <w:rPr>
          <w:rFonts w:ascii="Times New Roman" w:hAnsi="Times New Roman" w:cs="Times New Roman"/>
          <w:bCs/>
          <w:sz w:val="24"/>
          <w:szCs w:val="24"/>
        </w:rPr>
        <w:t>р</w:t>
      </w:r>
      <w:r w:rsidRPr="00A5461F">
        <w:rPr>
          <w:rFonts w:ascii="Times New Roman" w:hAnsi="Times New Roman" w:cs="Times New Roman"/>
          <w:bCs/>
          <w:sz w:val="24"/>
          <w:szCs w:val="24"/>
        </w:rPr>
        <w:t xml:space="preserve"> М</w:t>
      </w:r>
      <w:r w:rsidR="004545C7" w:rsidRPr="00A5461F">
        <w:rPr>
          <w:rFonts w:ascii="Times New Roman" w:hAnsi="Times New Roman" w:cs="Times New Roman"/>
          <w:bCs/>
          <w:sz w:val="24"/>
          <w:szCs w:val="24"/>
        </w:rPr>
        <w:t>илан</w:t>
      </w:r>
      <w:r w:rsidRPr="00A5461F">
        <w:rPr>
          <w:rFonts w:ascii="Times New Roman" w:hAnsi="Times New Roman" w:cs="Times New Roman"/>
          <w:bCs/>
          <w:sz w:val="24"/>
          <w:szCs w:val="24"/>
        </w:rPr>
        <w:t xml:space="preserve"> Ј</w:t>
      </w:r>
      <w:r w:rsidR="004545C7" w:rsidRPr="00A5461F">
        <w:rPr>
          <w:rFonts w:ascii="Times New Roman" w:hAnsi="Times New Roman" w:cs="Times New Roman"/>
          <w:bCs/>
          <w:sz w:val="24"/>
          <w:szCs w:val="24"/>
        </w:rPr>
        <w:t>овановић</w:t>
      </w:r>
      <w:r w:rsidRPr="00A5461F">
        <w:rPr>
          <w:rFonts w:ascii="Times New Roman" w:hAnsi="Times New Roman" w:cs="Times New Roman"/>
          <w:bCs/>
          <w:sz w:val="24"/>
          <w:szCs w:val="24"/>
        </w:rPr>
        <w:t xml:space="preserve"> - Б</w:t>
      </w:r>
      <w:r w:rsidR="004545C7" w:rsidRPr="00A5461F">
        <w:rPr>
          <w:rFonts w:ascii="Times New Roman" w:hAnsi="Times New Roman" w:cs="Times New Roman"/>
          <w:bCs/>
          <w:sz w:val="24"/>
          <w:szCs w:val="24"/>
        </w:rPr>
        <w:t>атут</w:t>
      </w:r>
      <w:r w:rsidRPr="00A5461F">
        <w:rPr>
          <w:rFonts w:ascii="Times New Roman" w:hAnsi="Times New Roman" w:cs="Times New Roman"/>
          <w:bCs/>
          <w:sz w:val="24"/>
          <w:szCs w:val="24"/>
        </w:rPr>
        <w:t>”</w:t>
      </w:r>
      <w:r w:rsidRPr="00A5461F">
        <w:rPr>
          <w:rFonts w:ascii="Times New Roman" w:hAnsi="Times New Roman" w:cs="Times New Roman"/>
          <w:sz w:val="24"/>
          <w:szCs w:val="24"/>
          <w:shd w:val="clear" w:color="auto" w:fill="FFFFFF"/>
        </w:rPr>
        <w:t xml:space="preserve"> располаже само подацима о броју услуга које се налазе у шифарнику услуга и само податке државних установа медицине рада тако да се на основу тих података не може сагледати ни број ни спектар услуга медицине рада у Србији.</w:t>
      </w:r>
    </w:p>
    <w:p w14:paraId="69D3F1BA" w14:textId="5D798617" w:rsidR="003B0E50" w:rsidRPr="00A5461F" w:rsidRDefault="001374C9" w:rsidP="00AA0507">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Медицина рада у Србији је до 2006. </w:t>
      </w:r>
      <w:proofErr w:type="gramStart"/>
      <w:r w:rsidRPr="00A5461F">
        <w:rPr>
          <w:rFonts w:ascii="Times New Roman" w:hAnsi="Times New Roman" w:cs="Times New Roman"/>
          <w:sz w:val="24"/>
          <w:szCs w:val="24"/>
          <w:shd w:val="clear" w:color="auto" w:fill="FFFFFF"/>
        </w:rPr>
        <w:t>године</w:t>
      </w:r>
      <w:proofErr w:type="gramEnd"/>
      <w:r w:rsidRPr="00A5461F">
        <w:rPr>
          <w:rFonts w:ascii="Times New Roman" w:hAnsi="Times New Roman" w:cs="Times New Roman"/>
          <w:sz w:val="24"/>
          <w:szCs w:val="24"/>
          <w:shd w:val="clear" w:color="auto" w:fill="FFFFFF"/>
        </w:rPr>
        <w:t xml:space="preserve"> била у процесу транзиције-преласка са старог модела, јединства превентиве и куративе, на нови модел који је доминантно заснован на превентивним активностима. Одлуком Министра здравља 2006. </w:t>
      </w:r>
      <w:proofErr w:type="gramStart"/>
      <w:r w:rsidRPr="00A5461F">
        <w:rPr>
          <w:rFonts w:ascii="Times New Roman" w:hAnsi="Times New Roman" w:cs="Times New Roman"/>
          <w:sz w:val="24"/>
          <w:szCs w:val="24"/>
          <w:shd w:val="clear" w:color="auto" w:fill="FFFFFF"/>
        </w:rPr>
        <w:t>године</w:t>
      </w:r>
      <w:proofErr w:type="gramEnd"/>
      <w:r w:rsidRPr="00A5461F">
        <w:rPr>
          <w:rFonts w:ascii="Times New Roman" w:hAnsi="Times New Roman" w:cs="Times New Roman"/>
          <w:sz w:val="24"/>
          <w:szCs w:val="24"/>
          <w:shd w:val="clear" w:color="auto" w:fill="FFFFFF"/>
        </w:rPr>
        <w:t xml:space="preserve"> наложено је свим директорима Домова здравља у Србији да прерасподеле специјалисте медицине рада у јединице које би се саме финансирале или да им алтернативно понуде прелазак у изабране лекаре. Од 586 специјалиста медицине рада само мали број њих се бави превентивним активностима (према незваничним подацима од 81-116). У највећем броју домова здравља дошло је до комплетног гашења служби медицине рада. У међувремену, дошло је до пораста активности привреде и енормног пораста захтева послодаваца за услугама медицине рада на које домови здравља нису могли адекватно да одговоре. Све ово довело је до оснивања великог броја приватних установа медицине рада. </w:t>
      </w:r>
    </w:p>
    <w:p w14:paraId="3F956797" w14:textId="4356372D" w:rsidR="001374C9" w:rsidRPr="00A5461F" w:rsidRDefault="003B0E50" w:rsidP="008B54F6">
      <w:pPr>
        <w:ind w:firstLine="720"/>
        <w:jc w:val="both"/>
        <w:rPr>
          <w:rFonts w:ascii="Times New Roman" w:hAnsi="Times New Roman" w:cs="Times New Roman"/>
          <w:b/>
          <w:sz w:val="24"/>
          <w:szCs w:val="24"/>
          <w:shd w:val="clear" w:color="auto" w:fill="FFFFFF"/>
        </w:rPr>
      </w:pPr>
      <w:r w:rsidRPr="00A5461F">
        <w:rPr>
          <w:rFonts w:ascii="Times New Roman" w:hAnsi="Times New Roman" w:cs="Times New Roman"/>
          <w:b/>
          <w:sz w:val="24"/>
          <w:szCs w:val="24"/>
          <w:shd w:val="clear" w:color="auto" w:fill="FFFFFF"/>
          <w:lang w:val="sr-Cyrl-RS"/>
        </w:rPr>
        <w:t xml:space="preserve">2.4.6. </w:t>
      </w:r>
      <w:r w:rsidR="001374C9" w:rsidRPr="00A5461F">
        <w:rPr>
          <w:rFonts w:ascii="Times New Roman" w:hAnsi="Times New Roman" w:cs="Times New Roman"/>
          <w:b/>
          <w:sz w:val="24"/>
          <w:szCs w:val="24"/>
          <w:shd w:val="clear" w:color="auto" w:fill="FFFFFF"/>
        </w:rPr>
        <w:t xml:space="preserve">Унија послодаваца Србије </w:t>
      </w:r>
    </w:p>
    <w:p w14:paraId="61B3EB16"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У области безбедности и здравља на раду, Унија послодаваца Србије, активно учествује у поступку доношења Закона, подзаконских прописа, стратешких докумената и пратећих аката система безбедности и здравља на раду.</w:t>
      </w:r>
    </w:p>
    <w:p w14:paraId="4E4EA606"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На нивоу Уније послодаваца Србије формирано је радно тело за питања безбедности и здравља на раду, а посебан део стручне службе Уније бави се питањима безбедности и здравља на раду.</w:t>
      </w:r>
    </w:p>
    <w:p w14:paraId="3A4417C3"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lastRenderedPageBreak/>
        <w:t>Циљ Уније послодаваца Србије је, између осталог, подизање свести послодаваца о значају безбедних и здравих услова рада, као и подизање опште и пословне културе односно националне културе превенције у области безбедности и здравља на раду.</w:t>
      </w:r>
    </w:p>
    <w:p w14:paraId="60625CCD" w14:textId="2A607965" w:rsidR="003B0E50" w:rsidRPr="00A5461F" w:rsidRDefault="001374C9" w:rsidP="00AA0507">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Ради остварења овог циља Унија послодаваца Србије самостално или у сарадњи са заинтересованим странама и партнерима организује и учествује у бројним активностима и обукама у области безбедности и здравља на раду. Обуке су посвећене поступку процене ризика за сектор малих и средњих предузећа.</w:t>
      </w:r>
    </w:p>
    <w:p w14:paraId="621A0596" w14:textId="548EE5EC" w:rsidR="001374C9" w:rsidRPr="00A5461F" w:rsidRDefault="003B0E50" w:rsidP="008B54F6">
      <w:pPr>
        <w:ind w:firstLine="720"/>
        <w:jc w:val="both"/>
        <w:rPr>
          <w:rFonts w:ascii="Times New Roman" w:hAnsi="Times New Roman" w:cs="Times New Roman"/>
          <w:b/>
          <w:sz w:val="24"/>
          <w:szCs w:val="24"/>
          <w:shd w:val="clear" w:color="auto" w:fill="FFFFFF"/>
        </w:rPr>
      </w:pPr>
      <w:r w:rsidRPr="00A5461F">
        <w:rPr>
          <w:rFonts w:ascii="Times New Roman" w:hAnsi="Times New Roman" w:cs="Times New Roman"/>
          <w:b/>
          <w:sz w:val="24"/>
          <w:szCs w:val="24"/>
          <w:shd w:val="clear" w:color="auto" w:fill="FFFFFF"/>
          <w:lang w:val="sr-Cyrl-RS"/>
        </w:rPr>
        <w:t xml:space="preserve">2.4.7. </w:t>
      </w:r>
      <w:r w:rsidR="001374C9" w:rsidRPr="00A5461F">
        <w:rPr>
          <w:rFonts w:ascii="Times New Roman" w:hAnsi="Times New Roman" w:cs="Times New Roman"/>
          <w:b/>
          <w:sz w:val="24"/>
          <w:szCs w:val="24"/>
          <w:shd w:val="clear" w:color="auto" w:fill="FFFFFF"/>
        </w:rPr>
        <w:t xml:space="preserve">Савез самосталних синдиката Србије </w:t>
      </w:r>
    </w:p>
    <w:p w14:paraId="1B55240F"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Савез самосталних синдиката Србије усвојио је Резолуцију о безбедности и здрављу на раду, а заједно са осталим социјалним партнерима потписник је Декларације о безбедности и здрављу на раду.</w:t>
      </w:r>
    </w:p>
    <w:p w14:paraId="2C5521C0"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У Савезу самосталних синдиката Србије као најстаријој синдикалној организацији у Србији, посебна пажња се се поклања области безбедности и здравља на раду, па је у оквиру службе општих послова формиран посебан стручни тим за безбедност и здравље на раду, а грански синдикати формирали су посебна радна тела за безбедност и здравље на раду.</w:t>
      </w:r>
    </w:p>
    <w:p w14:paraId="58FC9578"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Савез самосталних синдиката Србије непрекидно води активности да се сва права, обавезе и одговорности из радног односа, што значи да се права, обавезе и одговорности из области безбедности и здравља на раду уређују колективним уговором. Због тога је Савез самосталних синдиката Србије припремио огледни примерак колективног уговора о безбедности и здрављу на раду код послодавца, који треба да послужи, пре свега, као помоћ представницима синдиката али и представницима послодаваца, као смерница и помоћ у преговорима социјалних партнера и закључивању колективног уговора код послодавца.</w:t>
      </w:r>
    </w:p>
    <w:p w14:paraId="1607A361" w14:textId="2AAE32CF" w:rsidR="003B0E50" w:rsidRPr="00A5461F" w:rsidRDefault="001374C9" w:rsidP="00AA0507">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Такође, појединачно или заједно са социјалним партнерима Савез самосталних синдиката Србије и грански синдикати врше континуирано едукацију чланова синдиката о безбедности и здрављу на раду.</w:t>
      </w:r>
    </w:p>
    <w:p w14:paraId="0F4EAED3" w14:textId="24023E2B" w:rsidR="001374C9" w:rsidRPr="00A5461F" w:rsidRDefault="003B0E50" w:rsidP="008B54F6">
      <w:pPr>
        <w:ind w:firstLine="720"/>
        <w:jc w:val="both"/>
        <w:rPr>
          <w:rFonts w:ascii="Times New Roman" w:hAnsi="Times New Roman" w:cs="Times New Roman"/>
          <w:b/>
          <w:sz w:val="24"/>
          <w:szCs w:val="24"/>
          <w:shd w:val="clear" w:color="auto" w:fill="FFFFFF"/>
        </w:rPr>
      </w:pPr>
      <w:r w:rsidRPr="00A5461F">
        <w:rPr>
          <w:rFonts w:ascii="Times New Roman" w:hAnsi="Times New Roman" w:cs="Times New Roman"/>
          <w:b/>
          <w:sz w:val="24"/>
          <w:szCs w:val="24"/>
          <w:shd w:val="clear" w:color="auto" w:fill="FFFFFF"/>
          <w:lang w:val="sr-Cyrl-RS"/>
        </w:rPr>
        <w:t xml:space="preserve">2.4.8. </w:t>
      </w:r>
      <w:r w:rsidR="001374C9" w:rsidRPr="00A5461F">
        <w:rPr>
          <w:rFonts w:ascii="Times New Roman" w:hAnsi="Times New Roman" w:cs="Times New Roman"/>
          <w:b/>
          <w:sz w:val="24"/>
          <w:szCs w:val="24"/>
          <w:shd w:val="clear" w:color="auto" w:fill="FFFFFF"/>
        </w:rPr>
        <w:t>Уједињени грански синдикати „Независност”</w:t>
      </w:r>
    </w:p>
    <w:p w14:paraId="58957F6F" w14:textId="77777777" w:rsidR="001374C9" w:rsidRPr="00A5461F" w:rsidRDefault="001374C9" w:rsidP="008B54F6">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Уједињени грански синдикати „Независност” у својој програмској оријентацији, као једну од значајних активности, утврдили су конкретне активности на континуираном унапређивању безбедности и здравља на раду. Те активности УГС „Независност” спроводе, пре свега, кроз деловање Одбора за безбедност и здравље на раду УГС НЕЗАВИСНОСТ и формираних одбора за безбедност и здравље на раду на нивоу гранских синдиката.</w:t>
      </w:r>
    </w:p>
    <w:p w14:paraId="2D6C534A" w14:textId="451E4838" w:rsidR="003B0E50" w:rsidRPr="00A5461F" w:rsidRDefault="001374C9" w:rsidP="00AA0507">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 xml:space="preserve">Уједињени грански синдикати „УГС” посебну пажњу посвећују: активностима на развијању квалитетне и ефикасне сарадње са Управом за безбедност и здравље на раду и Инспекторатом за рад, са циљем унапређења безбедности и здравља на раду; примени Закона о безбедности и здрављу на раду, као и пратећих нормативних аката, којима се заокружује ова област; учешћу у трипартитним и бипартитним телима о безбедности и здрављу на раду; активностима на промовисању и примени у пракси Декларације социјално – економског савета Републике Србије о безбедности и здрављу на раду; изради колективних уговора о безбедности и здрављу на раду; промотивним </w:t>
      </w:r>
      <w:r w:rsidRPr="00A5461F">
        <w:rPr>
          <w:rFonts w:ascii="Times New Roman" w:hAnsi="Times New Roman" w:cs="Times New Roman"/>
          <w:sz w:val="24"/>
          <w:szCs w:val="24"/>
          <w:shd w:val="clear" w:color="auto" w:fill="FFFFFF"/>
        </w:rPr>
        <w:lastRenderedPageBreak/>
        <w:t>активностима и организовању кампања за смањење повреда на раду и професионалних обољења, посебно у појединим гранама делатности где су оне најчешће (грађевинарство, хемијска индустрија, пољопривреда, здравство и др.); конституисању и функционисању одбора за безбедност и здравље на раду; припреми и изради пропагандног материјала о безбедности и здрављу на раду; едукацији и оспособљавању чланства за правилно и ефикасно деловање везано за безбедност и здравље на раду.</w:t>
      </w:r>
    </w:p>
    <w:p w14:paraId="0673D079" w14:textId="681C9E34" w:rsidR="001374C9" w:rsidRPr="00A5461F" w:rsidRDefault="003B0E50" w:rsidP="008B54F6">
      <w:pPr>
        <w:ind w:firstLine="720"/>
        <w:jc w:val="both"/>
        <w:rPr>
          <w:rFonts w:ascii="Times New Roman" w:hAnsi="Times New Roman" w:cs="Times New Roman"/>
          <w:b/>
          <w:sz w:val="24"/>
          <w:szCs w:val="24"/>
          <w:shd w:val="clear" w:color="auto" w:fill="FFFFFF"/>
        </w:rPr>
      </w:pPr>
      <w:r w:rsidRPr="00A5461F">
        <w:rPr>
          <w:rFonts w:ascii="Times New Roman" w:hAnsi="Times New Roman" w:cs="Times New Roman"/>
          <w:b/>
          <w:sz w:val="24"/>
          <w:szCs w:val="24"/>
          <w:shd w:val="clear" w:color="auto" w:fill="FFFFFF"/>
          <w:lang w:val="sr-Cyrl-RS"/>
        </w:rPr>
        <w:t xml:space="preserve">2.4.9. </w:t>
      </w:r>
      <w:r w:rsidR="001374C9" w:rsidRPr="00A5461F">
        <w:rPr>
          <w:rFonts w:ascii="Times New Roman" w:hAnsi="Times New Roman" w:cs="Times New Roman"/>
          <w:b/>
          <w:sz w:val="24"/>
          <w:szCs w:val="24"/>
          <w:shd w:val="clear" w:color="auto" w:fill="FFFFFF"/>
        </w:rPr>
        <w:t>Удружења за безбедност и здравље на раду</w:t>
      </w:r>
    </w:p>
    <w:p w14:paraId="1D7FAF5E" w14:textId="3BBBA2E3" w:rsidR="00C56C63" w:rsidRPr="00A5461F" w:rsidRDefault="001374C9" w:rsidP="00CC19F8">
      <w:pPr>
        <w:ind w:firstLine="720"/>
        <w:jc w:val="both"/>
        <w:rPr>
          <w:rFonts w:ascii="Times New Roman" w:hAnsi="Times New Roman" w:cs="Times New Roman"/>
          <w:sz w:val="24"/>
          <w:szCs w:val="24"/>
          <w:shd w:val="clear" w:color="auto" w:fill="FFFFFF"/>
        </w:rPr>
      </w:pPr>
      <w:r w:rsidRPr="00A5461F">
        <w:rPr>
          <w:rFonts w:ascii="Times New Roman" w:hAnsi="Times New Roman" w:cs="Times New Roman"/>
          <w:sz w:val="24"/>
          <w:szCs w:val="24"/>
          <w:shd w:val="clear" w:color="auto" w:fill="FFFFFF"/>
        </w:rPr>
        <w:t>Основе организовања и деловања Удружења заснивају се на следећим циљевима, а између осталог да: развија, подстиче и помаже активности свих заинтересованих на сталном и систематском побољшавању и унапређивању безбедности и здравља на раду и услова рада; прати и сагледава проблеме области безбедности и здравља на раду и у оквиру своје активности покреће и предлаже мере заинтересованим и надлежним органима, институцијама и организацијама за њихово решавање; покреће иницијативу за законодавно уређење области безбедности и здравља на раду; информише надлежне органе, институције, асоцијације послодаваца, запослених и других организација запослених о мерама које имају за циљ развој сарадње социјалних партнера и размену мишљења и искустава о безбедности и здравља на раду и о позитивним и негативним искуствима из праксе; организује различите видове саветовања и едукација, шири сазнања и информације о безбедности и здрављу на раду, као о методама и средствима превенције широј јавности.</w:t>
      </w:r>
    </w:p>
    <w:p w14:paraId="2864A127" w14:textId="77777777" w:rsidR="00CC19F8" w:rsidRPr="00A5461F" w:rsidRDefault="00CC19F8" w:rsidP="00CC19F8">
      <w:pPr>
        <w:ind w:firstLine="720"/>
        <w:jc w:val="both"/>
        <w:rPr>
          <w:rFonts w:ascii="Times New Roman" w:hAnsi="Times New Roman" w:cs="Times New Roman"/>
          <w:b/>
          <w:sz w:val="24"/>
          <w:szCs w:val="24"/>
          <w:shd w:val="clear" w:color="auto" w:fill="FFFFFF"/>
          <w:lang w:val="sr-Cyrl-RS"/>
        </w:rPr>
      </w:pPr>
    </w:p>
    <w:p w14:paraId="46775A87" w14:textId="2B95B3C2" w:rsidR="00F515F5" w:rsidRPr="00A5461F" w:rsidRDefault="00CC19F8" w:rsidP="00CC19F8">
      <w:pPr>
        <w:ind w:firstLine="720"/>
        <w:jc w:val="both"/>
        <w:rPr>
          <w:rFonts w:ascii="Times New Roman" w:hAnsi="Times New Roman" w:cs="Times New Roman"/>
          <w:b/>
          <w:sz w:val="24"/>
          <w:szCs w:val="24"/>
          <w:shd w:val="clear" w:color="auto" w:fill="FFFFFF"/>
          <w:lang w:val="sr-Cyrl-RS"/>
        </w:rPr>
      </w:pPr>
      <w:r w:rsidRPr="00A5461F">
        <w:rPr>
          <w:rFonts w:ascii="Times New Roman" w:hAnsi="Times New Roman" w:cs="Times New Roman"/>
          <w:b/>
          <w:sz w:val="24"/>
          <w:szCs w:val="24"/>
          <w:shd w:val="clear" w:color="auto" w:fill="FFFFFF"/>
          <w:lang w:val="sr-Cyrl-RS"/>
        </w:rPr>
        <w:t xml:space="preserve">3. АНАЛИЗА </w:t>
      </w:r>
      <w:r w:rsidR="00F515F5" w:rsidRPr="00A5461F">
        <w:rPr>
          <w:rFonts w:ascii="Times New Roman" w:hAnsi="Times New Roman" w:cs="Times New Roman"/>
          <w:b/>
          <w:sz w:val="24"/>
          <w:szCs w:val="24"/>
          <w:shd w:val="clear" w:color="auto" w:fill="FFFFFF"/>
          <w:lang w:val="sr-Cyrl-RS"/>
        </w:rPr>
        <w:t>СТАЊА</w:t>
      </w:r>
    </w:p>
    <w:p w14:paraId="7A7E3178" w14:textId="7D3EF5C6" w:rsidR="00EC5D47" w:rsidRPr="00A5461F" w:rsidRDefault="00AD60B6" w:rsidP="00AD60B6">
      <w:pPr>
        <w:ind w:firstLine="720"/>
        <w:jc w:val="both"/>
        <w:rPr>
          <w:rFonts w:ascii="Times New Roman" w:hAnsi="Times New Roman" w:cs="Times New Roman"/>
          <w:b/>
          <w:sz w:val="24"/>
          <w:szCs w:val="24"/>
          <w:shd w:val="clear" w:color="auto" w:fill="FFFFFF"/>
          <w:lang w:val="sr-Cyrl-RS"/>
        </w:rPr>
      </w:pPr>
      <w:bookmarkStart w:id="11" w:name="_Toc126746520"/>
      <w:r w:rsidRPr="00A5461F">
        <w:rPr>
          <w:rFonts w:ascii="Times New Roman" w:hAnsi="Times New Roman" w:cs="Times New Roman"/>
          <w:b/>
          <w:sz w:val="24"/>
          <w:szCs w:val="24"/>
          <w:shd w:val="clear" w:color="auto" w:fill="FFFFFF"/>
          <w:lang w:val="sr-Cyrl-RS"/>
        </w:rPr>
        <w:t xml:space="preserve">3.1. </w:t>
      </w:r>
      <w:r w:rsidR="002D3919" w:rsidRPr="00A5461F">
        <w:rPr>
          <w:rFonts w:ascii="Times New Roman" w:hAnsi="Times New Roman" w:cs="Times New Roman"/>
          <w:b/>
          <w:sz w:val="24"/>
          <w:szCs w:val="24"/>
          <w:shd w:val="clear" w:color="auto" w:fill="FFFFFF"/>
          <w:lang w:val="sr-Cyrl-RS"/>
        </w:rPr>
        <w:t xml:space="preserve">Анализа стања и кретања повреда на раду и професионалних болести </w:t>
      </w:r>
      <w:r w:rsidR="00EC5D47" w:rsidRPr="00A5461F">
        <w:rPr>
          <w:rFonts w:ascii="Times New Roman" w:hAnsi="Times New Roman" w:cs="Times New Roman"/>
          <w:sz w:val="24"/>
          <w:szCs w:val="24"/>
          <w:shd w:val="clear" w:color="auto" w:fill="FFFFFF"/>
          <w:vertAlign w:val="superscript"/>
          <w:lang w:val="sr-Cyrl-RS"/>
        </w:rPr>
        <w:footnoteReference w:id="9"/>
      </w:r>
      <w:bookmarkEnd w:id="11"/>
    </w:p>
    <w:p w14:paraId="563CD17D" w14:textId="77777777" w:rsidR="00EC5D47" w:rsidRPr="00A5461F" w:rsidRDefault="00EC5D47" w:rsidP="00AD60B6">
      <w:pPr>
        <w:ind w:firstLine="720"/>
        <w:jc w:val="both"/>
        <w:rPr>
          <w:rFonts w:ascii="Times New Roman" w:hAnsi="Times New Roman" w:cs="Times New Roman"/>
          <w:sz w:val="24"/>
          <w:szCs w:val="24"/>
          <w:shd w:val="clear" w:color="auto" w:fill="FFFFFF"/>
          <w:lang w:val="sr-Cyrl-RS"/>
        </w:rPr>
      </w:pPr>
      <w:r w:rsidRPr="00A5461F">
        <w:rPr>
          <w:rFonts w:ascii="Times New Roman" w:hAnsi="Times New Roman" w:cs="Times New Roman"/>
          <w:sz w:val="24"/>
          <w:szCs w:val="24"/>
          <w:shd w:val="clear" w:color="auto" w:fill="FFFFFF"/>
          <w:lang w:val="sr-Cyrl-RS"/>
        </w:rPr>
        <w:t xml:space="preserve">У Републици Србији у примени је неколико методолошких приступа који се примењују при евидентирању, обради и евалуацији података о повредама на раду. </w:t>
      </w:r>
      <w:bookmarkStart w:id="12" w:name="_Hlk134775977"/>
      <w:bookmarkStart w:id="13" w:name="_Hlk126758777"/>
      <w:r w:rsidRPr="00A5461F">
        <w:rPr>
          <w:rFonts w:ascii="Times New Roman" w:hAnsi="Times New Roman" w:cs="Times New Roman"/>
          <w:sz w:val="24"/>
          <w:szCs w:val="24"/>
          <w:shd w:val="clear" w:color="auto" w:fill="FFFFFF"/>
          <w:lang w:val="sr-Cyrl-RS"/>
        </w:rPr>
        <w:t>Од 2019. године повреде на раду се анализирају према новој методологији која је усклађена са ESAW</w:t>
      </w:r>
      <w:r w:rsidRPr="00A5461F">
        <w:rPr>
          <w:rFonts w:ascii="Times New Roman" w:hAnsi="Times New Roman" w:cs="Times New Roman"/>
          <w:sz w:val="24"/>
          <w:szCs w:val="24"/>
          <w:lang w:val="sr-Cyrl-RS"/>
        </w:rPr>
        <w:t xml:space="preserve"> методологијом</w:t>
      </w:r>
      <w:bookmarkEnd w:id="12"/>
      <w:r w:rsidRPr="00A5461F">
        <w:rPr>
          <w:rFonts w:ascii="Times New Roman" w:hAnsi="Times New Roman" w:cs="Times New Roman"/>
          <w:sz w:val="24"/>
          <w:szCs w:val="24"/>
          <w:lang w:val="sr-Cyrl-RS"/>
        </w:rPr>
        <w:t>.</w:t>
      </w:r>
      <w:r w:rsidRPr="00A5461F">
        <w:rPr>
          <w:rStyle w:val="FootnoteReference"/>
          <w:rFonts w:ascii="Times New Roman" w:hAnsi="Times New Roman" w:cs="Times New Roman"/>
          <w:sz w:val="24"/>
          <w:szCs w:val="24"/>
          <w:lang w:val="sr-Cyrl-RS"/>
        </w:rPr>
        <w:footnoteReference w:id="10"/>
      </w:r>
      <w:r w:rsidRPr="00A5461F">
        <w:rPr>
          <w:rFonts w:ascii="Times New Roman" w:hAnsi="Times New Roman" w:cs="Times New Roman"/>
          <w:sz w:val="24"/>
          <w:szCs w:val="24"/>
          <w:lang w:val="sr-Cyrl-RS"/>
        </w:rPr>
        <w:t xml:space="preserve"> Применом наведене методологије омогућено је упоређивање података земаља чланица и анализа повреда на раду са земљама чланицама ЕУ. Увид у јединствену базу података омогућава не само преглед упоредивих података о повредама </w:t>
      </w:r>
      <w:r w:rsidRPr="00A5461F">
        <w:rPr>
          <w:rFonts w:ascii="Times New Roman" w:hAnsi="Times New Roman" w:cs="Times New Roman"/>
          <w:sz w:val="24"/>
          <w:szCs w:val="24"/>
          <w:shd w:val="clear" w:color="auto" w:fill="FFFFFF"/>
          <w:lang w:val="sr-Cyrl-RS"/>
        </w:rPr>
        <w:t xml:space="preserve">на раду, већ и праћење трендова у области безбедности и здравља на раду и самим тим предузимање адекватних превентивних мера за спречавање повреда. </w:t>
      </w:r>
    </w:p>
    <w:bookmarkEnd w:id="13"/>
    <w:p w14:paraId="763D7CDA" w14:textId="5555E78F" w:rsidR="00EC5D47" w:rsidRPr="00A5461F" w:rsidRDefault="00157EDB" w:rsidP="00AD60B6">
      <w:pPr>
        <w:ind w:firstLine="720"/>
        <w:jc w:val="both"/>
        <w:rPr>
          <w:rFonts w:ascii="Times New Roman" w:hAnsi="Times New Roman" w:cs="Times New Roman"/>
          <w:sz w:val="24"/>
          <w:szCs w:val="24"/>
          <w:shd w:val="clear" w:color="auto" w:fill="FFFFFF"/>
          <w:lang w:val="sr-Cyrl-RS"/>
        </w:rPr>
      </w:pPr>
      <w:r>
        <w:rPr>
          <w:rFonts w:ascii="Times New Roman" w:hAnsi="Times New Roman" w:cs="Times New Roman"/>
          <w:sz w:val="24"/>
          <w:szCs w:val="24"/>
          <w:shd w:val="clear" w:color="auto" w:fill="FFFFFF"/>
          <w:lang w:val="sr-Cyrl-RS"/>
        </w:rPr>
        <w:lastRenderedPageBreak/>
        <w:t>У Табели 2</w:t>
      </w:r>
      <w:r w:rsidR="00EC5D47" w:rsidRPr="00A5461F">
        <w:rPr>
          <w:rFonts w:ascii="Times New Roman" w:hAnsi="Times New Roman" w:cs="Times New Roman"/>
          <w:sz w:val="24"/>
          <w:szCs w:val="24"/>
          <w:shd w:val="clear" w:color="auto" w:fill="FFFFFF"/>
          <w:lang w:val="sr-Cyrl-RS"/>
        </w:rPr>
        <w:t>. приказани су подаци добијени на основу извештаја који достављају послодавци Управи за безбедност и здравље на раду.</w:t>
      </w:r>
      <w:r w:rsidR="00EC5D47" w:rsidRPr="00A5461F">
        <w:rPr>
          <w:shd w:val="clear" w:color="auto" w:fill="FFFFFF"/>
          <w:vertAlign w:val="superscript"/>
        </w:rPr>
        <w:footnoteReference w:id="11"/>
      </w:r>
      <w:r w:rsidR="00EC5D47" w:rsidRPr="00A5461F">
        <w:rPr>
          <w:rFonts w:ascii="Times New Roman" w:hAnsi="Times New Roman" w:cs="Times New Roman"/>
          <w:sz w:val="24"/>
          <w:szCs w:val="24"/>
          <w:shd w:val="clear" w:color="auto" w:fill="FFFFFF"/>
          <w:vertAlign w:val="superscript"/>
          <w:lang w:val="sr-Cyrl-RS"/>
        </w:rPr>
        <w:t xml:space="preserve"> </w:t>
      </w:r>
    </w:p>
    <w:p w14:paraId="2FEBAC3C" w14:textId="1991AF94" w:rsidR="00EC5D47" w:rsidRPr="008C26F1" w:rsidRDefault="00EC5D47" w:rsidP="00AD60B6">
      <w:pPr>
        <w:ind w:firstLine="720"/>
        <w:jc w:val="both"/>
        <w:rPr>
          <w:rFonts w:ascii="Times New Roman" w:hAnsi="Times New Roman" w:cs="Times New Roman"/>
          <w:b/>
          <w:i/>
          <w:sz w:val="24"/>
          <w:szCs w:val="24"/>
          <w:shd w:val="clear" w:color="auto" w:fill="FFFFFF"/>
          <w:lang w:val="sr-Cyrl-RS"/>
        </w:rPr>
      </w:pPr>
      <w:r w:rsidRPr="008C26F1">
        <w:rPr>
          <w:rFonts w:ascii="Times New Roman" w:hAnsi="Times New Roman" w:cs="Times New Roman"/>
          <w:b/>
          <w:i/>
          <w:sz w:val="24"/>
          <w:szCs w:val="24"/>
          <w:shd w:val="clear" w:color="auto" w:fill="FFFFFF"/>
          <w:lang w:val="sr-Cyrl-RS"/>
        </w:rPr>
        <w:t>Табе</w:t>
      </w:r>
      <w:r w:rsidR="00157EDB">
        <w:rPr>
          <w:rFonts w:ascii="Times New Roman" w:hAnsi="Times New Roman" w:cs="Times New Roman"/>
          <w:b/>
          <w:i/>
          <w:sz w:val="24"/>
          <w:szCs w:val="24"/>
          <w:shd w:val="clear" w:color="auto" w:fill="FFFFFF"/>
          <w:lang w:val="sr-Cyrl-RS"/>
        </w:rPr>
        <w:t>ла 2</w:t>
      </w:r>
      <w:r w:rsidR="0088233F" w:rsidRPr="008C26F1">
        <w:rPr>
          <w:rFonts w:ascii="Times New Roman" w:hAnsi="Times New Roman" w:cs="Times New Roman"/>
          <w:b/>
          <w:i/>
          <w:sz w:val="24"/>
          <w:szCs w:val="24"/>
          <w:shd w:val="clear" w:color="auto" w:fill="FFFFFF"/>
          <w:lang w:val="sr-Latn-RS"/>
        </w:rPr>
        <w:t xml:space="preserve">: </w:t>
      </w:r>
      <w:r w:rsidRPr="008C26F1">
        <w:rPr>
          <w:rFonts w:ascii="Times New Roman" w:hAnsi="Times New Roman" w:cs="Times New Roman"/>
          <w:b/>
          <w:i/>
          <w:sz w:val="24"/>
          <w:szCs w:val="24"/>
          <w:shd w:val="clear" w:color="auto" w:fill="FFFFFF"/>
          <w:lang w:val="sr-Cyrl-RS"/>
        </w:rPr>
        <w:t>Преглед повреда према тежини (смртне, тешке и лаке повреде)</w:t>
      </w:r>
    </w:p>
    <w:tbl>
      <w:tblPr>
        <w:tblW w:w="8900" w:type="dxa"/>
        <w:jc w:val="center"/>
        <w:tblLook w:val="04A0" w:firstRow="1" w:lastRow="0" w:firstColumn="1" w:lastColumn="0" w:noHBand="0" w:noVBand="1"/>
      </w:tblPr>
      <w:tblGrid>
        <w:gridCol w:w="4402"/>
        <w:gridCol w:w="816"/>
        <w:gridCol w:w="887"/>
        <w:gridCol w:w="900"/>
        <w:gridCol w:w="995"/>
        <w:gridCol w:w="900"/>
      </w:tblGrid>
      <w:tr w:rsidR="00A5461F" w:rsidRPr="00A5461F" w14:paraId="622D1C25" w14:textId="77777777" w:rsidTr="00DD5413">
        <w:trPr>
          <w:trHeight w:val="330"/>
          <w:jc w:val="center"/>
        </w:trPr>
        <w:tc>
          <w:tcPr>
            <w:tcW w:w="4402"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14:paraId="7F3B4924" w14:textId="77777777" w:rsidR="00EC5D47" w:rsidRPr="00A5461F" w:rsidRDefault="00EC5D47" w:rsidP="00125B70">
            <w:pPr>
              <w:spacing w:after="0" w:line="240" w:lineRule="auto"/>
              <w:rPr>
                <w:rFonts w:ascii="Times New Roman" w:hAnsi="Times New Roman" w:cs="Times New Roman"/>
                <w:b/>
                <w:bCs/>
                <w:sz w:val="24"/>
                <w:szCs w:val="24"/>
                <w:lang w:val="sr-Cyrl-RS" w:eastAsia="en-GB"/>
              </w:rPr>
            </w:pPr>
            <w:r w:rsidRPr="00A5461F">
              <w:rPr>
                <w:rFonts w:ascii="Times New Roman" w:hAnsi="Times New Roman" w:cs="Times New Roman"/>
                <w:b/>
                <w:bCs/>
                <w:sz w:val="24"/>
                <w:szCs w:val="24"/>
                <w:lang w:val="sr-Cyrl-RS" w:eastAsia="en-GB"/>
              </w:rPr>
              <w:t>Тежина повреде</w:t>
            </w:r>
          </w:p>
        </w:tc>
        <w:tc>
          <w:tcPr>
            <w:tcW w:w="816" w:type="dxa"/>
            <w:tcBorders>
              <w:top w:val="single" w:sz="8" w:space="0" w:color="000000"/>
              <w:left w:val="nil"/>
              <w:bottom w:val="single" w:sz="8" w:space="0" w:color="000000"/>
              <w:right w:val="single" w:sz="8" w:space="0" w:color="000000"/>
            </w:tcBorders>
            <w:shd w:val="clear" w:color="auto" w:fill="FFC000"/>
            <w:vAlign w:val="center"/>
            <w:hideMark/>
          </w:tcPr>
          <w:p w14:paraId="2071F7FF" w14:textId="2F7A5C41" w:rsidR="00EC5D47" w:rsidRPr="00A5461F" w:rsidRDefault="00EC5D47" w:rsidP="00125B70">
            <w:pPr>
              <w:spacing w:after="0" w:line="240" w:lineRule="auto"/>
              <w:rPr>
                <w:rFonts w:ascii="Times New Roman" w:hAnsi="Times New Roman" w:cs="Times New Roman"/>
                <w:b/>
                <w:bCs/>
                <w:sz w:val="24"/>
                <w:szCs w:val="24"/>
                <w:lang w:val="sr-Cyrl-RS" w:eastAsia="en-GB"/>
              </w:rPr>
            </w:pPr>
            <w:r w:rsidRPr="00A5461F">
              <w:rPr>
                <w:rFonts w:ascii="Times New Roman" w:hAnsi="Times New Roman" w:cs="Times New Roman"/>
                <w:b/>
                <w:bCs/>
                <w:sz w:val="24"/>
                <w:szCs w:val="24"/>
                <w:lang w:val="sr-Cyrl-RS" w:eastAsia="en-GB"/>
              </w:rPr>
              <w:t>2018*</w:t>
            </w:r>
          </w:p>
        </w:tc>
        <w:tc>
          <w:tcPr>
            <w:tcW w:w="887" w:type="dxa"/>
            <w:tcBorders>
              <w:top w:val="single" w:sz="8" w:space="0" w:color="000000"/>
              <w:left w:val="nil"/>
              <w:bottom w:val="single" w:sz="8" w:space="0" w:color="000000"/>
              <w:right w:val="single" w:sz="8" w:space="0" w:color="000000"/>
            </w:tcBorders>
            <w:shd w:val="clear" w:color="auto" w:fill="FFC000"/>
            <w:vAlign w:val="center"/>
            <w:hideMark/>
          </w:tcPr>
          <w:p w14:paraId="4F43A650" w14:textId="19FC0D4E" w:rsidR="00EC5D47" w:rsidRPr="00A5461F" w:rsidRDefault="00DD5413" w:rsidP="00125B70">
            <w:pPr>
              <w:spacing w:after="0" w:line="240" w:lineRule="auto"/>
              <w:jc w:val="center"/>
              <w:rPr>
                <w:rFonts w:ascii="Times New Roman" w:hAnsi="Times New Roman" w:cs="Times New Roman"/>
                <w:b/>
                <w:bCs/>
                <w:sz w:val="24"/>
                <w:szCs w:val="24"/>
                <w:lang w:val="sr-Cyrl-RS" w:eastAsia="en-GB"/>
              </w:rPr>
            </w:pPr>
            <w:r>
              <w:rPr>
                <w:rFonts w:ascii="Times New Roman" w:hAnsi="Times New Roman" w:cs="Times New Roman"/>
                <w:b/>
                <w:bCs/>
                <w:sz w:val="24"/>
                <w:szCs w:val="24"/>
                <w:lang w:val="sr-Latn-RS" w:eastAsia="en-GB"/>
              </w:rPr>
              <w:t xml:space="preserve">  </w:t>
            </w:r>
            <w:r w:rsidR="00EC5D47" w:rsidRPr="00A5461F">
              <w:rPr>
                <w:rFonts w:ascii="Times New Roman" w:hAnsi="Times New Roman" w:cs="Times New Roman"/>
                <w:b/>
                <w:bCs/>
                <w:sz w:val="24"/>
                <w:szCs w:val="24"/>
                <w:lang w:val="sr-Cyrl-RS" w:eastAsia="en-GB"/>
              </w:rPr>
              <w:t>2019</w:t>
            </w:r>
          </w:p>
        </w:tc>
        <w:tc>
          <w:tcPr>
            <w:tcW w:w="900" w:type="dxa"/>
            <w:tcBorders>
              <w:top w:val="single" w:sz="8" w:space="0" w:color="000000"/>
              <w:left w:val="nil"/>
              <w:bottom w:val="single" w:sz="8" w:space="0" w:color="000000"/>
              <w:right w:val="single" w:sz="8" w:space="0" w:color="000000"/>
            </w:tcBorders>
            <w:shd w:val="clear" w:color="auto" w:fill="FFC000"/>
            <w:vAlign w:val="center"/>
            <w:hideMark/>
          </w:tcPr>
          <w:p w14:paraId="71501923" w14:textId="14914AFB" w:rsidR="00EC5D47" w:rsidRPr="00A5461F" w:rsidRDefault="00DD5413" w:rsidP="00125B70">
            <w:pPr>
              <w:spacing w:after="0" w:line="240" w:lineRule="auto"/>
              <w:jc w:val="center"/>
              <w:rPr>
                <w:rFonts w:ascii="Times New Roman" w:hAnsi="Times New Roman" w:cs="Times New Roman"/>
                <w:b/>
                <w:bCs/>
                <w:sz w:val="24"/>
                <w:szCs w:val="24"/>
                <w:lang w:val="sr-Cyrl-RS" w:eastAsia="en-GB"/>
              </w:rPr>
            </w:pPr>
            <w:r>
              <w:rPr>
                <w:rFonts w:ascii="Times New Roman" w:hAnsi="Times New Roman" w:cs="Times New Roman"/>
                <w:b/>
                <w:bCs/>
                <w:sz w:val="24"/>
                <w:szCs w:val="24"/>
                <w:lang w:val="sr-Latn-RS" w:eastAsia="en-GB"/>
              </w:rPr>
              <w:t xml:space="preserve">  </w:t>
            </w:r>
            <w:r w:rsidR="00EC5D47" w:rsidRPr="00A5461F">
              <w:rPr>
                <w:rFonts w:ascii="Times New Roman" w:hAnsi="Times New Roman" w:cs="Times New Roman"/>
                <w:b/>
                <w:bCs/>
                <w:sz w:val="24"/>
                <w:szCs w:val="24"/>
                <w:lang w:val="sr-Cyrl-RS" w:eastAsia="en-GB"/>
              </w:rPr>
              <w:t>2020</w:t>
            </w:r>
          </w:p>
        </w:tc>
        <w:tc>
          <w:tcPr>
            <w:tcW w:w="995" w:type="dxa"/>
            <w:tcBorders>
              <w:top w:val="single" w:sz="8" w:space="0" w:color="000000"/>
              <w:left w:val="nil"/>
              <w:bottom w:val="single" w:sz="8" w:space="0" w:color="000000"/>
              <w:right w:val="single" w:sz="8" w:space="0" w:color="000000"/>
            </w:tcBorders>
            <w:shd w:val="clear" w:color="auto" w:fill="FFC000"/>
            <w:vAlign w:val="center"/>
            <w:hideMark/>
          </w:tcPr>
          <w:p w14:paraId="28E137E5" w14:textId="31A413A8" w:rsidR="00EC5D47" w:rsidRPr="00A5461F" w:rsidRDefault="00DD5413" w:rsidP="00125B70">
            <w:pPr>
              <w:spacing w:after="0" w:line="240" w:lineRule="auto"/>
              <w:jc w:val="center"/>
              <w:rPr>
                <w:rFonts w:ascii="Times New Roman" w:hAnsi="Times New Roman" w:cs="Times New Roman"/>
                <w:b/>
                <w:bCs/>
                <w:sz w:val="24"/>
                <w:szCs w:val="24"/>
                <w:lang w:val="sr-Cyrl-RS" w:eastAsia="en-GB"/>
              </w:rPr>
            </w:pPr>
            <w:r>
              <w:rPr>
                <w:rFonts w:ascii="Times New Roman" w:hAnsi="Times New Roman" w:cs="Times New Roman"/>
                <w:b/>
                <w:bCs/>
                <w:sz w:val="24"/>
                <w:szCs w:val="24"/>
                <w:lang w:val="sr-Latn-RS" w:eastAsia="en-GB"/>
              </w:rPr>
              <w:t xml:space="preserve"> </w:t>
            </w:r>
            <w:r w:rsidR="00EC5D47" w:rsidRPr="00A5461F">
              <w:rPr>
                <w:rFonts w:ascii="Times New Roman" w:hAnsi="Times New Roman" w:cs="Times New Roman"/>
                <w:b/>
                <w:bCs/>
                <w:sz w:val="24"/>
                <w:szCs w:val="24"/>
                <w:lang w:val="sr-Cyrl-RS" w:eastAsia="en-GB"/>
              </w:rPr>
              <w:t>2021</w:t>
            </w:r>
          </w:p>
        </w:tc>
        <w:tc>
          <w:tcPr>
            <w:tcW w:w="900" w:type="dxa"/>
            <w:tcBorders>
              <w:top w:val="single" w:sz="8" w:space="0" w:color="000000"/>
              <w:left w:val="nil"/>
              <w:bottom w:val="single" w:sz="8" w:space="0" w:color="000000"/>
              <w:right w:val="single" w:sz="8" w:space="0" w:color="000000"/>
            </w:tcBorders>
            <w:shd w:val="clear" w:color="auto" w:fill="FFC000"/>
            <w:vAlign w:val="center"/>
            <w:hideMark/>
          </w:tcPr>
          <w:p w14:paraId="632A207C" w14:textId="4D668767" w:rsidR="00EC5D47" w:rsidRPr="00A5461F" w:rsidRDefault="00DD5413" w:rsidP="00DD5413">
            <w:pPr>
              <w:spacing w:after="0" w:line="240" w:lineRule="auto"/>
              <w:rPr>
                <w:rFonts w:ascii="Times New Roman" w:hAnsi="Times New Roman" w:cs="Times New Roman"/>
                <w:b/>
                <w:bCs/>
                <w:sz w:val="24"/>
                <w:szCs w:val="24"/>
                <w:lang w:val="sr-Cyrl-RS" w:eastAsia="en-GB"/>
              </w:rPr>
            </w:pPr>
            <w:r>
              <w:rPr>
                <w:rFonts w:ascii="Times New Roman" w:hAnsi="Times New Roman" w:cs="Times New Roman"/>
                <w:b/>
                <w:bCs/>
                <w:sz w:val="24"/>
                <w:szCs w:val="24"/>
                <w:lang w:val="sr-Latn-RS" w:eastAsia="en-GB"/>
              </w:rPr>
              <w:t xml:space="preserve">   </w:t>
            </w:r>
            <w:r w:rsidR="00EC5D47" w:rsidRPr="00A5461F">
              <w:rPr>
                <w:rFonts w:ascii="Times New Roman" w:hAnsi="Times New Roman" w:cs="Times New Roman"/>
                <w:b/>
                <w:bCs/>
                <w:sz w:val="24"/>
                <w:szCs w:val="24"/>
                <w:lang w:val="sr-Cyrl-RS" w:eastAsia="en-GB"/>
              </w:rPr>
              <w:t>2022</w:t>
            </w:r>
          </w:p>
        </w:tc>
      </w:tr>
      <w:tr w:rsidR="00A5461F" w:rsidRPr="00A5461F" w14:paraId="121F015C" w14:textId="77777777" w:rsidTr="00DD5413">
        <w:trPr>
          <w:trHeight w:val="330"/>
          <w:jc w:val="center"/>
        </w:trPr>
        <w:tc>
          <w:tcPr>
            <w:tcW w:w="4402" w:type="dxa"/>
            <w:tcBorders>
              <w:top w:val="nil"/>
              <w:left w:val="single" w:sz="8" w:space="0" w:color="000000"/>
              <w:bottom w:val="single" w:sz="8" w:space="0" w:color="000000"/>
              <w:right w:val="single" w:sz="8" w:space="0" w:color="000000"/>
            </w:tcBorders>
            <w:shd w:val="clear" w:color="auto" w:fill="auto"/>
            <w:vAlign w:val="center"/>
            <w:hideMark/>
          </w:tcPr>
          <w:p w14:paraId="779DB53E" w14:textId="77777777" w:rsidR="00EC5D47" w:rsidRPr="00A5461F" w:rsidRDefault="00EC5D47" w:rsidP="00125B70">
            <w:pPr>
              <w:spacing w:after="0" w:line="240" w:lineRule="auto"/>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Смртне повреде на раду</w:t>
            </w:r>
          </w:p>
        </w:tc>
        <w:tc>
          <w:tcPr>
            <w:tcW w:w="816" w:type="dxa"/>
            <w:tcBorders>
              <w:top w:val="nil"/>
              <w:left w:val="nil"/>
              <w:bottom w:val="single" w:sz="8" w:space="0" w:color="000000"/>
              <w:right w:val="single" w:sz="8" w:space="0" w:color="000000"/>
            </w:tcBorders>
            <w:shd w:val="clear" w:color="auto" w:fill="auto"/>
            <w:vAlign w:val="center"/>
            <w:hideMark/>
          </w:tcPr>
          <w:p w14:paraId="783F0AC0"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7</w:t>
            </w:r>
          </w:p>
        </w:tc>
        <w:tc>
          <w:tcPr>
            <w:tcW w:w="887" w:type="dxa"/>
            <w:tcBorders>
              <w:top w:val="nil"/>
              <w:left w:val="nil"/>
              <w:bottom w:val="single" w:sz="8" w:space="0" w:color="000000"/>
              <w:right w:val="single" w:sz="8" w:space="0" w:color="000000"/>
            </w:tcBorders>
            <w:shd w:val="clear" w:color="auto" w:fill="auto"/>
            <w:vAlign w:val="center"/>
            <w:hideMark/>
          </w:tcPr>
          <w:p w14:paraId="258C5213"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pacing w:val="-5"/>
                <w:sz w:val="24"/>
                <w:szCs w:val="24"/>
                <w:lang w:val="sr-Cyrl-RS" w:eastAsia="en-GB"/>
              </w:rPr>
              <w:t>14</w:t>
            </w:r>
          </w:p>
        </w:tc>
        <w:tc>
          <w:tcPr>
            <w:tcW w:w="900" w:type="dxa"/>
            <w:tcBorders>
              <w:top w:val="nil"/>
              <w:left w:val="nil"/>
              <w:bottom w:val="single" w:sz="8" w:space="0" w:color="000000"/>
              <w:right w:val="single" w:sz="8" w:space="0" w:color="000000"/>
            </w:tcBorders>
            <w:shd w:val="clear" w:color="auto" w:fill="auto"/>
            <w:vAlign w:val="center"/>
            <w:hideMark/>
          </w:tcPr>
          <w:p w14:paraId="13357327"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11</w:t>
            </w:r>
          </w:p>
        </w:tc>
        <w:tc>
          <w:tcPr>
            <w:tcW w:w="995" w:type="dxa"/>
            <w:tcBorders>
              <w:top w:val="nil"/>
              <w:left w:val="nil"/>
              <w:bottom w:val="single" w:sz="8" w:space="0" w:color="000000"/>
              <w:right w:val="single" w:sz="8" w:space="0" w:color="000000"/>
            </w:tcBorders>
            <w:shd w:val="clear" w:color="auto" w:fill="auto"/>
            <w:vAlign w:val="center"/>
            <w:hideMark/>
          </w:tcPr>
          <w:p w14:paraId="048F6741"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12</w:t>
            </w:r>
          </w:p>
        </w:tc>
        <w:tc>
          <w:tcPr>
            <w:tcW w:w="900" w:type="dxa"/>
            <w:tcBorders>
              <w:top w:val="nil"/>
              <w:left w:val="nil"/>
              <w:bottom w:val="single" w:sz="8" w:space="0" w:color="000000"/>
              <w:right w:val="single" w:sz="8" w:space="0" w:color="000000"/>
            </w:tcBorders>
            <w:shd w:val="clear" w:color="auto" w:fill="auto"/>
            <w:vAlign w:val="center"/>
            <w:hideMark/>
          </w:tcPr>
          <w:p w14:paraId="0C78D20D"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11</w:t>
            </w:r>
          </w:p>
        </w:tc>
      </w:tr>
      <w:tr w:rsidR="00A5461F" w:rsidRPr="00A5461F" w14:paraId="4C1F4DFB" w14:textId="77777777" w:rsidTr="00DD5413">
        <w:trPr>
          <w:trHeight w:val="330"/>
          <w:jc w:val="center"/>
        </w:trPr>
        <w:tc>
          <w:tcPr>
            <w:tcW w:w="4402" w:type="dxa"/>
            <w:tcBorders>
              <w:top w:val="nil"/>
              <w:left w:val="single" w:sz="8" w:space="0" w:color="000000"/>
              <w:bottom w:val="single" w:sz="8" w:space="0" w:color="000000"/>
              <w:right w:val="single" w:sz="8" w:space="0" w:color="000000"/>
            </w:tcBorders>
            <w:shd w:val="clear" w:color="auto" w:fill="auto"/>
            <w:vAlign w:val="center"/>
            <w:hideMark/>
          </w:tcPr>
          <w:p w14:paraId="4A83E895" w14:textId="77777777" w:rsidR="00EC5D47" w:rsidRPr="00A5461F" w:rsidRDefault="00EC5D47" w:rsidP="00125B70">
            <w:pPr>
              <w:spacing w:after="0" w:line="240" w:lineRule="auto"/>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Тешке повреде на раду</w:t>
            </w:r>
          </w:p>
        </w:tc>
        <w:tc>
          <w:tcPr>
            <w:tcW w:w="816" w:type="dxa"/>
            <w:tcBorders>
              <w:top w:val="nil"/>
              <w:left w:val="nil"/>
              <w:bottom w:val="single" w:sz="8" w:space="0" w:color="000000"/>
              <w:right w:val="single" w:sz="8" w:space="0" w:color="000000"/>
            </w:tcBorders>
            <w:shd w:val="clear" w:color="auto" w:fill="auto"/>
            <w:vAlign w:val="center"/>
            <w:hideMark/>
          </w:tcPr>
          <w:p w14:paraId="417E84E1"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788</w:t>
            </w:r>
          </w:p>
        </w:tc>
        <w:tc>
          <w:tcPr>
            <w:tcW w:w="887" w:type="dxa"/>
            <w:tcBorders>
              <w:top w:val="nil"/>
              <w:left w:val="nil"/>
              <w:bottom w:val="single" w:sz="8" w:space="0" w:color="000000"/>
              <w:right w:val="single" w:sz="8" w:space="0" w:color="000000"/>
            </w:tcBorders>
            <w:shd w:val="clear" w:color="auto" w:fill="auto"/>
            <w:vAlign w:val="center"/>
            <w:hideMark/>
          </w:tcPr>
          <w:p w14:paraId="2DBC8308"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pacing w:val="-4"/>
                <w:sz w:val="24"/>
                <w:szCs w:val="24"/>
                <w:lang w:val="sr-Cyrl-RS" w:eastAsia="en-GB"/>
              </w:rPr>
              <w:t>1233</w:t>
            </w:r>
          </w:p>
        </w:tc>
        <w:tc>
          <w:tcPr>
            <w:tcW w:w="900" w:type="dxa"/>
            <w:tcBorders>
              <w:top w:val="nil"/>
              <w:left w:val="nil"/>
              <w:bottom w:val="single" w:sz="8" w:space="0" w:color="000000"/>
              <w:right w:val="single" w:sz="8" w:space="0" w:color="000000"/>
            </w:tcBorders>
            <w:shd w:val="clear" w:color="auto" w:fill="auto"/>
            <w:vAlign w:val="center"/>
            <w:hideMark/>
          </w:tcPr>
          <w:p w14:paraId="33FB94D6"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1226</w:t>
            </w:r>
          </w:p>
        </w:tc>
        <w:tc>
          <w:tcPr>
            <w:tcW w:w="995" w:type="dxa"/>
            <w:tcBorders>
              <w:top w:val="nil"/>
              <w:left w:val="nil"/>
              <w:bottom w:val="single" w:sz="8" w:space="0" w:color="000000"/>
              <w:right w:val="single" w:sz="8" w:space="0" w:color="000000"/>
            </w:tcBorders>
            <w:shd w:val="clear" w:color="auto" w:fill="auto"/>
            <w:vAlign w:val="center"/>
            <w:hideMark/>
          </w:tcPr>
          <w:p w14:paraId="5589A1CB"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1289</w:t>
            </w:r>
          </w:p>
        </w:tc>
        <w:tc>
          <w:tcPr>
            <w:tcW w:w="900" w:type="dxa"/>
            <w:tcBorders>
              <w:top w:val="nil"/>
              <w:left w:val="nil"/>
              <w:bottom w:val="single" w:sz="8" w:space="0" w:color="000000"/>
              <w:right w:val="single" w:sz="8" w:space="0" w:color="000000"/>
            </w:tcBorders>
            <w:shd w:val="clear" w:color="auto" w:fill="auto"/>
            <w:vAlign w:val="center"/>
            <w:hideMark/>
          </w:tcPr>
          <w:p w14:paraId="1C10D099"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1 127</w:t>
            </w:r>
          </w:p>
        </w:tc>
      </w:tr>
      <w:tr w:rsidR="00A5461F" w:rsidRPr="00A5461F" w14:paraId="54C590F4" w14:textId="77777777" w:rsidTr="00DD5413">
        <w:trPr>
          <w:trHeight w:val="66"/>
          <w:jc w:val="center"/>
        </w:trPr>
        <w:tc>
          <w:tcPr>
            <w:tcW w:w="4402" w:type="dxa"/>
            <w:tcBorders>
              <w:top w:val="nil"/>
              <w:left w:val="single" w:sz="8" w:space="0" w:color="000000"/>
              <w:bottom w:val="single" w:sz="8" w:space="0" w:color="000000"/>
              <w:right w:val="single" w:sz="8" w:space="0" w:color="000000"/>
            </w:tcBorders>
            <w:shd w:val="clear" w:color="auto" w:fill="auto"/>
            <w:vAlign w:val="center"/>
            <w:hideMark/>
          </w:tcPr>
          <w:p w14:paraId="67FF6C33" w14:textId="77777777" w:rsidR="00EC5D47" w:rsidRPr="00A5461F" w:rsidRDefault="00EC5D47" w:rsidP="00125B70">
            <w:pPr>
              <w:spacing w:after="0" w:line="240" w:lineRule="auto"/>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Тешке повреде (при доласку, одласку са посла)</w:t>
            </w:r>
          </w:p>
        </w:tc>
        <w:tc>
          <w:tcPr>
            <w:tcW w:w="816" w:type="dxa"/>
            <w:tcBorders>
              <w:top w:val="nil"/>
              <w:left w:val="nil"/>
              <w:bottom w:val="single" w:sz="8" w:space="0" w:color="000000"/>
              <w:right w:val="single" w:sz="8" w:space="0" w:color="000000"/>
            </w:tcBorders>
            <w:shd w:val="clear" w:color="auto" w:fill="auto"/>
            <w:vAlign w:val="center"/>
            <w:hideMark/>
          </w:tcPr>
          <w:p w14:paraId="4CE6CE72"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522</w:t>
            </w:r>
          </w:p>
        </w:tc>
        <w:tc>
          <w:tcPr>
            <w:tcW w:w="887" w:type="dxa"/>
            <w:tcBorders>
              <w:top w:val="nil"/>
              <w:left w:val="nil"/>
              <w:bottom w:val="single" w:sz="8" w:space="0" w:color="000000"/>
              <w:right w:val="single" w:sz="8" w:space="0" w:color="000000"/>
            </w:tcBorders>
            <w:shd w:val="clear" w:color="auto" w:fill="auto"/>
            <w:vAlign w:val="center"/>
            <w:hideMark/>
          </w:tcPr>
          <w:p w14:paraId="4D8AD729"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pacing w:val="-5"/>
                <w:sz w:val="24"/>
                <w:szCs w:val="24"/>
                <w:lang w:val="sr-Cyrl-RS" w:eastAsia="en-GB"/>
              </w:rPr>
              <w:t>597</w:t>
            </w:r>
          </w:p>
        </w:tc>
        <w:tc>
          <w:tcPr>
            <w:tcW w:w="900" w:type="dxa"/>
            <w:tcBorders>
              <w:top w:val="nil"/>
              <w:left w:val="nil"/>
              <w:bottom w:val="single" w:sz="8" w:space="0" w:color="000000"/>
              <w:right w:val="single" w:sz="8" w:space="0" w:color="000000"/>
            </w:tcBorders>
            <w:shd w:val="clear" w:color="auto" w:fill="auto"/>
            <w:vAlign w:val="center"/>
            <w:hideMark/>
          </w:tcPr>
          <w:p w14:paraId="626D2160"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435</w:t>
            </w:r>
          </w:p>
        </w:tc>
        <w:tc>
          <w:tcPr>
            <w:tcW w:w="995" w:type="dxa"/>
            <w:tcBorders>
              <w:top w:val="nil"/>
              <w:left w:val="nil"/>
              <w:bottom w:val="single" w:sz="8" w:space="0" w:color="000000"/>
              <w:right w:val="single" w:sz="8" w:space="0" w:color="000000"/>
            </w:tcBorders>
            <w:shd w:val="clear" w:color="auto" w:fill="auto"/>
            <w:vAlign w:val="center"/>
            <w:hideMark/>
          </w:tcPr>
          <w:p w14:paraId="0FA645C8"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487</w:t>
            </w:r>
          </w:p>
        </w:tc>
        <w:tc>
          <w:tcPr>
            <w:tcW w:w="900" w:type="dxa"/>
            <w:tcBorders>
              <w:top w:val="nil"/>
              <w:left w:val="nil"/>
              <w:bottom w:val="single" w:sz="8" w:space="0" w:color="000000"/>
              <w:right w:val="single" w:sz="8" w:space="0" w:color="000000"/>
            </w:tcBorders>
            <w:shd w:val="clear" w:color="auto" w:fill="auto"/>
            <w:vAlign w:val="center"/>
            <w:hideMark/>
          </w:tcPr>
          <w:p w14:paraId="78CFBE54"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596</w:t>
            </w:r>
          </w:p>
        </w:tc>
      </w:tr>
      <w:tr w:rsidR="00A5461F" w:rsidRPr="00A5461F" w14:paraId="0E8182B6" w14:textId="77777777" w:rsidTr="00DD5413">
        <w:trPr>
          <w:trHeight w:val="330"/>
          <w:jc w:val="center"/>
        </w:trPr>
        <w:tc>
          <w:tcPr>
            <w:tcW w:w="4402" w:type="dxa"/>
            <w:tcBorders>
              <w:top w:val="nil"/>
              <w:left w:val="single" w:sz="8" w:space="0" w:color="000000"/>
              <w:bottom w:val="single" w:sz="8" w:space="0" w:color="000000"/>
              <w:right w:val="single" w:sz="8" w:space="0" w:color="000000"/>
            </w:tcBorders>
            <w:shd w:val="clear" w:color="auto" w:fill="auto"/>
            <w:vAlign w:val="center"/>
            <w:hideMark/>
          </w:tcPr>
          <w:p w14:paraId="3A56C4F8" w14:textId="77777777" w:rsidR="00EC5D47" w:rsidRPr="00A5461F" w:rsidRDefault="00EC5D47" w:rsidP="00125B70">
            <w:pPr>
              <w:spacing w:after="0" w:line="240" w:lineRule="auto"/>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Лаке повреде</w:t>
            </w:r>
          </w:p>
        </w:tc>
        <w:tc>
          <w:tcPr>
            <w:tcW w:w="816" w:type="dxa"/>
            <w:tcBorders>
              <w:top w:val="nil"/>
              <w:left w:val="nil"/>
              <w:bottom w:val="single" w:sz="8" w:space="0" w:color="000000"/>
              <w:right w:val="single" w:sz="8" w:space="0" w:color="000000"/>
            </w:tcBorders>
            <w:shd w:val="clear" w:color="auto" w:fill="auto"/>
            <w:vAlign w:val="center"/>
            <w:hideMark/>
          </w:tcPr>
          <w:p w14:paraId="2DCF4040"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9087</w:t>
            </w:r>
          </w:p>
        </w:tc>
        <w:tc>
          <w:tcPr>
            <w:tcW w:w="887" w:type="dxa"/>
            <w:tcBorders>
              <w:top w:val="nil"/>
              <w:left w:val="nil"/>
              <w:bottom w:val="single" w:sz="8" w:space="0" w:color="000000"/>
              <w:right w:val="single" w:sz="8" w:space="0" w:color="000000"/>
            </w:tcBorders>
            <w:shd w:val="clear" w:color="auto" w:fill="auto"/>
            <w:vAlign w:val="center"/>
            <w:hideMark/>
          </w:tcPr>
          <w:p w14:paraId="02E0AF25"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pacing w:val="-2"/>
                <w:sz w:val="24"/>
                <w:szCs w:val="24"/>
                <w:lang w:val="sr-Cyrl-RS" w:eastAsia="en-GB"/>
              </w:rPr>
              <w:t>11462</w:t>
            </w:r>
          </w:p>
        </w:tc>
        <w:tc>
          <w:tcPr>
            <w:tcW w:w="900" w:type="dxa"/>
            <w:tcBorders>
              <w:top w:val="nil"/>
              <w:left w:val="nil"/>
              <w:bottom w:val="single" w:sz="8" w:space="0" w:color="000000"/>
              <w:right w:val="single" w:sz="8" w:space="0" w:color="000000"/>
            </w:tcBorders>
            <w:shd w:val="clear" w:color="auto" w:fill="auto"/>
            <w:vAlign w:val="center"/>
            <w:hideMark/>
          </w:tcPr>
          <w:p w14:paraId="00ABD465"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8623</w:t>
            </w:r>
          </w:p>
        </w:tc>
        <w:tc>
          <w:tcPr>
            <w:tcW w:w="995" w:type="dxa"/>
            <w:tcBorders>
              <w:top w:val="nil"/>
              <w:left w:val="nil"/>
              <w:bottom w:val="single" w:sz="8" w:space="0" w:color="000000"/>
              <w:right w:val="single" w:sz="8" w:space="0" w:color="000000"/>
            </w:tcBorders>
            <w:shd w:val="clear" w:color="auto" w:fill="auto"/>
            <w:vAlign w:val="center"/>
            <w:hideMark/>
          </w:tcPr>
          <w:p w14:paraId="5AFFD1C7"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9487</w:t>
            </w:r>
          </w:p>
        </w:tc>
        <w:tc>
          <w:tcPr>
            <w:tcW w:w="900" w:type="dxa"/>
            <w:tcBorders>
              <w:top w:val="nil"/>
              <w:left w:val="nil"/>
              <w:bottom w:val="single" w:sz="8" w:space="0" w:color="000000"/>
              <w:right w:val="single" w:sz="8" w:space="0" w:color="000000"/>
            </w:tcBorders>
            <w:shd w:val="clear" w:color="auto" w:fill="auto"/>
            <w:vAlign w:val="center"/>
            <w:hideMark/>
          </w:tcPr>
          <w:p w14:paraId="231F9AC7" w14:textId="77777777" w:rsidR="00EC5D47" w:rsidRPr="00A5461F" w:rsidRDefault="00EC5D47" w:rsidP="00125B70">
            <w:pPr>
              <w:spacing w:after="0" w:line="240" w:lineRule="auto"/>
              <w:jc w:val="right"/>
              <w:rPr>
                <w:rFonts w:ascii="Times New Roman" w:hAnsi="Times New Roman" w:cs="Times New Roman"/>
                <w:sz w:val="24"/>
                <w:szCs w:val="24"/>
                <w:lang w:val="sr-Cyrl-RS" w:eastAsia="en-GB"/>
              </w:rPr>
            </w:pPr>
            <w:r w:rsidRPr="00A5461F">
              <w:rPr>
                <w:rFonts w:ascii="Times New Roman" w:hAnsi="Times New Roman" w:cs="Times New Roman"/>
                <w:sz w:val="24"/>
                <w:szCs w:val="24"/>
                <w:lang w:val="sr-Cyrl-RS" w:eastAsia="en-GB"/>
              </w:rPr>
              <w:t>10 958</w:t>
            </w:r>
          </w:p>
        </w:tc>
      </w:tr>
      <w:tr w:rsidR="00A5461F" w:rsidRPr="00A5461F" w14:paraId="3CF56A57" w14:textId="77777777" w:rsidTr="00DD5413">
        <w:trPr>
          <w:trHeight w:val="330"/>
          <w:jc w:val="center"/>
        </w:trPr>
        <w:tc>
          <w:tcPr>
            <w:tcW w:w="4402" w:type="dxa"/>
            <w:tcBorders>
              <w:top w:val="nil"/>
              <w:left w:val="single" w:sz="8" w:space="0" w:color="000000"/>
              <w:bottom w:val="single" w:sz="8" w:space="0" w:color="000000"/>
              <w:right w:val="single" w:sz="8" w:space="0" w:color="000000"/>
            </w:tcBorders>
            <w:shd w:val="clear" w:color="auto" w:fill="FFC000"/>
            <w:vAlign w:val="center"/>
            <w:hideMark/>
          </w:tcPr>
          <w:p w14:paraId="19803F5C" w14:textId="77777777" w:rsidR="00EC5D47" w:rsidRPr="00A5461F" w:rsidRDefault="00EC5D47" w:rsidP="00125B70">
            <w:pPr>
              <w:spacing w:after="0" w:line="240" w:lineRule="auto"/>
              <w:rPr>
                <w:rFonts w:ascii="Times New Roman" w:hAnsi="Times New Roman" w:cs="Times New Roman"/>
                <w:b/>
                <w:bCs/>
                <w:sz w:val="24"/>
                <w:szCs w:val="24"/>
                <w:lang w:val="sr-Cyrl-RS" w:eastAsia="en-GB"/>
              </w:rPr>
            </w:pPr>
            <w:r w:rsidRPr="00A5461F">
              <w:rPr>
                <w:rFonts w:ascii="Times New Roman" w:hAnsi="Times New Roman" w:cs="Times New Roman"/>
                <w:b/>
                <w:bCs/>
                <w:sz w:val="24"/>
                <w:szCs w:val="24"/>
                <w:lang w:val="sr-Cyrl-RS" w:eastAsia="en-GB"/>
              </w:rPr>
              <w:t>Укупно:</w:t>
            </w:r>
          </w:p>
        </w:tc>
        <w:tc>
          <w:tcPr>
            <w:tcW w:w="816" w:type="dxa"/>
            <w:tcBorders>
              <w:top w:val="nil"/>
              <w:left w:val="nil"/>
              <w:bottom w:val="single" w:sz="8" w:space="0" w:color="000000"/>
              <w:right w:val="single" w:sz="8" w:space="0" w:color="000000"/>
            </w:tcBorders>
            <w:shd w:val="clear" w:color="auto" w:fill="FFC000"/>
            <w:vAlign w:val="center"/>
            <w:hideMark/>
          </w:tcPr>
          <w:p w14:paraId="680B6B96" w14:textId="77777777" w:rsidR="00EC5D47" w:rsidRPr="00A5461F" w:rsidRDefault="00EC5D47" w:rsidP="00125B70">
            <w:pPr>
              <w:spacing w:after="0" w:line="240" w:lineRule="auto"/>
              <w:jc w:val="right"/>
              <w:rPr>
                <w:rFonts w:ascii="Times New Roman" w:hAnsi="Times New Roman" w:cs="Times New Roman"/>
                <w:b/>
                <w:bCs/>
                <w:sz w:val="24"/>
                <w:szCs w:val="24"/>
                <w:lang w:val="sr-Cyrl-RS" w:eastAsia="en-GB"/>
              </w:rPr>
            </w:pPr>
            <w:r w:rsidRPr="00A5461F">
              <w:rPr>
                <w:rFonts w:ascii="Times New Roman" w:hAnsi="Times New Roman" w:cs="Times New Roman"/>
                <w:b/>
                <w:bCs/>
                <w:sz w:val="24"/>
                <w:szCs w:val="24"/>
                <w:lang w:val="sr-Cyrl-RS" w:eastAsia="en-GB"/>
              </w:rPr>
              <w:t>10404</w:t>
            </w:r>
          </w:p>
        </w:tc>
        <w:tc>
          <w:tcPr>
            <w:tcW w:w="887" w:type="dxa"/>
            <w:tcBorders>
              <w:top w:val="nil"/>
              <w:left w:val="nil"/>
              <w:bottom w:val="single" w:sz="8" w:space="0" w:color="000000"/>
              <w:right w:val="single" w:sz="8" w:space="0" w:color="000000"/>
            </w:tcBorders>
            <w:shd w:val="clear" w:color="auto" w:fill="FFC000"/>
            <w:vAlign w:val="center"/>
            <w:hideMark/>
          </w:tcPr>
          <w:p w14:paraId="192B380E" w14:textId="77777777" w:rsidR="00EC5D47" w:rsidRPr="00A5461F" w:rsidRDefault="00EC5D47" w:rsidP="00125B70">
            <w:pPr>
              <w:spacing w:after="0" w:line="240" w:lineRule="auto"/>
              <w:jc w:val="right"/>
              <w:rPr>
                <w:rFonts w:ascii="Times New Roman" w:hAnsi="Times New Roman" w:cs="Times New Roman"/>
                <w:b/>
                <w:bCs/>
                <w:sz w:val="24"/>
                <w:szCs w:val="24"/>
                <w:lang w:val="sr-Cyrl-RS" w:eastAsia="en-GB"/>
              </w:rPr>
            </w:pPr>
            <w:r w:rsidRPr="00A5461F">
              <w:rPr>
                <w:rFonts w:ascii="Times New Roman" w:hAnsi="Times New Roman" w:cs="Times New Roman"/>
                <w:b/>
                <w:bCs/>
                <w:sz w:val="24"/>
                <w:szCs w:val="24"/>
                <w:lang w:val="sr-Cyrl-RS" w:eastAsia="en-GB"/>
              </w:rPr>
              <w:t>13306</w:t>
            </w:r>
          </w:p>
        </w:tc>
        <w:tc>
          <w:tcPr>
            <w:tcW w:w="900" w:type="dxa"/>
            <w:tcBorders>
              <w:top w:val="nil"/>
              <w:left w:val="nil"/>
              <w:bottom w:val="single" w:sz="8" w:space="0" w:color="000000"/>
              <w:right w:val="single" w:sz="8" w:space="0" w:color="000000"/>
            </w:tcBorders>
            <w:shd w:val="clear" w:color="auto" w:fill="FFC000"/>
            <w:vAlign w:val="center"/>
            <w:hideMark/>
          </w:tcPr>
          <w:p w14:paraId="2A122D68" w14:textId="77777777" w:rsidR="00EC5D47" w:rsidRPr="00A5461F" w:rsidRDefault="00EC5D47" w:rsidP="00125B70">
            <w:pPr>
              <w:spacing w:after="0" w:line="240" w:lineRule="auto"/>
              <w:jc w:val="right"/>
              <w:rPr>
                <w:rFonts w:ascii="Times New Roman" w:hAnsi="Times New Roman" w:cs="Times New Roman"/>
                <w:b/>
                <w:bCs/>
                <w:sz w:val="24"/>
                <w:szCs w:val="24"/>
                <w:lang w:val="sr-Cyrl-RS" w:eastAsia="en-GB"/>
              </w:rPr>
            </w:pPr>
            <w:r w:rsidRPr="00A5461F">
              <w:rPr>
                <w:rFonts w:ascii="Times New Roman" w:hAnsi="Times New Roman" w:cs="Times New Roman"/>
                <w:b/>
                <w:bCs/>
                <w:sz w:val="24"/>
                <w:szCs w:val="24"/>
                <w:lang w:val="sr-Cyrl-RS" w:eastAsia="en-GB"/>
              </w:rPr>
              <w:t>10295</w:t>
            </w:r>
          </w:p>
        </w:tc>
        <w:tc>
          <w:tcPr>
            <w:tcW w:w="995" w:type="dxa"/>
            <w:tcBorders>
              <w:top w:val="nil"/>
              <w:left w:val="nil"/>
              <w:bottom w:val="single" w:sz="8" w:space="0" w:color="000000"/>
              <w:right w:val="single" w:sz="8" w:space="0" w:color="000000"/>
            </w:tcBorders>
            <w:shd w:val="clear" w:color="auto" w:fill="FFC000"/>
            <w:vAlign w:val="center"/>
            <w:hideMark/>
          </w:tcPr>
          <w:p w14:paraId="1664AABA" w14:textId="77777777" w:rsidR="00EC5D47" w:rsidRPr="00A5461F" w:rsidRDefault="00EC5D47" w:rsidP="00125B70">
            <w:pPr>
              <w:spacing w:after="0" w:line="240" w:lineRule="auto"/>
              <w:jc w:val="right"/>
              <w:rPr>
                <w:rFonts w:ascii="Times New Roman" w:hAnsi="Times New Roman" w:cs="Times New Roman"/>
                <w:b/>
                <w:bCs/>
                <w:sz w:val="24"/>
                <w:szCs w:val="24"/>
                <w:lang w:val="sr-Cyrl-RS" w:eastAsia="en-GB"/>
              </w:rPr>
            </w:pPr>
            <w:r w:rsidRPr="00A5461F">
              <w:rPr>
                <w:rFonts w:ascii="Times New Roman" w:hAnsi="Times New Roman" w:cs="Times New Roman"/>
                <w:b/>
                <w:bCs/>
                <w:sz w:val="24"/>
                <w:szCs w:val="24"/>
                <w:lang w:val="sr-Cyrl-RS" w:eastAsia="en-GB"/>
              </w:rPr>
              <w:t>11275</w:t>
            </w:r>
          </w:p>
        </w:tc>
        <w:tc>
          <w:tcPr>
            <w:tcW w:w="900" w:type="dxa"/>
            <w:tcBorders>
              <w:top w:val="nil"/>
              <w:left w:val="nil"/>
              <w:bottom w:val="single" w:sz="8" w:space="0" w:color="000000"/>
              <w:right w:val="single" w:sz="8" w:space="0" w:color="000000"/>
            </w:tcBorders>
            <w:shd w:val="clear" w:color="auto" w:fill="FFC000"/>
            <w:vAlign w:val="center"/>
            <w:hideMark/>
          </w:tcPr>
          <w:p w14:paraId="2EF66109" w14:textId="77777777" w:rsidR="00EC5D47" w:rsidRPr="00DD5413" w:rsidRDefault="00EC5D47" w:rsidP="00125B70">
            <w:pPr>
              <w:spacing w:after="0" w:line="240" w:lineRule="auto"/>
              <w:jc w:val="right"/>
              <w:rPr>
                <w:rFonts w:ascii="Times New Roman" w:hAnsi="Times New Roman" w:cs="Times New Roman"/>
                <w:b/>
                <w:sz w:val="24"/>
                <w:szCs w:val="24"/>
                <w:lang w:val="sr-Cyrl-RS" w:eastAsia="en-GB"/>
              </w:rPr>
            </w:pPr>
            <w:r w:rsidRPr="00DD5413">
              <w:rPr>
                <w:rFonts w:ascii="Times New Roman" w:hAnsi="Times New Roman" w:cs="Times New Roman"/>
                <w:b/>
                <w:sz w:val="24"/>
                <w:szCs w:val="24"/>
                <w:lang w:val="sr-Cyrl-RS" w:eastAsia="en-GB"/>
              </w:rPr>
              <w:t>12 692</w:t>
            </w:r>
          </w:p>
        </w:tc>
      </w:tr>
    </w:tbl>
    <w:p w14:paraId="2DFD5DCE" w14:textId="7D0A6D26" w:rsidR="00EC5D47" w:rsidRPr="00A5461F" w:rsidRDefault="00EC5D47" w:rsidP="005F662F">
      <w:pPr>
        <w:jc w:val="both"/>
        <w:rPr>
          <w:rFonts w:ascii="Times New Roman" w:hAnsi="Times New Roman" w:cs="Times New Roman"/>
          <w:i/>
          <w:sz w:val="24"/>
          <w:szCs w:val="24"/>
          <w:lang w:val="sr-Cyrl-RS"/>
        </w:rPr>
      </w:pPr>
      <w:r w:rsidRPr="00A5461F">
        <w:rPr>
          <w:rFonts w:ascii="Times New Roman" w:hAnsi="Times New Roman" w:cs="Times New Roman"/>
          <w:i/>
          <w:sz w:val="24"/>
          <w:szCs w:val="24"/>
          <w:lang w:val="sr-Cyrl-RS"/>
        </w:rPr>
        <w:t xml:space="preserve">Извор: Управа за безбедност и </w:t>
      </w:r>
      <w:r w:rsidRPr="00A5461F">
        <w:rPr>
          <w:rFonts w:ascii="Times New Roman" w:hAnsi="Times New Roman" w:cs="Times New Roman"/>
          <w:i/>
          <w:sz w:val="24"/>
          <w:szCs w:val="24"/>
        </w:rPr>
        <w:t>здравље</w:t>
      </w:r>
      <w:r w:rsidRPr="00A5461F">
        <w:rPr>
          <w:rFonts w:ascii="Times New Roman" w:hAnsi="Times New Roman" w:cs="Times New Roman"/>
          <w:i/>
          <w:sz w:val="24"/>
          <w:szCs w:val="24"/>
          <w:lang w:val="sr-Cyrl-RS"/>
        </w:rPr>
        <w:t xml:space="preserve"> на раду</w:t>
      </w:r>
    </w:p>
    <w:p w14:paraId="6C046546" w14:textId="77777777" w:rsidR="00EC5D47" w:rsidRPr="00A5461F" w:rsidRDefault="00EC5D47" w:rsidP="00866D19">
      <w:pPr>
        <w:jc w:val="both"/>
        <w:rPr>
          <w:rFonts w:ascii="Times New Roman" w:hAnsi="Times New Roman" w:cs="Times New Roman"/>
          <w:i/>
          <w:sz w:val="24"/>
          <w:szCs w:val="24"/>
          <w:lang w:val="sr-Cyrl-RS"/>
        </w:rPr>
      </w:pPr>
      <w:r w:rsidRPr="00A5461F">
        <w:rPr>
          <w:rFonts w:ascii="Times New Roman" w:hAnsi="Times New Roman" w:cs="Times New Roman"/>
          <w:i/>
          <w:sz w:val="24"/>
          <w:szCs w:val="24"/>
          <w:lang w:val="en-GB"/>
        </w:rPr>
        <w:t>*</w:t>
      </w:r>
      <w:r w:rsidRPr="00A5461F">
        <w:rPr>
          <w:rFonts w:ascii="Times New Roman" w:hAnsi="Times New Roman" w:cs="Times New Roman"/>
          <w:i/>
          <w:sz w:val="24"/>
          <w:szCs w:val="24"/>
          <w:lang w:val="sr-Cyrl-RS"/>
        </w:rPr>
        <w:t>Од 2019. године повреде на раду се анализирају према новој методологији која је усклађена са ESAW методологијом</w:t>
      </w:r>
    </w:p>
    <w:p w14:paraId="57EF5238" w14:textId="57AC0DB8" w:rsidR="00EC5D47" w:rsidRPr="00A5461F" w:rsidRDefault="00EC5D47" w:rsidP="00DE4C26">
      <w:pPr>
        <w:ind w:firstLine="720"/>
        <w:jc w:val="both"/>
        <w:rPr>
          <w:rFonts w:ascii="Times New Roman" w:hAnsi="Times New Roman" w:cs="Times New Roman"/>
          <w:sz w:val="24"/>
          <w:szCs w:val="24"/>
          <w:lang w:val="sr-Cyrl-RS"/>
        </w:rPr>
      </w:pPr>
      <w:r w:rsidRPr="00A5461F">
        <w:rPr>
          <w:rFonts w:ascii="Times New Roman" w:hAnsi="Times New Roman" w:cs="Times New Roman"/>
          <w:sz w:val="24"/>
          <w:szCs w:val="24"/>
          <w:lang w:val="sr-Cyrl-RS"/>
        </w:rPr>
        <w:t>Подаци Републичког фонда за здравствено осигурање и Инспектората за рад указују да је број повреда са различитим исходима знатно већи од броја добијеног на основу и</w:t>
      </w:r>
      <w:r w:rsidR="00584452">
        <w:rPr>
          <w:rFonts w:ascii="Times New Roman" w:hAnsi="Times New Roman" w:cs="Times New Roman"/>
          <w:sz w:val="24"/>
          <w:szCs w:val="24"/>
          <w:lang w:val="sr-Cyrl-RS"/>
        </w:rPr>
        <w:t>звештавања послодаваца. Табела 3</w:t>
      </w:r>
      <w:r w:rsidRPr="00A5461F">
        <w:rPr>
          <w:rFonts w:ascii="Times New Roman" w:hAnsi="Times New Roman" w:cs="Times New Roman"/>
          <w:sz w:val="24"/>
          <w:szCs w:val="24"/>
          <w:lang w:val="sr-Cyrl-RS"/>
        </w:rPr>
        <w:t xml:space="preserve"> приказује Преглед повреда према тежини регистрованих у Републичком фонду за здравствено осигурање (РФЗО). Разлика указује на проблем у извештавању, односно не пријављивања повреда што ограничава употребну вредност података које прикупља Управа за безбедност и здравље на раду.</w:t>
      </w:r>
    </w:p>
    <w:p w14:paraId="13320F14" w14:textId="1B011A78" w:rsidR="00EC5D47" w:rsidRPr="008C26F1" w:rsidRDefault="00EC5D47" w:rsidP="00EC5D47">
      <w:pPr>
        <w:pStyle w:val="Caption"/>
        <w:keepNext/>
        <w:jc w:val="center"/>
        <w:rPr>
          <w:rFonts w:ascii="Times New Roman" w:hAnsi="Times New Roman" w:cs="Times New Roman"/>
          <w:b/>
          <w:color w:val="auto"/>
          <w:sz w:val="24"/>
          <w:szCs w:val="24"/>
          <w:lang w:val="sr-Cyrl-RS"/>
        </w:rPr>
      </w:pPr>
      <w:r w:rsidRPr="008C26F1">
        <w:rPr>
          <w:rFonts w:ascii="Times New Roman" w:hAnsi="Times New Roman" w:cs="Times New Roman"/>
          <w:b/>
          <w:color w:val="auto"/>
          <w:sz w:val="24"/>
          <w:szCs w:val="24"/>
          <w:lang w:val="sr-Cyrl-RS"/>
        </w:rPr>
        <w:t xml:space="preserve">Табела </w:t>
      </w:r>
      <w:r w:rsidR="00584452">
        <w:rPr>
          <w:rFonts w:ascii="Times New Roman" w:hAnsi="Times New Roman" w:cs="Times New Roman"/>
          <w:b/>
          <w:color w:val="auto"/>
          <w:sz w:val="24"/>
          <w:szCs w:val="24"/>
          <w:lang w:val="sr-Cyrl-RS"/>
        </w:rPr>
        <w:t>3</w:t>
      </w:r>
      <w:r w:rsidR="00866D19" w:rsidRPr="008C26F1">
        <w:rPr>
          <w:rFonts w:ascii="Times New Roman" w:hAnsi="Times New Roman" w:cs="Times New Roman"/>
          <w:b/>
          <w:color w:val="auto"/>
          <w:sz w:val="24"/>
          <w:szCs w:val="24"/>
          <w:lang w:val="sr-Latn-RS"/>
        </w:rPr>
        <w:t>:</w:t>
      </w:r>
      <w:r w:rsidRPr="008C26F1">
        <w:rPr>
          <w:rFonts w:ascii="Times New Roman" w:hAnsi="Times New Roman" w:cs="Times New Roman"/>
          <w:b/>
          <w:color w:val="auto"/>
          <w:sz w:val="24"/>
          <w:szCs w:val="24"/>
          <w:lang w:val="sr-Cyrl-RS"/>
        </w:rPr>
        <w:t xml:space="preserve"> Преглед повреда према тежини (смртне, тешке и лаке повреде)</w:t>
      </w:r>
    </w:p>
    <w:tbl>
      <w:tblPr>
        <w:tblW w:w="9080" w:type="dxa"/>
        <w:jc w:val="center"/>
        <w:tblLook w:val="04A0" w:firstRow="1" w:lastRow="0" w:firstColumn="1" w:lastColumn="0" w:noHBand="0" w:noVBand="1"/>
      </w:tblPr>
      <w:tblGrid>
        <w:gridCol w:w="4895"/>
        <w:gridCol w:w="780"/>
        <w:gridCol w:w="816"/>
        <w:gridCol w:w="816"/>
        <w:gridCol w:w="816"/>
        <w:gridCol w:w="957"/>
      </w:tblGrid>
      <w:tr w:rsidR="00EC5D47" w:rsidRPr="00AD60B6" w14:paraId="5BCA6787" w14:textId="77777777" w:rsidTr="00DE4C26">
        <w:trPr>
          <w:trHeight w:val="330"/>
          <w:jc w:val="center"/>
        </w:trPr>
        <w:tc>
          <w:tcPr>
            <w:tcW w:w="4895"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14:paraId="027938DA" w14:textId="77777777" w:rsidR="00EC5D47" w:rsidRPr="00AD60B6" w:rsidRDefault="00EC5D47" w:rsidP="00125B70">
            <w:pPr>
              <w:spacing w:after="0" w:line="240" w:lineRule="auto"/>
              <w:rPr>
                <w:rFonts w:ascii="Times New Roman" w:hAnsi="Times New Roman" w:cs="Times New Roman"/>
                <w:b/>
                <w:bCs/>
                <w:color w:val="000000"/>
                <w:sz w:val="24"/>
                <w:szCs w:val="24"/>
                <w:lang w:val="sr-Cyrl-RS" w:eastAsia="en-GB"/>
              </w:rPr>
            </w:pPr>
            <w:r w:rsidRPr="00AD60B6">
              <w:rPr>
                <w:rFonts w:ascii="Times New Roman" w:hAnsi="Times New Roman" w:cs="Times New Roman"/>
                <w:b/>
                <w:bCs/>
                <w:sz w:val="24"/>
                <w:szCs w:val="24"/>
                <w:lang w:val="sr-Cyrl-RS" w:eastAsia="en-GB"/>
              </w:rPr>
              <w:t>Тежина повреде</w:t>
            </w:r>
          </w:p>
        </w:tc>
        <w:tc>
          <w:tcPr>
            <w:tcW w:w="780" w:type="dxa"/>
            <w:tcBorders>
              <w:top w:val="single" w:sz="8" w:space="0" w:color="000000"/>
              <w:left w:val="nil"/>
              <w:bottom w:val="single" w:sz="8" w:space="0" w:color="000000"/>
              <w:right w:val="single" w:sz="8" w:space="0" w:color="000000"/>
            </w:tcBorders>
            <w:shd w:val="clear" w:color="auto" w:fill="FFC000"/>
            <w:vAlign w:val="center"/>
            <w:hideMark/>
          </w:tcPr>
          <w:p w14:paraId="7F86BAB7" w14:textId="77777777" w:rsidR="00EC5D47" w:rsidRPr="00AD60B6" w:rsidRDefault="00EC5D47" w:rsidP="00125B70">
            <w:pPr>
              <w:spacing w:after="0" w:line="240" w:lineRule="auto"/>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2018</w:t>
            </w:r>
          </w:p>
        </w:tc>
        <w:tc>
          <w:tcPr>
            <w:tcW w:w="816" w:type="dxa"/>
            <w:tcBorders>
              <w:top w:val="single" w:sz="8" w:space="0" w:color="000000"/>
              <w:left w:val="nil"/>
              <w:bottom w:val="single" w:sz="8" w:space="0" w:color="000000"/>
              <w:right w:val="single" w:sz="8" w:space="0" w:color="000000"/>
            </w:tcBorders>
            <w:shd w:val="clear" w:color="auto" w:fill="FFC000"/>
            <w:vAlign w:val="center"/>
            <w:hideMark/>
          </w:tcPr>
          <w:p w14:paraId="6EB5EF2C" w14:textId="77777777" w:rsidR="00EC5D47" w:rsidRPr="00AD60B6" w:rsidRDefault="00EC5D47" w:rsidP="00125B70">
            <w:pPr>
              <w:spacing w:after="0" w:line="240" w:lineRule="auto"/>
              <w:jc w:val="center"/>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2019</w:t>
            </w:r>
          </w:p>
        </w:tc>
        <w:tc>
          <w:tcPr>
            <w:tcW w:w="816" w:type="dxa"/>
            <w:tcBorders>
              <w:top w:val="single" w:sz="8" w:space="0" w:color="000000"/>
              <w:left w:val="nil"/>
              <w:bottom w:val="single" w:sz="8" w:space="0" w:color="000000"/>
              <w:right w:val="single" w:sz="8" w:space="0" w:color="000000"/>
            </w:tcBorders>
            <w:shd w:val="clear" w:color="auto" w:fill="FFC000"/>
            <w:vAlign w:val="center"/>
            <w:hideMark/>
          </w:tcPr>
          <w:p w14:paraId="54A56318" w14:textId="77777777" w:rsidR="00EC5D47" w:rsidRPr="00AD60B6" w:rsidRDefault="00EC5D47" w:rsidP="00125B70">
            <w:pPr>
              <w:spacing w:after="0" w:line="240" w:lineRule="auto"/>
              <w:jc w:val="center"/>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2020</w:t>
            </w:r>
          </w:p>
        </w:tc>
        <w:tc>
          <w:tcPr>
            <w:tcW w:w="816" w:type="dxa"/>
            <w:tcBorders>
              <w:top w:val="single" w:sz="8" w:space="0" w:color="000000"/>
              <w:left w:val="nil"/>
              <w:bottom w:val="single" w:sz="8" w:space="0" w:color="000000"/>
              <w:right w:val="single" w:sz="8" w:space="0" w:color="000000"/>
            </w:tcBorders>
            <w:shd w:val="clear" w:color="auto" w:fill="FFC000"/>
            <w:vAlign w:val="center"/>
            <w:hideMark/>
          </w:tcPr>
          <w:p w14:paraId="67D77026" w14:textId="77777777" w:rsidR="00EC5D47" w:rsidRPr="00AD60B6" w:rsidRDefault="00EC5D47" w:rsidP="00125B70">
            <w:pPr>
              <w:spacing w:after="0" w:line="240" w:lineRule="auto"/>
              <w:jc w:val="center"/>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2021</w:t>
            </w:r>
          </w:p>
        </w:tc>
        <w:tc>
          <w:tcPr>
            <w:tcW w:w="957" w:type="dxa"/>
            <w:tcBorders>
              <w:top w:val="single" w:sz="8" w:space="0" w:color="000000"/>
              <w:left w:val="nil"/>
              <w:bottom w:val="single" w:sz="8" w:space="0" w:color="000000"/>
              <w:right w:val="single" w:sz="8" w:space="0" w:color="000000"/>
            </w:tcBorders>
            <w:shd w:val="clear" w:color="auto" w:fill="FFC000"/>
            <w:vAlign w:val="center"/>
            <w:hideMark/>
          </w:tcPr>
          <w:p w14:paraId="4EF6593D" w14:textId="77777777" w:rsidR="00EC5D47" w:rsidRPr="00AD60B6" w:rsidRDefault="00EC5D47" w:rsidP="00125B70">
            <w:pPr>
              <w:spacing w:after="0" w:line="240" w:lineRule="auto"/>
              <w:jc w:val="center"/>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2022</w:t>
            </w:r>
          </w:p>
        </w:tc>
      </w:tr>
      <w:tr w:rsidR="00EC5D47" w:rsidRPr="00AD60B6" w14:paraId="2E90C894" w14:textId="77777777" w:rsidTr="00DE4C26">
        <w:trPr>
          <w:trHeight w:val="330"/>
          <w:jc w:val="center"/>
        </w:trPr>
        <w:tc>
          <w:tcPr>
            <w:tcW w:w="4895" w:type="dxa"/>
            <w:tcBorders>
              <w:top w:val="nil"/>
              <w:left w:val="single" w:sz="8" w:space="0" w:color="000000"/>
              <w:bottom w:val="single" w:sz="8" w:space="0" w:color="000000"/>
              <w:right w:val="single" w:sz="8" w:space="0" w:color="000000"/>
            </w:tcBorders>
            <w:shd w:val="clear" w:color="auto" w:fill="auto"/>
            <w:vAlign w:val="center"/>
            <w:hideMark/>
          </w:tcPr>
          <w:p w14:paraId="7EF2953C" w14:textId="77777777" w:rsidR="00EC5D47" w:rsidRPr="00AD60B6" w:rsidRDefault="00EC5D47" w:rsidP="00125B70">
            <w:pPr>
              <w:spacing w:after="0" w:line="240" w:lineRule="auto"/>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Смртне повреде на раду</w:t>
            </w:r>
          </w:p>
        </w:tc>
        <w:tc>
          <w:tcPr>
            <w:tcW w:w="780" w:type="dxa"/>
            <w:tcBorders>
              <w:top w:val="nil"/>
              <w:left w:val="nil"/>
              <w:bottom w:val="single" w:sz="8" w:space="0" w:color="000000"/>
              <w:right w:val="single" w:sz="8" w:space="0" w:color="000000"/>
            </w:tcBorders>
            <w:shd w:val="clear" w:color="auto" w:fill="auto"/>
            <w:vAlign w:val="center"/>
          </w:tcPr>
          <w:p w14:paraId="3B540DEB"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40</w:t>
            </w:r>
          </w:p>
        </w:tc>
        <w:tc>
          <w:tcPr>
            <w:tcW w:w="816" w:type="dxa"/>
            <w:tcBorders>
              <w:top w:val="nil"/>
              <w:left w:val="nil"/>
              <w:bottom w:val="single" w:sz="8" w:space="0" w:color="000000"/>
              <w:right w:val="single" w:sz="8" w:space="0" w:color="000000"/>
            </w:tcBorders>
            <w:shd w:val="clear" w:color="auto" w:fill="auto"/>
            <w:vAlign w:val="center"/>
          </w:tcPr>
          <w:p w14:paraId="22A6B23C"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36</w:t>
            </w:r>
          </w:p>
        </w:tc>
        <w:tc>
          <w:tcPr>
            <w:tcW w:w="816" w:type="dxa"/>
            <w:tcBorders>
              <w:top w:val="nil"/>
              <w:left w:val="nil"/>
              <w:bottom w:val="single" w:sz="8" w:space="0" w:color="000000"/>
              <w:right w:val="single" w:sz="8" w:space="0" w:color="000000"/>
            </w:tcBorders>
            <w:shd w:val="clear" w:color="auto" w:fill="auto"/>
            <w:vAlign w:val="center"/>
          </w:tcPr>
          <w:p w14:paraId="701074AC"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34</w:t>
            </w:r>
          </w:p>
        </w:tc>
        <w:tc>
          <w:tcPr>
            <w:tcW w:w="816" w:type="dxa"/>
            <w:tcBorders>
              <w:top w:val="nil"/>
              <w:left w:val="nil"/>
              <w:bottom w:val="single" w:sz="8" w:space="0" w:color="000000"/>
              <w:right w:val="single" w:sz="8" w:space="0" w:color="000000"/>
            </w:tcBorders>
            <w:shd w:val="clear" w:color="auto" w:fill="auto"/>
            <w:vAlign w:val="center"/>
          </w:tcPr>
          <w:p w14:paraId="4258D243"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45</w:t>
            </w:r>
          </w:p>
        </w:tc>
        <w:tc>
          <w:tcPr>
            <w:tcW w:w="957" w:type="dxa"/>
            <w:tcBorders>
              <w:top w:val="nil"/>
              <w:left w:val="nil"/>
              <w:bottom w:val="single" w:sz="8" w:space="0" w:color="000000"/>
              <w:right w:val="single" w:sz="8" w:space="0" w:color="000000"/>
            </w:tcBorders>
            <w:shd w:val="clear" w:color="auto" w:fill="auto"/>
            <w:vAlign w:val="center"/>
            <w:hideMark/>
          </w:tcPr>
          <w:p w14:paraId="64871DD8" w14:textId="1E8FA7E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511C57">
              <w:rPr>
                <w:rFonts w:ascii="Times New Roman" w:hAnsi="Times New Roman" w:cs="Times New Roman"/>
                <w:sz w:val="24"/>
                <w:szCs w:val="24"/>
                <w:lang w:val="sr-Cyrl-RS" w:eastAsia="en-GB"/>
              </w:rPr>
              <w:t xml:space="preserve"> 64</w:t>
            </w:r>
          </w:p>
        </w:tc>
      </w:tr>
      <w:tr w:rsidR="00EC5D47" w:rsidRPr="00AD60B6" w14:paraId="16E7EF6E" w14:textId="77777777" w:rsidTr="00DE4C26">
        <w:trPr>
          <w:trHeight w:val="330"/>
          <w:jc w:val="center"/>
        </w:trPr>
        <w:tc>
          <w:tcPr>
            <w:tcW w:w="4895" w:type="dxa"/>
            <w:tcBorders>
              <w:top w:val="nil"/>
              <w:left w:val="single" w:sz="8" w:space="0" w:color="000000"/>
              <w:bottom w:val="single" w:sz="8" w:space="0" w:color="000000"/>
              <w:right w:val="single" w:sz="8" w:space="0" w:color="000000"/>
            </w:tcBorders>
            <w:shd w:val="clear" w:color="auto" w:fill="auto"/>
            <w:vAlign w:val="center"/>
            <w:hideMark/>
          </w:tcPr>
          <w:p w14:paraId="036B98D5" w14:textId="77777777" w:rsidR="00EC5D47" w:rsidRPr="00AD60B6" w:rsidRDefault="00EC5D47" w:rsidP="00125B70">
            <w:pPr>
              <w:spacing w:after="0" w:line="240" w:lineRule="auto"/>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Тешке повреде на раду</w:t>
            </w:r>
          </w:p>
        </w:tc>
        <w:tc>
          <w:tcPr>
            <w:tcW w:w="780" w:type="dxa"/>
            <w:tcBorders>
              <w:top w:val="nil"/>
              <w:left w:val="nil"/>
              <w:bottom w:val="single" w:sz="8" w:space="0" w:color="000000"/>
              <w:right w:val="single" w:sz="8" w:space="0" w:color="000000"/>
            </w:tcBorders>
            <w:shd w:val="clear" w:color="auto" w:fill="auto"/>
            <w:vAlign w:val="center"/>
          </w:tcPr>
          <w:p w14:paraId="51D2C64B"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3719</w:t>
            </w:r>
          </w:p>
        </w:tc>
        <w:tc>
          <w:tcPr>
            <w:tcW w:w="816" w:type="dxa"/>
            <w:tcBorders>
              <w:top w:val="nil"/>
              <w:left w:val="nil"/>
              <w:bottom w:val="single" w:sz="8" w:space="0" w:color="000000"/>
              <w:right w:val="single" w:sz="8" w:space="0" w:color="000000"/>
            </w:tcBorders>
            <w:shd w:val="clear" w:color="auto" w:fill="auto"/>
            <w:vAlign w:val="center"/>
          </w:tcPr>
          <w:p w14:paraId="1E0E1DD0"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3930</w:t>
            </w:r>
          </w:p>
        </w:tc>
        <w:tc>
          <w:tcPr>
            <w:tcW w:w="816" w:type="dxa"/>
            <w:tcBorders>
              <w:top w:val="nil"/>
              <w:left w:val="nil"/>
              <w:bottom w:val="single" w:sz="8" w:space="0" w:color="000000"/>
              <w:right w:val="single" w:sz="8" w:space="0" w:color="000000"/>
            </w:tcBorders>
            <w:shd w:val="clear" w:color="auto" w:fill="auto"/>
            <w:vAlign w:val="center"/>
          </w:tcPr>
          <w:p w14:paraId="1E9A83FD"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3115</w:t>
            </w:r>
          </w:p>
        </w:tc>
        <w:tc>
          <w:tcPr>
            <w:tcW w:w="816" w:type="dxa"/>
            <w:tcBorders>
              <w:top w:val="nil"/>
              <w:left w:val="nil"/>
              <w:bottom w:val="single" w:sz="8" w:space="0" w:color="000000"/>
              <w:right w:val="single" w:sz="8" w:space="0" w:color="000000"/>
            </w:tcBorders>
            <w:shd w:val="clear" w:color="auto" w:fill="auto"/>
            <w:vAlign w:val="center"/>
          </w:tcPr>
          <w:p w14:paraId="28C64911"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3455</w:t>
            </w:r>
          </w:p>
        </w:tc>
        <w:tc>
          <w:tcPr>
            <w:tcW w:w="957" w:type="dxa"/>
            <w:tcBorders>
              <w:top w:val="nil"/>
              <w:left w:val="nil"/>
              <w:bottom w:val="single" w:sz="8" w:space="0" w:color="000000"/>
              <w:right w:val="single" w:sz="8" w:space="0" w:color="000000"/>
            </w:tcBorders>
            <w:shd w:val="clear" w:color="auto" w:fill="auto"/>
            <w:vAlign w:val="center"/>
            <w:hideMark/>
          </w:tcPr>
          <w:p w14:paraId="59EDE7F1"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3472</w:t>
            </w:r>
          </w:p>
        </w:tc>
      </w:tr>
      <w:tr w:rsidR="00EC5D47" w:rsidRPr="00AD60B6" w14:paraId="72C36DFD" w14:textId="77777777" w:rsidTr="00DE4C26">
        <w:trPr>
          <w:trHeight w:val="330"/>
          <w:jc w:val="center"/>
        </w:trPr>
        <w:tc>
          <w:tcPr>
            <w:tcW w:w="4895" w:type="dxa"/>
            <w:tcBorders>
              <w:top w:val="nil"/>
              <w:left w:val="single" w:sz="8" w:space="0" w:color="000000"/>
              <w:bottom w:val="single" w:sz="8" w:space="0" w:color="000000"/>
              <w:right w:val="single" w:sz="8" w:space="0" w:color="000000"/>
            </w:tcBorders>
            <w:shd w:val="clear" w:color="auto" w:fill="auto"/>
            <w:vAlign w:val="center"/>
            <w:hideMark/>
          </w:tcPr>
          <w:p w14:paraId="5AD9117F" w14:textId="77777777" w:rsidR="00EC5D47" w:rsidRPr="00AD60B6" w:rsidRDefault="00EC5D47" w:rsidP="00125B70">
            <w:pPr>
              <w:spacing w:after="0" w:line="240" w:lineRule="auto"/>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Лаке повреде</w:t>
            </w:r>
          </w:p>
        </w:tc>
        <w:tc>
          <w:tcPr>
            <w:tcW w:w="780" w:type="dxa"/>
            <w:tcBorders>
              <w:top w:val="nil"/>
              <w:left w:val="nil"/>
              <w:bottom w:val="single" w:sz="8" w:space="0" w:color="000000"/>
              <w:right w:val="single" w:sz="8" w:space="0" w:color="000000"/>
            </w:tcBorders>
            <w:shd w:val="clear" w:color="auto" w:fill="auto"/>
            <w:vAlign w:val="center"/>
          </w:tcPr>
          <w:p w14:paraId="54811A5D"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p>
        </w:tc>
        <w:tc>
          <w:tcPr>
            <w:tcW w:w="816" w:type="dxa"/>
            <w:tcBorders>
              <w:top w:val="nil"/>
              <w:left w:val="nil"/>
              <w:bottom w:val="single" w:sz="8" w:space="0" w:color="000000"/>
              <w:right w:val="single" w:sz="8" w:space="0" w:color="000000"/>
            </w:tcBorders>
            <w:shd w:val="clear" w:color="auto" w:fill="auto"/>
            <w:vAlign w:val="center"/>
          </w:tcPr>
          <w:p w14:paraId="77DD4AD5"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19028</w:t>
            </w:r>
          </w:p>
        </w:tc>
        <w:tc>
          <w:tcPr>
            <w:tcW w:w="816" w:type="dxa"/>
            <w:tcBorders>
              <w:top w:val="nil"/>
              <w:left w:val="nil"/>
              <w:bottom w:val="single" w:sz="8" w:space="0" w:color="000000"/>
              <w:right w:val="single" w:sz="8" w:space="0" w:color="000000"/>
            </w:tcBorders>
            <w:shd w:val="clear" w:color="auto" w:fill="auto"/>
            <w:vAlign w:val="center"/>
          </w:tcPr>
          <w:p w14:paraId="7F8CC08A"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15945</w:t>
            </w:r>
          </w:p>
        </w:tc>
        <w:tc>
          <w:tcPr>
            <w:tcW w:w="816" w:type="dxa"/>
            <w:tcBorders>
              <w:top w:val="nil"/>
              <w:left w:val="nil"/>
              <w:bottom w:val="single" w:sz="8" w:space="0" w:color="000000"/>
              <w:right w:val="single" w:sz="8" w:space="0" w:color="000000"/>
            </w:tcBorders>
            <w:shd w:val="clear" w:color="auto" w:fill="auto"/>
            <w:vAlign w:val="center"/>
          </w:tcPr>
          <w:p w14:paraId="55C37561"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17558</w:t>
            </w:r>
          </w:p>
        </w:tc>
        <w:tc>
          <w:tcPr>
            <w:tcW w:w="957" w:type="dxa"/>
            <w:tcBorders>
              <w:top w:val="nil"/>
              <w:left w:val="nil"/>
              <w:bottom w:val="single" w:sz="8" w:space="0" w:color="000000"/>
              <w:right w:val="single" w:sz="8" w:space="0" w:color="000000"/>
            </w:tcBorders>
            <w:shd w:val="clear" w:color="auto" w:fill="auto"/>
            <w:vAlign w:val="center"/>
            <w:hideMark/>
          </w:tcPr>
          <w:p w14:paraId="467ADED5" w14:textId="6F39621B" w:rsidR="00EC5D47" w:rsidRPr="00AD60B6" w:rsidRDefault="00511C57" w:rsidP="00125B70">
            <w:pPr>
              <w:spacing w:after="0" w:line="240" w:lineRule="auto"/>
              <w:rPr>
                <w:rFonts w:ascii="Times New Roman" w:hAnsi="Times New Roman" w:cs="Times New Roman"/>
                <w:color w:val="000000"/>
                <w:sz w:val="24"/>
                <w:szCs w:val="24"/>
                <w:lang w:val="sr-Cyrl-RS" w:eastAsia="en-GB"/>
              </w:rPr>
            </w:pPr>
            <w:r>
              <w:rPr>
                <w:rFonts w:ascii="Times New Roman" w:hAnsi="Times New Roman" w:cs="Times New Roman"/>
                <w:color w:val="000000"/>
                <w:sz w:val="24"/>
                <w:szCs w:val="24"/>
                <w:lang w:val="sr-Latn-RS" w:eastAsia="en-GB"/>
              </w:rPr>
              <w:t xml:space="preserve">  </w:t>
            </w:r>
            <w:r w:rsidR="00EC5D47" w:rsidRPr="00AD60B6">
              <w:rPr>
                <w:rFonts w:ascii="Times New Roman" w:hAnsi="Times New Roman" w:cs="Times New Roman"/>
                <w:color w:val="000000"/>
                <w:sz w:val="24"/>
                <w:szCs w:val="24"/>
                <w:lang w:val="sr-Cyrl-RS" w:eastAsia="en-GB"/>
              </w:rPr>
              <w:t>18328</w:t>
            </w:r>
          </w:p>
        </w:tc>
      </w:tr>
      <w:tr w:rsidR="00EC5D47" w:rsidRPr="00AD60B6" w14:paraId="47B88210" w14:textId="77777777" w:rsidTr="00DE4C26">
        <w:trPr>
          <w:trHeight w:val="330"/>
          <w:jc w:val="center"/>
        </w:trPr>
        <w:tc>
          <w:tcPr>
            <w:tcW w:w="4895" w:type="dxa"/>
            <w:tcBorders>
              <w:top w:val="nil"/>
              <w:left w:val="single" w:sz="8" w:space="0" w:color="000000"/>
              <w:bottom w:val="single" w:sz="8" w:space="0" w:color="000000"/>
              <w:right w:val="single" w:sz="8" w:space="0" w:color="000000"/>
            </w:tcBorders>
            <w:shd w:val="clear" w:color="auto" w:fill="FFC000"/>
            <w:vAlign w:val="center"/>
            <w:hideMark/>
          </w:tcPr>
          <w:p w14:paraId="4E5F703B" w14:textId="77777777" w:rsidR="00EC5D47" w:rsidRPr="00AD60B6" w:rsidRDefault="00EC5D47" w:rsidP="00125B70">
            <w:pPr>
              <w:spacing w:after="0" w:line="240" w:lineRule="auto"/>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Укупно:</w:t>
            </w:r>
          </w:p>
        </w:tc>
        <w:tc>
          <w:tcPr>
            <w:tcW w:w="780" w:type="dxa"/>
            <w:tcBorders>
              <w:top w:val="nil"/>
              <w:left w:val="nil"/>
              <w:bottom w:val="single" w:sz="8" w:space="0" w:color="000000"/>
              <w:right w:val="single" w:sz="8" w:space="0" w:color="000000"/>
            </w:tcBorders>
            <w:shd w:val="clear" w:color="auto" w:fill="FFC000"/>
            <w:vAlign w:val="center"/>
          </w:tcPr>
          <w:p w14:paraId="3E6161DF" w14:textId="77777777" w:rsidR="00EC5D47" w:rsidRPr="00AD60B6" w:rsidRDefault="00EC5D47" w:rsidP="00125B70">
            <w:pPr>
              <w:spacing w:after="0" w:line="240" w:lineRule="auto"/>
              <w:jc w:val="right"/>
              <w:rPr>
                <w:rFonts w:ascii="Times New Roman" w:hAnsi="Times New Roman" w:cs="Times New Roman"/>
                <w:b/>
                <w:bCs/>
                <w:color w:val="000000"/>
                <w:sz w:val="24"/>
                <w:szCs w:val="24"/>
                <w:lang w:val="en-GB" w:eastAsia="en-GB"/>
              </w:rPr>
            </w:pPr>
            <w:r w:rsidRPr="00AD60B6">
              <w:rPr>
                <w:rFonts w:ascii="Times New Roman" w:hAnsi="Times New Roman" w:cs="Times New Roman"/>
                <w:b/>
                <w:bCs/>
                <w:color w:val="000000"/>
                <w:sz w:val="24"/>
                <w:szCs w:val="24"/>
                <w:lang w:val="en-GB" w:eastAsia="en-GB"/>
              </w:rPr>
              <w:t>3759</w:t>
            </w:r>
          </w:p>
        </w:tc>
        <w:tc>
          <w:tcPr>
            <w:tcW w:w="816" w:type="dxa"/>
            <w:tcBorders>
              <w:top w:val="nil"/>
              <w:left w:val="nil"/>
              <w:bottom w:val="single" w:sz="8" w:space="0" w:color="000000"/>
              <w:right w:val="single" w:sz="8" w:space="0" w:color="000000"/>
            </w:tcBorders>
            <w:shd w:val="clear" w:color="auto" w:fill="FFC000"/>
            <w:vAlign w:val="center"/>
          </w:tcPr>
          <w:p w14:paraId="38F48B11" w14:textId="77777777" w:rsidR="00EC5D47" w:rsidRPr="00AD60B6" w:rsidRDefault="00EC5D47" w:rsidP="00125B70">
            <w:pPr>
              <w:spacing w:after="0" w:line="240" w:lineRule="auto"/>
              <w:jc w:val="right"/>
              <w:rPr>
                <w:rFonts w:ascii="Times New Roman" w:hAnsi="Times New Roman" w:cs="Times New Roman"/>
                <w:b/>
                <w:bCs/>
                <w:color w:val="000000"/>
                <w:sz w:val="24"/>
                <w:szCs w:val="24"/>
                <w:lang w:val="en-GB" w:eastAsia="en-GB"/>
              </w:rPr>
            </w:pPr>
            <w:r w:rsidRPr="00AD60B6">
              <w:rPr>
                <w:rFonts w:ascii="Times New Roman" w:hAnsi="Times New Roman" w:cs="Times New Roman"/>
                <w:b/>
                <w:bCs/>
                <w:color w:val="000000"/>
                <w:sz w:val="24"/>
                <w:szCs w:val="24"/>
                <w:lang w:val="en-GB" w:eastAsia="en-GB"/>
              </w:rPr>
              <w:t>22994</w:t>
            </w:r>
          </w:p>
        </w:tc>
        <w:tc>
          <w:tcPr>
            <w:tcW w:w="816" w:type="dxa"/>
            <w:tcBorders>
              <w:top w:val="nil"/>
              <w:left w:val="nil"/>
              <w:bottom w:val="single" w:sz="8" w:space="0" w:color="000000"/>
              <w:right w:val="single" w:sz="8" w:space="0" w:color="000000"/>
            </w:tcBorders>
            <w:shd w:val="clear" w:color="auto" w:fill="FFC000"/>
            <w:vAlign w:val="center"/>
          </w:tcPr>
          <w:p w14:paraId="1887E9F6" w14:textId="77777777" w:rsidR="00EC5D47" w:rsidRPr="00AD60B6" w:rsidRDefault="00EC5D47" w:rsidP="00125B70">
            <w:pPr>
              <w:spacing w:after="0" w:line="240" w:lineRule="auto"/>
              <w:jc w:val="right"/>
              <w:rPr>
                <w:rFonts w:ascii="Times New Roman" w:hAnsi="Times New Roman" w:cs="Times New Roman"/>
                <w:b/>
                <w:bCs/>
                <w:color w:val="000000"/>
                <w:sz w:val="24"/>
                <w:szCs w:val="24"/>
                <w:lang w:val="en-GB" w:eastAsia="en-GB"/>
              </w:rPr>
            </w:pPr>
            <w:r w:rsidRPr="00AD60B6">
              <w:rPr>
                <w:rFonts w:ascii="Times New Roman" w:hAnsi="Times New Roman" w:cs="Times New Roman"/>
                <w:b/>
                <w:bCs/>
                <w:color w:val="000000"/>
                <w:sz w:val="24"/>
                <w:szCs w:val="24"/>
                <w:lang w:val="en-GB" w:eastAsia="en-GB"/>
              </w:rPr>
              <w:t>19094</w:t>
            </w:r>
          </w:p>
        </w:tc>
        <w:tc>
          <w:tcPr>
            <w:tcW w:w="816" w:type="dxa"/>
            <w:tcBorders>
              <w:top w:val="nil"/>
              <w:left w:val="nil"/>
              <w:bottom w:val="single" w:sz="8" w:space="0" w:color="000000"/>
              <w:right w:val="single" w:sz="8" w:space="0" w:color="000000"/>
            </w:tcBorders>
            <w:shd w:val="clear" w:color="auto" w:fill="FFC000"/>
            <w:vAlign w:val="center"/>
          </w:tcPr>
          <w:p w14:paraId="31275397" w14:textId="77777777" w:rsidR="00EC5D47" w:rsidRPr="00AD60B6" w:rsidRDefault="00EC5D47" w:rsidP="00125B70">
            <w:pPr>
              <w:spacing w:after="0" w:line="240" w:lineRule="auto"/>
              <w:jc w:val="right"/>
              <w:rPr>
                <w:rFonts w:ascii="Times New Roman" w:hAnsi="Times New Roman" w:cs="Times New Roman"/>
                <w:b/>
                <w:bCs/>
                <w:color w:val="000000"/>
                <w:sz w:val="24"/>
                <w:szCs w:val="24"/>
                <w:lang w:val="en-GB" w:eastAsia="en-GB"/>
              </w:rPr>
            </w:pPr>
            <w:r w:rsidRPr="00AD60B6">
              <w:rPr>
                <w:rFonts w:ascii="Times New Roman" w:hAnsi="Times New Roman" w:cs="Times New Roman"/>
                <w:b/>
                <w:bCs/>
                <w:color w:val="000000"/>
                <w:sz w:val="24"/>
                <w:szCs w:val="24"/>
                <w:lang w:val="en-GB" w:eastAsia="en-GB"/>
              </w:rPr>
              <w:t>21058</w:t>
            </w:r>
          </w:p>
        </w:tc>
        <w:tc>
          <w:tcPr>
            <w:tcW w:w="957" w:type="dxa"/>
            <w:tcBorders>
              <w:top w:val="nil"/>
              <w:left w:val="nil"/>
              <w:bottom w:val="single" w:sz="8" w:space="0" w:color="000000"/>
              <w:right w:val="single" w:sz="8" w:space="0" w:color="000000"/>
            </w:tcBorders>
            <w:shd w:val="clear" w:color="auto" w:fill="FFC000"/>
            <w:vAlign w:val="center"/>
            <w:hideMark/>
          </w:tcPr>
          <w:p w14:paraId="4CBE9DCC" w14:textId="77777777" w:rsidR="00EC5D47" w:rsidRPr="00AD60B6" w:rsidRDefault="00EC5D47" w:rsidP="00125B70">
            <w:pPr>
              <w:spacing w:after="0" w:line="240" w:lineRule="auto"/>
              <w:jc w:val="right"/>
              <w:rPr>
                <w:rFonts w:ascii="Times New Roman" w:hAnsi="Times New Roman" w:cs="Times New Roman"/>
                <w:b/>
                <w:bCs/>
                <w:color w:val="000000"/>
                <w:sz w:val="24"/>
                <w:szCs w:val="24"/>
                <w:lang w:val="en-GB" w:eastAsia="en-GB"/>
              </w:rPr>
            </w:pPr>
            <w:r w:rsidRPr="00AD60B6">
              <w:rPr>
                <w:rFonts w:ascii="Times New Roman" w:hAnsi="Times New Roman" w:cs="Times New Roman"/>
                <w:b/>
                <w:bCs/>
                <w:color w:val="000000"/>
                <w:sz w:val="24"/>
                <w:szCs w:val="24"/>
                <w:lang w:val="en-GB" w:eastAsia="en-GB"/>
              </w:rPr>
              <w:t>21864</w:t>
            </w:r>
          </w:p>
        </w:tc>
      </w:tr>
    </w:tbl>
    <w:p w14:paraId="6246D669" w14:textId="6C695C1B" w:rsidR="00981883" w:rsidRPr="005F662F" w:rsidRDefault="00EC5D47" w:rsidP="00DE4C26">
      <w:pPr>
        <w:spacing w:after="150"/>
        <w:rPr>
          <w:rFonts w:ascii="Times New Roman" w:hAnsi="Times New Roman" w:cs="Times New Roman"/>
          <w:i/>
          <w:color w:val="000000"/>
          <w:sz w:val="24"/>
          <w:szCs w:val="24"/>
          <w:lang w:val="sr-Cyrl-RS"/>
        </w:rPr>
      </w:pPr>
      <w:r w:rsidRPr="005F662F">
        <w:rPr>
          <w:rFonts w:ascii="Times New Roman" w:hAnsi="Times New Roman" w:cs="Times New Roman"/>
          <w:i/>
          <w:color w:val="000000"/>
          <w:sz w:val="24"/>
          <w:szCs w:val="24"/>
          <w:lang w:val="sr-Cyrl-RS"/>
        </w:rPr>
        <w:t>Извор: Републички фонд за здравствено осигурање</w:t>
      </w:r>
    </w:p>
    <w:p w14:paraId="366F2989" w14:textId="1FC0503C" w:rsidR="00EC5D47" w:rsidRPr="008C26F1" w:rsidRDefault="00EC5D47" w:rsidP="00866D19">
      <w:pPr>
        <w:ind w:firstLine="720"/>
        <w:jc w:val="both"/>
        <w:rPr>
          <w:rFonts w:ascii="Times New Roman" w:hAnsi="Times New Roman" w:cs="Times New Roman"/>
          <w:b/>
          <w:i/>
          <w:sz w:val="24"/>
          <w:szCs w:val="24"/>
          <w:lang w:val="sr-Cyrl-RS"/>
        </w:rPr>
      </w:pPr>
      <w:r w:rsidRPr="008C26F1">
        <w:rPr>
          <w:rFonts w:ascii="Times New Roman" w:hAnsi="Times New Roman" w:cs="Times New Roman"/>
          <w:b/>
          <w:i/>
          <w:sz w:val="24"/>
          <w:szCs w:val="24"/>
          <w:lang w:val="sr-Cyrl-RS"/>
        </w:rPr>
        <w:t xml:space="preserve">Табела </w:t>
      </w:r>
      <w:r w:rsidR="00231B80">
        <w:rPr>
          <w:rFonts w:ascii="Times New Roman" w:hAnsi="Times New Roman" w:cs="Times New Roman"/>
          <w:b/>
          <w:i/>
          <w:sz w:val="24"/>
          <w:szCs w:val="24"/>
          <w:lang w:val="sr-Latn-RS"/>
        </w:rPr>
        <w:t>4</w:t>
      </w:r>
      <w:r w:rsidR="00866D19" w:rsidRPr="008C26F1">
        <w:rPr>
          <w:rFonts w:ascii="Times New Roman" w:hAnsi="Times New Roman" w:cs="Times New Roman"/>
          <w:b/>
          <w:i/>
          <w:sz w:val="24"/>
          <w:szCs w:val="24"/>
          <w:lang w:val="sr-Latn-RS"/>
        </w:rPr>
        <w:t>:</w:t>
      </w:r>
      <w:r w:rsidRPr="008C26F1">
        <w:rPr>
          <w:rFonts w:ascii="Times New Roman" w:hAnsi="Times New Roman" w:cs="Times New Roman"/>
          <w:b/>
          <w:i/>
          <w:sz w:val="24"/>
          <w:szCs w:val="24"/>
          <w:lang w:val="sr-Cyrl-RS"/>
        </w:rPr>
        <w:t xml:space="preserve"> Број извршних инспекцијских надзора у случају смртне повреде, тешке повреде са смртним исходом, колективних, тешких и лаких повреде</w:t>
      </w:r>
    </w:p>
    <w:tbl>
      <w:tblPr>
        <w:tblW w:w="9080" w:type="dxa"/>
        <w:jc w:val="center"/>
        <w:tblLook w:val="04A0" w:firstRow="1" w:lastRow="0" w:firstColumn="1" w:lastColumn="0" w:noHBand="0" w:noVBand="1"/>
      </w:tblPr>
      <w:tblGrid>
        <w:gridCol w:w="5018"/>
        <w:gridCol w:w="816"/>
        <w:gridCol w:w="783"/>
        <w:gridCol w:w="783"/>
        <w:gridCol w:w="784"/>
        <w:gridCol w:w="896"/>
      </w:tblGrid>
      <w:tr w:rsidR="00EC5D47" w:rsidRPr="00AD60B6" w14:paraId="13917E87" w14:textId="77777777" w:rsidTr="00DE4C26">
        <w:trPr>
          <w:trHeight w:val="330"/>
          <w:jc w:val="center"/>
        </w:trPr>
        <w:tc>
          <w:tcPr>
            <w:tcW w:w="5018"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14:paraId="61992FD4" w14:textId="77777777" w:rsidR="00EC5D47" w:rsidRPr="00AD60B6" w:rsidRDefault="00EC5D47" w:rsidP="00125B70">
            <w:pPr>
              <w:spacing w:after="0" w:line="240" w:lineRule="auto"/>
              <w:rPr>
                <w:rFonts w:ascii="Times New Roman" w:hAnsi="Times New Roman" w:cs="Times New Roman"/>
                <w:b/>
                <w:bCs/>
                <w:color w:val="000000"/>
                <w:sz w:val="24"/>
                <w:szCs w:val="24"/>
                <w:lang w:val="sr-Cyrl-RS" w:eastAsia="en-GB"/>
              </w:rPr>
            </w:pPr>
            <w:r w:rsidRPr="00AD60B6">
              <w:rPr>
                <w:rFonts w:ascii="Times New Roman" w:hAnsi="Times New Roman" w:cs="Times New Roman"/>
                <w:b/>
                <w:bCs/>
                <w:sz w:val="24"/>
                <w:szCs w:val="24"/>
                <w:lang w:val="sr-Cyrl-RS" w:eastAsia="en-GB"/>
              </w:rPr>
              <w:t>Тежина повреде</w:t>
            </w:r>
          </w:p>
        </w:tc>
        <w:tc>
          <w:tcPr>
            <w:tcW w:w="816" w:type="dxa"/>
            <w:tcBorders>
              <w:top w:val="single" w:sz="8" w:space="0" w:color="000000"/>
              <w:left w:val="nil"/>
              <w:bottom w:val="single" w:sz="8" w:space="0" w:color="000000"/>
              <w:right w:val="single" w:sz="8" w:space="0" w:color="000000"/>
            </w:tcBorders>
            <w:shd w:val="clear" w:color="auto" w:fill="FFC000"/>
            <w:vAlign w:val="center"/>
            <w:hideMark/>
          </w:tcPr>
          <w:p w14:paraId="4CCCC7A9" w14:textId="77777777" w:rsidR="00EC5D47" w:rsidRPr="00AD60B6" w:rsidRDefault="00EC5D47" w:rsidP="00125B70">
            <w:pPr>
              <w:spacing w:after="0" w:line="240" w:lineRule="auto"/>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2018*</w:t>
            </w:r>
          </w:p>
        </w:tc>
        <w:tc>
          <w:tcPr>
            <w:tcW w:w="783" w:type="dxa"/>
            <w:tcBorders>
              <w:top w:val="single" w:sz="8" w:space="0" w:color="000000"/>
              <w:left w:val="nil"/>
              <w:bottom w:val="single" w:sz="8" w:space="0" w:color="000000"/>
              <w:right w:val="single" w:sz="8" w:space="0" w:color="000000"/>
            </w:tcBorders>
            <w:shd w:val="clear" w:color="auto" w:fill="FFC000"/>
            <w:vAlign w:val="center"/>
            <w:hideMark/>
          </w:tcPr>
          <w:p w14:paraId="67146A98" w14:textId="77777777" w:rsidR="00EC5D47" w:rsidRPr="00AD60B6" w:rsidRDefault="00EC5D47" w:rsidP="00125B70">
            <w:pPr>
              <w:spacing w:after="0" w:line="240" w:lineRule="auto"/>
              <w:jc w:val="center"/>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2019</w:t>
            </w:r>
          </w:p>
        </w:tc>
        <w:tc>
          <w:tcPr>
            <w:tcW w:w="783" w:type="dxa"/>
            <w:tcBorders>
              <w:top w:val="single" w:sz="8" w:space="0" w:color="000000"/>
              <w:left w:val="nil"/>
              <w:bottom w:val="single" w:sz="8" w:space="0" w:color="000000"/>
              <w:right w:val="single" w:sz="8" w:space="0" w:color="000000"/>
            </w:tcBorders>
            <w:shd w:val="clear" w:color="auto" w:fill="FFC000"/>
            <w:vAlign w:val="center"/>
            <w:hideMark/>
          </w:tcPr>
          <w:p w14:paraId="154A3F02" w14:textId="77777777" w:rsidR="00EC5D47" w:rsidRPr="00AD60B6" w:rsidRDefault="00EC5D47" w:rsidP="00125B70">
            <w:pPr>
              <w:spacing w:after="0" w:line="240" w:lineRule="auto"/>
              <w:jc w:val="center"/>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2020</w:t>
            </w:r>
          </w:p>
        </w:tc>
        <w:tc>
          <w:tcPr>
            <w:tcW w:w="784" w:type="dxa"/>
            <w:tcBorders>
              <w:top w:val="single" w:sz="8" w:space="0" w:color="000000"/>
              <w:left w:val="nil"/>
              <w:bottom w:val="single" w:sz="8" w:space="0" w:color="000000"/>
              <w:right w:val="single" w:sz="8" w:space="0" w:color="000000"/>
            </w:tcBorders>
            <w:shd w:val="clear" w:color="auto" w:fill="FFC000"/>
            <w:vAlign w:val="center"/>
            <w:hideMark/>
          </w:tcPr>
          <w:p w14:paraId="5C5FF7E2" w14:textId="77777777" w:rsidR="00EC5D47" w:rsidRPr="00AD60B6" w:rsidRDefault="00EC5D47" w:rsidP="00125B70">
            <w:pPr>
              <w:spacing w:after="0" w:line="240" w:lineRule="auto"/>
              <w:jc w:val="center"/>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2021</w:t>
            </w:r>
          </w:p>
        </w:tc>
        <w:tc>
          <w:tcPr>
            <w:tcW w:w="896" w:type="dxa"/>
            <w:tcBorders>
              <w:top w:val="single" w:sz="8" w:space="0" w:color="000000"/>
              <w:left w:val="nil"/>
              <w:bottom w:val="single" w:sz="8" w:space="0" w:color="000000"/>
              <w:right w:val="single" w:sz="8" w:space="0" w:color="000000"/>
            </w:tcBorders>
            <w:shd w:val="clear" w:color="auto" w:fill="FFC000"/>
            <w:vAlign w:val="center"/>
            <w:hideMark/>
          </w:tcPr>
          <w:p w14:paraId="68B56FDE" w14:textId="77777777" w:rsidR="00EC5D47" w:rsidRPr="00AD60B6" w:rsidRDefault="00EC5D47" w:rsidP="00125B70">
            <w:pPr>
              <w:spacing w:after="0" w:line="240" w:lineRule="auto"/>
              <w:jc w:val="center"/>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2022</w:t>
            </w:r>
          </w:p>
        </w:tc>
      </w:tr>
      <w:tr w:rsidR="00EC5D47" w:rsidRPr="00AD60B6" w14:paraId="0D52022C" w14:textId="77777777" w:rsidTr="00DE4C26">
        <w:trPr>
          <w:trHeight w:val="330"/>
          <w:jc w:val="center"/>
        </w:trPr>
        <w:tc>
          <w:tcPr>
            <w:tcW w:w="5018" w:type="dxa"/>
            <w:tcBorders>
              <w:top w:val="nil"/>
              <w:left w:val="single" w:sz="8" w:space="0" w:color="000000"/>
              <w:bottom w:val="single" w:sz="8" w:space="0" w:color="000000"/>
              <w:right w:val="single" w:sz="8" w:space="0" w:color="000000"/>
            </w:tcBorders>
            <w:shd w:val="clear" w:color="auto" w:fill="auto"/>
            <w:vAlign w:val="center"/>
            <w:hideMark/>
          </w:tcPr>
          <w:p w14:paraId="4FAFC394" w14:textId="77777777" w:rsidR="00EC5D47" w:rsidRPr="00AD60B6" w:rsidRDefault="00EC5D47" w:rsidP="00125B70">
            <w:pPr>
              <w:spacing w:after="0" w:line="240" w:lineRule="auto"/>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Смртне повреде на раду</w:t>
            </w:r>
          </w:p>
        </w:tc>
        <w:tc>
          <w:tcPr>
            <w:tcW w:w="816" w:type="dxa"/>
            <w:tcBorders>
              <w:top w:val="nil"/>
              <w:left w:val="nil"/>
              <w:bottom w:val="single" w:sz="8" w:space="0" w:color="000000"/>
              <w:right w:val="single" w:sz="8" w:space="0" w:color="000000"/>
            </w:tcBorders>
            <w:shd w:val="clear" w:color="auto" w:fill="auto"/>
            <w:vAlign w:val="center"/>
          </w:tcPr>
          <w:p w14:paraId="24EEE9FF"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24</w:t>
            </w:r>
          </w:p>
        </w:tc>
        <w:tc>
          <w:tcPr>
            <w:tcW w:w="783" w:type="dxa"/>
            <w:tcBorders>
              <w:top w:val="nil"/>
              <w:left w:val="nil"/>
              <w:bottom w:val="single" w:sz="8" w:space="0" w:color="000000"/>
              <w:right w:val="single" w:sz="8" w:space="0" w:color="000000"/>
            </w:tcBorders>
            <w:shd w:val="clear" w:color="auto" w:fill="auto"/>
            <w:vAlign w:val="center"/>
          </w:tcPr>
          <w:p w14:paraId="7C939E52"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33</w:t>
            </w:r>
          </w:p>
        </w:tc>
        <w:tc>
          <w:tcPr>
            <w:tcW w:w="783" w:type="dxa"/>
            <w:tcBorders>
              <w:top w:val="nil"/>
              <w:left w:val="nil"/>
              <w:bottom w:val="single" w:sz="8" w:space="0" w:color="000000"/>
              <w:right w:val="single" w:sz="8" w:space="0" w:color="000000"/>
            </w:tcBorders>
            <w:shd w:val="clear" w:color="auto" w:fill="auto"/>
            <w:vAlign w:val="center"/>
          </w:tcPr>
          <w:p w14:paraId="462DA2F4"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31</w:t>
            </w:r>
          </w:p>
        </w:tc>
        <w:tc>
          <w:tcPr>
            <w:tcW w:w="784" w:type="dxa"/>
            <w:tcBorders>
              <w:top w:val="nil"/>
              <w:left w:val="nil"/>
              <w:bottom w:val="single" w:sz="8" w:space="0" w:color="000000"/>
              <w:right w:val="single" w:sz="8" w:space="0" w:color="000000"/>
            </w:tcBorders>
            <w:shd w:val="clear" w:color="auto" w:fill="auto"/>
            <w:vAlign w:val="center"/>
          </w:tcPr>
          <w:p w14:paraId="5FD14B85"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44</w:t>
            </w:r>
          </w:p>
        </w:tc>
        <w:tc>
          <w:tcPr>
            <w:tcW w:w="896" w:type="dxa"/>
            <w:tcBorders>
              <w:top w:val="nil"/>
              <w:left w:val="nil"/>
              <w:bottom w:val="single" w:sz="8" w:space="0" w:color="000000"/>
              <w:right w:val="single" w:sz="8" w:space="0" w:color="000000"/>
            </w:tcBorders>
            <w:shd w:val="clear" w:color="auto" w:fill="auto"/>
            <w:vAlign w:val="center"/>
            <w:hideMark/>
          </w:tcPr>
          <w:p w14:paraId="7B4B2832" w14:textId="77777777" w:rsidR="00EC5D47" w:rsidRPr="00AD60B6" w:rsidRDefault="00EC5D47" w:rsidP="00125B70">
            <w:pPr>
              <w:spacing w:after="0" w:line="240" w:lineRule="auto"/>
              <w:jc w:val="right"/>
              <w:rPr>
                <w:rFonts w:ascii="Times New Roman" w:hAnsi="Times New Roman" w:cs="Times New Roman"/>
                <w:color w:val="000000"/>
                <w:sz w:val="24"/>
                <w:szCs w:val="24"/>
                <w:lang w:eastAsia="en-GB"/>
              </w:rPr>
            </w:pPr>
            <w:r w:rsidRPr="00AD60B6">
              <w:rPr>
                <w:rFonts w:ascii="Times New Roman" w:hAnsi="Times New Roman" w:cs="Times New Roman"/>
                <w:color w:val="000000"/>
                <w:sz w:val="24"/>
                <w:szCs w:val="24"/>
                <w:lang w:eastAsia="en-GB"/>
              </w:rPr>
              <w:t>26</w:t>
            </w:r>
          </w:p>
        </w:tc>
      </w:tr>
      <w:tr w:rsidR="00EC5D47" w:rsidRPr="00AD60B6" w14:paraId="0E48A195" w14:textId="77777777" w:rsidTr="00DE4C26">
        <w:trPr>
          <w:trHeight w:val="330"/>
          <w:jc w:val="center"/>
        </w:trPr>
        <w:tc>
          <w:tcPr>
            <w:tcW w:w="5018" w:type="dxa"/>
            <w:tcBorders>
              <w:top w:val="nil"/>
              <w:left w:val="single" w:sz="8" w:space="0" w:color="000000"/>
              <w:bottom w:val="single" w:sz="8" w:space="0" w:color="000000"/>
              <w:right w:val="single" w:sz="8" w:space="0" w:color="000000"/>
            </w:tcBorders>
            <w:shd w:val="clear" w:color="auto" w:fill="auto"/>
            <w:vAlign w:val="center"/>
            <w:hideMark/>
          </w:tcPr>
          <w:p w14:paraId="1E2A1D24" w14:textId="77777777" w:rsidR="00EC5D47" w:rsidRPr="00AD60B6" w:rsidRDefault="00EC5D47" w:rsidP="00125B70">
            <w:pPr>
              <w:spacing w:after="0" w:line="240" w:lineRule="auto"/>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 xml:space="preserve">Тешке повреде са смртним исходом </w:t>
            </w:r>
          </w:p>
        </w:tc>
        <w:tc>
          <w:tcPr>
            <w:tcW w:w="816" w:type="dxa"/>
            <w:tcBorders>
              <w:top w:val="nil"/>
              <w:left w:val="nil"/>
              <w:bottom w:val="single" w:sz="8" w:space="0" w:color="000000"/>
              <w:right w:val="single" w:sz="8" w:space="0" w:color="000000"/>
            </w:tcBorders>
            <w:shd w:val="clear" w:color="auto" w:fill="auto"/>
            <w:vAlign w:val="center"/>
          </w:tcPr>
          <w:p w14:paraId="50ACA8AC"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29</w:t>
            </w:r>
          </w:p>
        </w:tc>
        <w:tc>
          <w:tcPr>
            <w:tcW w:w="783" w:type="dxa"/>
            <w:tcBorders>
              <w:top w:val="nil"/>
              <w:left w:val="nil"/>
              <w:bottom w:val="single" w:sz="8" w:space="0" w:color="000000"/>
              <w:right w:val="single" w:sz="8" w:space="0" w:color="000000"/>
            </w:tcBorders>
            <w:shd w:val="clear" w:color="auto" w:fill="auto"/>
            <w:vAlign w:val="center"/>
          </w:tcPr>
          <w:p w14:paraId="0ACFA9FA"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16</w:t>
            </w:r>
          </w:p>
        </w:tc>
        <w:tc>
          <w:tcPr>
            <w:tcW w:w="783" w:type="dxa"/>
            <w:tcBorders>
              <w:top w:val="nil"/>
              <w:left w:val="nil"/>
              <w:bottom w:val="single" w:sz="8" w:space="0" w:color="000000"/>
              <w:right w:val="single" w:sz="8" w:space="0" w:color="000000"/>
            </w:tcBorders>
            <w:shd w:val="clear" w:color="auto" w:fill="auto"/>
            <w:vAlign w:val="center"/>
          </w:tcPr>
          <w:p w14:paraId="5BB886FA"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12</w:t>
            </w:r>
          </w:p>
        </w:tc>
        <w:tc>
          <w:tcPr>
            <w:tcW w:w="784" w:type="dxa"/>
            <w:tcBorders>
              <w:top w:val="nil"/>
              <w:left w:val="nil"/>
              <w:bottom w:val="single" w:sz="8" w:space="0" w:color="000000"/>
              <w:right w:val="single" w:sz="8" w:space="0" w:color="000000"/>
            </w:tcBorders>
            <w:shd w:val="clear" w:color="auto" w:fill="auto"/>
            <w:vAlign w:val="center"/>
          </w:tcPr>
          <w:p w14:paraId="511F16A3"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17</w:t>
            </w:r>
          </w:p>
        </w:tc>
        <w:tc>
          <w:tcPr>
            <w:tcW w:w="896" w:type="dxa"/>
            <w:tcBorders>
              <w:top w:val="nil"/>
              <w:left w:val="nil"/>
              <w:bottom w:val="single" w:sz="8" w:space="0" w:color="000000"/>
              <w:right w:val="single" w:sz="8" w:space="0" w:color="000000"/>
            </w:tcBorders>
            <w:shd w:val="clear" w:color="auto" w:fill="auto"/>
            <w:vAlign w:val="center"/>
            <w:hideMark/>
          </w:tcPr>
          <w:p w14:paraId="30B441AF" w14:textId="77777777" w:rsidR="00EC5D47" w:rsidRPr="00AD60B6" w:rsidRDefault="00EC5D47" w:rsidP="00125B70">
            <w:pPr>
              <w:spacing w:after="0" w:line="240" w:lineRule="auto"/>
              <w:jc w:val="right"/>
              <w:rPr>
                <w:rFonts w:ascii="Times New Roman" w:hAnsi="Times New Roman" w:cs="Times New Roman"/>
                <w:color w:val="000000"/>
                <w:sz w:val="24"/>
                <w:szCs w:val="24"/>
                <w:lang w:eastAsia="en-GB"/>
              </w:rPr>
            </w:pPr>
            <w:r w:rsidRPr="00AD60B6">
              <w:rPr>
                <w:rFonts w:ascii="Times New Roman" w:hAnsi="Times New Roman" w:cs="Times New Roman"/>
                <w:color w:val="000000"/>
                <w:sz w:val="24"/>
                <w:szCs w:val="24"/>
                <w:lang w:eastAsia="en-GB"/>
              </w:rPr>
              <w:t>21</w:t>
            </w:r>
          </w:p>
        </w:tc>
      </w:tr>
      <w:tr w:rsidR="00EC5D47" w:rsidRPr="00AD60B6" w14:paraId="15379D54" w14:textId="77777777" w:rsidTr="00DE4C26">
        <w:trPr>
          <w:trHeight w:val="330"/>
          <w:jc w:val="center"/>
        </w:trPr>
        <w:tc>
          <w:tcPr>
            <w:tcW w:w="5018" w:type="dxa"/>
            <w:tcBorders>
              <w:top w:val="nil"/>
              <w:left w:val="single" w:sz="8" w:space="0" w:color="000000"/>
              <w:bottom w:val="single" w:sz="8" w:space="0" w:color="000000"/>
              <w:right w:val="single" w:sz="8" w:space="0" w:color="000000"/>
            </w:tcBorders>
            <w:shd w:val="clear" w:color="auto" w:fill="FFF2CC" w:themeFill="accent4" w:themeFillTint="33"/>
            <w:vAlign w:val="center"/>
          </w:tcPr>
          <w:p w14:paraId="136B7DCA" w14:textId="77777777" w:rsidR="00EC5D47" w:rsidRPr="00AD60B6" w:rsidRDefault="00EC5D47" w:rsidP="00125B70">
            <w:pPr>
              <w:spacing w:after="0" w:line="240" w:lineRule="auto"/>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Смртне и тешке повреде са смртним исходом</w:t>
            </w:r>
          </w:p>
        </w:tc>
        <w:tc>
          <w:tcPr>
            <w:tcW w:w="816" w:type="dxa"/>
            <w:tcBorders>
              <w:top w:val="nil"/>
              <w:left w:val="nil"/>
              <w:bottom w:val="single" w:sz="8" w:space="0" w:color="000000"/>
              <w:right w:val="single" w:sz="8" w:space="0" w:color="000000"/>
            </w:tcBorders>
            <w:shd w:val="clear" w:color="auto" w:fill="FFF2CC" w:themeFill="accent4" w:themeFillTint="33"/>
            <w:vAlign w:val="center"/>
          </w:tcPr>
          <w:p w14:paraId="1DC56BC0"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53</w:t>
            </w:r>
          </w:p>
        </w:tc>
        <w:tc>
          <w:tcPr>
            <w:tcW w:w="783" w:type="dxa"/>
            <w:tcBorders>
              <w:top w:val="nil"/>
              <w:left w:val="nil"/>
              <w:bottom w:val="single" w:sz="8" w:space="0" w:color="000000"/>
              <w:right w:val="single" w:sz="8" w:space="0" w:color="000000"/>
            </w:tcBorders>
            <w:shd w:val="clear" w:color="auto" w:fill="FFF2CC" w:themeFill="accent4" w:themeFillTint="33"/>
            <w:vAlign w:val="center"/>
          </w:tcPr>
          <w:p w14:paraId="39C37586"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49</w:t>
            </w:r>
          </w:p>
        </w:tc>
        <w:tc>
          <w:tcPr>
            <w:tcW w:w="783" w:type="dxa"/>
            <w:tcBorders>
              <w:top w:val="nil"/>
              <w:left w:val="nil"/>
              <w:bottom w:val="single" w:sz="8" w:space="0" w:color="000000"/>
              <w:right w:val="single" w:sz="8" w:space="0" w:color="000000"/>
            </w:tcBorders>
            <w:shd w:val="clear" w:color="auto" w:fill="FFF2CC" w:themeFill="accent4" w:themeFillTint="33"/>
            <w:vAlign w:val="center"/>
          </w:tcPr>
          <w:p w14:paraId="1A80682E"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43</w:t>
            </w:r>
          </w:p>
        </w:tc>
        <w:tc>
          <w:tcPr>
            <w:tcW w:w="784" w:type="dxa"/>
            <w:tcBorders>
              <w:top w:val="nil"/>
              <w:left w:val="nil"/>
              <w:bottom w:val="single" w:sz="8" w:space="0" w:color="000000"/>
              <w:right w:val="single" w:sz="8" w:space="0" w:color="000000"/>
            </w:tcBorders>
            <w:shd w:val="clear" w:color="auto" w:fill="FFF2CC" w:themeFill="accent4" w:themeFillTint="33"/>
            <w:vAlign w:val="center"/>
          </w:tcPr>
          <w:p w14:paraId="4B295FA9"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61</w:t>
            </w:r>
          </w:p>
        </w:tc>
        <w:tc>
          <w:tcPr>
            <w:tcW w:w="896" w:type="dxa"/>
            <w:tcBorders>
              <w:top w:val="nil"/>
              <w:left w:val="nil"/>
              <w:bottom w:val="single" w:sz="8" w:space="0" w:color="000000"/>
              <w:right w:val="single" w:sz="8" w:space="0" w:color="000000"/>
            </w:tcBorders>
            <w:shd w:val="clear" w:color="auto" w:fill="FFF2CC" w:themeFill="accent4" w:themeFillTint="33"/>
            <w:vAlign w:val="center"/>
          </w:tcPr>
          <w:p w14:paraId="0D47C405" w14:textId="77777777" w:rsidR="00EC5D47" w:rsidRPr="00AD60B6" w:rsidRDefault="00EC5D47" w:rsidP="00125B70">
            <w:pPr>
              <w:spacing w:after="0" w:line="240" w:lineRule="auto"/>
              <w:jc w:val="right"/>
              <w:rPr>
                <w:rFonts w:ascii="Times New Roman" w:hAnsi="Times New Roman" w:cs="Times New Roman"/>
                <w:color w:val="000000"/>
                <w:sz w:val="24"/>
                <w:szCs w:val="24"/>
                <w:lang w:eastAsia="en-GB"/>
              </w:rPr>
            </w:pPr>
            <w:r w:rsidRPr="00AD60B6">
              <w:rPr>
                <w:rFonts w:ascii="Times New Roman" w:hAnsi="Times New Roman" w:cs="Times New Roman"/>
                <w:color w:val="000000"/>
                <w:sz w:val="24"/>
                <w:szCs w:val="24"/>
                <w:lang w:eastAsia="en-GB"/>
              </w:rPr>
              <w:t>47</w:t>
            </w:r>
          </w:p>
        </w:tc>
      </w:tr>
      <w:tr w:rsidR="00EC5D47" w:rsidRPr="00AD60B6" w14:paraId="4A0BE870" w14:textId="77777777" w:rsidTr="00DE4C26">
        <w:trPr>
          <w:trHeight w:val="330"/>
          <w:jc w:val="center"/>
        </w:trPr>
        <w:tc>
          <w:tcPr>
            <w:tcW w:w="5018" w:type="dxa"/>
            <w:tcBorders>
              <w:top w:val="nil"/>
              <w:left w:val="single" w:sz="8" w:space="0" w:color="000000"/>
              <w:bottom w:val="single" w:sz="8" w:space="0" w:color="000000"/>
              <w:right w:val="single" w:sz="8" w:space="0" w:color="000000"/>
            </w:tcBorders>
            <w:shd w:val="clear" w:color="auto" w:fill="auto"/>
            <w:vAlign w:val="center"/>
          </w:tcPr>
          <w:p w14:paraId="119B6B1F" w14:textId="77777777" w:rsidR="00EC5D47" w:rsidRPr="00AD60B6" w:rsidRDefault="00EC5D47" w:rsidP="00125B70">
            <w:pPr>
              <w:spacing w:after="0" w:line="240" w:lineRule="auto"/>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Колективне</w:t>
            </w:r>
          </w:p>
        </w:tc>
        <w:tc>
          <w:tcPr>
            <w:tcW w:w="816" w:type="dxa"/>
            <w:tcBorders>
              <w:top w:val="nil"/>
              <w:left w:val="nil"/>
              <w:bottom w:val="single" w:sz="8" w:space="0" w:color="000000"/>
              <w:right w:val="single" w:sz="8" w:space="0" w:color="000000"/>
            </w:tcBorders>
            <w:shd w:val="clear" w:color="auto" w:fill="auto"/>
            <w:vAlign w:val="center"/>
          </w:tcPr>
          <w:p w14:paraId="1269424E" w14:textId="77777777" w:rsidR="00EC5D47" w:rsidRPr="00AD60B6" w:rsidRDefault="00EC5D47" w:rsidP="00125B70">
            <w:pPr>
              <w:spacing w:after="0" w:line="240" w:lineRule="auto"/>
              <w:jc w:val="right"/>
              <w:rPr>
                <w:rFonts w:ascii="Times New Roman" w:hAnsi="Times New Roman" w:cs="Times New Roman"/>
                <w:color w:val="000000"/>
                <w:sz w:val="24"/>
                <w:szCs w:val="24"/>
                <w:lang w:eastAsia="en-GB"/>
              </w:rPr>
            </w:pPr>
            <w:r w:rsidRPr="00AD60B6">
              <w:rPr>
                <w:rFonts w:ascii="Times New Roman" w:hAnsi="Times New Roman" w:cs="Times New Roman"/>
                <w:color w:val="000000"/>
                <w:sz w:val="24"/>
                <w:szCs w:val="24"/>
                <w:lang w:eastAsia="en-GB"/>
              </w:rPr>
              <w:t>15</w:t>
            </w:r>
          </w:p>
        </w:tc>
        <w:tc>
          <w:tcPr>
            <w:tcW w:w="783" w:type="dxa"/>
            <w:tcBorders>
              <w:top w:val="nil"/>
              <w:left w:val="nil"/>
              <w:bottom w:val="single" w:sz="8" w:space="0" w:color="000000"/>
              <w:right w:val="single" w:sz="8" w:space="0" w:color="000000"/>
            </w:tcBorders>
            <w:shd w:val="clear" w:color="auto" w:fill="auto"/>
            <w:vAlign w:val="center"/>
          </w:tcPr>
          <w:p w14:paraId="6B216D18" w14:textId="77777777" w:rsidR="00EC5D47" w:rsidRPr="00AD60B6" w:rsidRDefault="00EC5D47" w:rsidP="00125B70">
            <w:pPr>
              <w:spacing w:after="0" w:line="240" w:lineRule="auto"/>
              <w:jc w:val="right"/>
              <w:rPr>
                <w:rFonts w:ascii="Times New Roman" w:hAnsi="Times New Roman" w:cs="Times New Roman"/>
                <w:color w:val="000000"/>
                <w:sz w:val="24"/>
                <w:szCs w:val="24"/>
                <w:lang w:eastAsia="en-GB"/>
              </w:rPr>
            </w:pPr>
            <w:r w:rsidRPr="00AD60B6">
              <w:rPr>
                <w:rFonts w:ascii="Times New Roman" w:hAnsi="Times New Roman" w:cs="Times New Roman"/>
                <w:color w:val="000000"/>
                <w:sz w:val="24"/>
                <w:szCs w:val="24"/>
                <w:lang w:eastAsia="en-GB"/>
              </w:rPr>
              <w:t>23</w:t>
            </w:r>
          </w:p>
        </w:tc>
        <w:tc>
          <w:tcPr>
            <w:tcW w:w="783" w:type="dxa"/>
            <w:tcBorders>
              <w:top w:val="nil"/>
              <w:left w:val="nil"/>
              <w:bottom w:val="single" w:sz="8" w:space="0" w:color="000000"/>
              <w:right w:val="single" w:sz="8" w:space="0" w:color="000000"/>
            </w:tcBorders>
            <w:shd w:val="clear" w:color="auto" w:fill="auto"/>
            <w:vAlign w:val="center"/>
          </w:tcPr>
          <w:p w14:paraId="7C632BD9" w14:textId="77777777" w:rsidR="00EC5D47" w:rsidRPr="00AD60B6" w:rsidRDefault="00EC5D47" w:rsidP="00125B70">
            <w:pPr>
              <w:spacing w:after="0" w:line="240" w:lineRule="auto"/>
              <w:jc w:val="right"/>
              <w:rPr>
                <w:rFonts w:ascii="Times New Roman" w:hAnsi="Times New Roman" w:cs="Times New Roman"/>
                <w:color w:val="000000"/>
                <w:sz w:val="24"/>
                <w:szCs w:val="24"/>
                <w:lang w:eastAsia="en-GB"/>
              </w:rPr>
            </w:pPr>
            <w:r w:rsidRPr="00AD60B6">
              <w:rPr>
                <w:rFonts w:ascii="Times New Roman" w:hAnsi="Times New Roman" w:cs="Times New Roman"/>
                <w:color w:val="000000"/>
                <w:sz w:val="24"/>
                <w:szCs w:val="24"/>
                <w:lang w:eastAsia="en-GB"/>
              </w:rPr>
              <w:t>15</w:t>
            </w:r>
          </w:p>
        </w:tc>
        <w:tc>
          <w:tcPr>
            <w:tcW w:w="784" w:type="dxa"/>
            <w:tcBorders>
              <w:top w:val="nil"/>
              <w:left w:val="nil"/>
              <w:bottom w:val="single" w:sz="8" w:space="0" w:color="000000"/>
              <w:right w:val="single" w:sz="8" w:space="0" w:color="000000"/>
            </w:tcBorders>
            <w:shd w:val="clear" w:color="auto" w:fill="auto"/>
            <w:vAlign w:val="center"/>
          </w:tcPr>
          <w:p w14:paraId="03962709" w14:textId="77777777" w:rsidR="00EC5D47" w:rsidRPr="00AD60B6" w:rsidRDefault="00EC5D47" w:rsidP="00125B70">
            <w:pPr>
              <w:spacing w:after="0" w:line="240" w:lineRule="auto"/>
              <w:jc w:val="right"/>
              <w:rPr>
                <w:rFonts w:ascii="Times New Roman" w:hAnsi="Times New Roman" w:cs="Times New Roman"/>
                <w:color w:val="000000"/>
                <w:sz w:val="24"/>
                <w:szCs w:val="24"/>
                <w:lang w:eastAsia="en-GB"/>
              </w:rPr>
            </w:pPr>
            <w:r w:rsidRPr="00AD60B6">
              <w:rPr>
                <w:rFonts w:ascii="Times New Roman" w:hAnsi="Times New Roman" w:cs="Times New Roman"/>
                <w:color w:val="000000"/>
                <w:sz w:val="24"/>
                <w:szCs w:val="24"/>
                <w:lang w:eastAsia="en-GB"/>
              </w:rPr>
              <w:t>19</w:t>
            </w:r>
          </w:p>
        </w:tc>
        <w:tc>
          <w:tcPr>
            <w:tcW w:w="896" w:type="dxa"/>
            <w:tcBorders>
              <w:top w:val="nil"/>
              <w:left w:val="nil"/>
              <w:bottom w:val="single" w:sz="8" w:space="0" w:color="000000"/>
              <w:right w:val="single" w:sz="8" w:space="0" w:color="000000"/>
            </w:tcBorders>
            <w:shd w:val="clear" w:color="auto" w:fill="auto"/>
            <w:vAlign w:val="center"/>
          </w:tcPr>
          <w:p w14:paraId="326439D8" w14:textId="77777777" w:rsidR="00EC5D47" w:rsidRPr="00AD60B6" w:rsidRDefault="00EC5D47" w:rsidP="00125B70">
            <w:pPr>
              <w:spacing w:after="0" w:line="240" w:lineRule="auto"/>
              <w:jc w:val="right"/>
              <w:rPr>
                <w:rFonts w:ascii="Times New Roman" w:hAnsi="Times New Roman" w:cs="Times New Roman"/>
                <w:color w:val="000000"/>
                <w:sz w:val="24"/>
                <w:szCs w:val="24"/>
                <w:lang w:eastAsia="en-GB"/>
              </w:rPr>
            </w:pPr>
            <w:r w:rsidRPr="00AD60B6">
              <w:rPr>
                <w:rFonts w:ascii="Times New Roman" w:hAnsi="Times New Roman" w:cs="Times New Roman"/>
                <w:color w:val="000000"/>
                <w:sz w:val="24"/>
                <w:szCs w:val="24"/>
                <w:lang w:eastAsia="en-GB"/>
              </w:rPr>
              <w:t>16</w:t>
            </w:r>
          </w:p>
        </w:tc>
      </w:tr>
      <w:tr w:rsidR="00EC5D47" w:rsidRPr="00AD60B6" w14:paraId="5AADFDC1" w14:textId="77777777" w:rsidTr="00DE4C26">
        <w:trPr>
          <w:trHeight w:val="66"/>
          <w:jc w:val="center"/>
        </w:trPr>
        <w:tc>
          <w:tcPr>
            <w:tcW w:w="5018" w:type="dxa"/>
            <w:tcBorders>
              <w:top w:val="nil"/>
              <w:left w:val="single" w:sz="8" w:space="0" w:color="000000"/>
              <w:bottom w:val="single" w:sz="8" w:space="0" w:color="000000"/>
              <w:right w:val="single" w:sz="8" w:space="0" w:color="000000"/>
            </w:tcBorders>
            <w:shd w:val="clear" w:color="auto" w:fill="auto"/>
            <w:vAlign w:val="center"/>
            <w:hideMark/>
          </w:tcPr>
          <w:p w14:paraId="45E0E9C7" w14:textId="77777777" w:rsidR="00EC5D47" w:rsidRPr="00AD60B6" w:rsidRDefault="00EC5D47" w:rsidP="00125B70">
            <w:pPr>
              <w:spacing w:after="0" w:line="240" w:lineRule="auto"/>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Тешке повреде</w:t>
            </w:r>
          </w:p>
        </w:tc>
        <w:tc>
          <w:tcPr>
            <w:tcW w:w="816" w:type="dxa"/>
            <w:tcBorders>
              <w:top w:val="nil"/>
              <w:left w:val="nil"/>
              <w:bottom w:val="single" w:sz="8" w:space="0" w:color="000000"/>
              <w:right w:val="single" w:sz="8" w:space="0" w:color="000000"/>
            </w:tcBorders>
            <w:shd w:val="clear" w:color="auto" w:fill="auto"/>
            <w:vAlign w:val="center"/>
          </w:tcPr>
          <w:p w14:paraId="60755002"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779</w:t>
            </w:r>
          </w:p>
        </w:tc>
        <w:tc>
          <w:tcPr>
            <w:tcW w:w="783" w:type="dxa"/>
            <w:tcBorders>
              <w:top w:val="nil"/>
              <w:left w:val="nil"/>
              <w:bottom w:val="single" w:sz="8" w:space="0" w:color="000000"/>
              <w:right w:val="single" w:sz="8" w:space="0" w:color="000000"/>
            </w:tcBorders>
            <w:shd w:val="clear" w:color="auto" w:fill="auto"/>
            <w:vAlign w:val="center"/>
          </w:tcPr>
          <w:p w14:paraId="0F8B38F7"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819</w:t>
            </w:r>
          </w:p>
        </w:tc>
        <w:tc>
          <w:tcPr>
            <w:tcW w:w="783" w:type="dxa"/>
            <w:tcBorders>
              <w:top w:val="nil"/>
              <w:left w:val="nil"/>
              <w:bottom w:val="single" w:sz="8" w:space="0" w:color="000000"/>
              <w:right w:val="single" w:sz="8" w:space="0" w:color="000000"/>
            </w:tcBorders>
            <w:shd w:val="clear" w:color="auto" w:fill="auto"/>
            <w:vAlign w:val="center"/>
          </w:tcPr>
          <w:p w14:paraId="6B152635"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798</w:t>
            </w:r>
          </w:p>
        </w:tc>
        <w:tc>
          <w:tcPr>
            <w:tcW w:w="784" w:type="dxa"/>
            <w:tcBorders>
              <w:top w:val="nil"/>
              <w:left w:val="nil"/>
              <w:bottom w:val="single" w:sz="8" w:space="0" w:color="000000"/>
              <w:right w:val="single" w:sz="8" w:space="0" w:color="000000"/>
            </w:tcBorders>
            <w:shd w:val="clear" w:color="auto" w:fill="auto"/>
            <w:vAlign w:val="center"/>
          </w:tcPr>
          <w:p w14:paraId="2567AE3A" w14:textId="77777777" w:rsidR="00EC5D47" w:rsidRPr="00AD60B6" w:rsidRDefault="00EC5D47" w:rsidP="00125B70">
            <w:pPr>
              <w:spacing w:after="0" w:line="240" w:lineRule="auto"/>
              <w:jc w:val="right"/>
              <w:rPr>
                <w:rFonts w:ascii="Times New Roman" w:hAnsi="Times New Roman" w:cs="Times New Roman"/>
                <w:color w:val="000000"/>
                <w:sz w:val="24"/>
                <w:szCs w:val="24"/>
                <w:lang w:val="sr-Cyrl-RS" w:eastAsia="en-GB"/>
              </w:rPr>
            </w:pPr>
            <w:r w:rsidRPr="00AD60B6">
              <w:rPr>
                <w:rFonts w:ascii="Times New Roman" w:hAnsi="Times New Roman" w:cs="Times New Roman"/>
                <w:color w:val="000000"/>
                <w:sz w:val="24"/>
                <w:szCs w:val="24"/>
                <w:lang w:val="sr-Cyrl-RS" w:eastAsia="en-GB"/>
              </w:rPr>
              <w:t>957</w:t>
            </w:r>
          </w:p>
        </w:tc>
        <w:tc>
          <w:tcPr>
            <w:tcW w:w="896" w:type="dxa"/>
            <w:tcBorders>
              <w:top w:val="nil"/>
              <w:left w:val="nil"/>
              <w:bottom w:val="single" w:sz="8" w:space="0" w:color="000000"/>
              <w:right w:val="single" w:sz="8" w:space="0" w:color="000000"/>
            </w:tcBorders>
            <w:shd w:val="clear" w:color="auto" w:fill="auto"/>
            <w:vAlign w:val="center"/>
            <w:hideMark/>
          </w:tcPr>
          <w:p w14:paraId="15939B00" w14:textId="77777777" w:rsidR="00EC5D47" w:rsidRPr="00AD60B6" w:rsidRDefault="00EC5D47" w:rsidP="00125B70">
            <w:pPr>
              <w:spacing w:after="0" w:line="240" w:lineRule="auto"/>
              <w:jc w:val="right"/>
              <w:rPr>
                <w:rFonts w:ascii="Times New Roman" w:hAnsi="Times New Roman" w:cs="Times New Roman"/>
                <w:color w:val="000000"/>
                <w:sz w:val="24"/>
                <w:szCs w:val="24"/>
                <w:lang w:eastAsia="en-GB"/>
              </w:rPr>
            </w:pPr>
            <w:r w:rsidRPr="00AD60B6">
              <w:rPr>
                <w:rFonts w:ascii="Times New Roman" w:hAnsi="Times New Roman" w:cs="Times New Roman"/>
                <w:color w:val="000000"/>
                <w:sz w:val="24"/>
                <w:szCs w:val="24"/>
                <w:lang w:eastAsia="en-GB"/>
              </w:rPr>
              <w:t>844</w:t>
            </w:r>
          </w:p>
        </w:tc>
      </w:tr>
      <w:tr w:rsidR="00EC5D47" w:rsidRPr="00AD60B6" w14:paraId="4D45D68F" w14:textId="77777777" w:rsidTr="00DE4C26">
        <w:trPr>
          <w:trHeight w:val="330"/>
          <w:jc w:val="center"/>
        </w:trPr>
        <w:tc>
          <w:tcPr>
            <w:tcW w:w="5018" w:type="dxa"/>
            <w:tcBorders>
              <w:top w:val="nil"/>
              <w:left w:val="single" w:sz="8" w:space="0" w:color="000000"/>
              <w:bottom w:val="single" w:sz="8" w:space="0" w:color="000000"/>
              <w:right w:val="single" w:sz="8" w:space="0" w:color="000000"/>
            </w:tcBorders>
            <w:shd w:val="clear" w:color="auto" w:fill="FFC000"/>
            <w:vAlign w:val="center"/>
            <w:hideMark/>
          </w:tcPr>
          <w:p w14:paraId="5FECBC23" w14:textId="77777777" w:rsidR="00EC5D47" w:rsidRPr="00AD60B6" w:rsidRDefault="00EC5D47" w:rsidP="00125B70">
            <w:pPr>
              <w:spacing w:after="0" w:line="240" w:lineRule="auto"/>
              <w:rPr>
                <w:rFonts w:ascii="Times New Roman" w:hAnsi="Times New Roman" w:cs="Times New Roman"/>
                <w:b/>
                <w:bCs/>
                <w:color w:val="000000"/>
                <w:sz w:val="24"/>
                <w:szCs w:val="24"/>
                <w:lang w:val="sr-Cyrl-RS" w:eastAsia="en-GB"/>
              </w:rPr>
            </w:pPr>
            <w:r w:rsidRPr="00AD60B6">
              <w:rPr>
                <w:rFonts w:ascii="Times New Roman" w:hAnsi="Times New Roman" w:cs="Times New Roman"/>
                <w:b/>
                <w:bCs/>
                <w:color w:val="000000"/>
                <w:sz w:val="24"/>
                <w:szCs w:val="24"/>
                <w:lang w:val="sr-Cyrl-RS" w:eastAsia="en-GB"/>
              </w:rPr>
              <w:t>Укупно:</w:t>
            </w:r>
          </w:p>
        </w:tc>
        <w:tc>
          <w:tcPr>
            <w:tcW w:w="816" w:type="dxa"/>
            <w:tcBorders>
              <w:top w:val="nil"/>
              <w:left w:val="nil"/>
              <w:bottom w:val="single" w:sz="8" w:space="0" w:color="000000"/>
              <w:right w:val="single" w:sz="8" w:space="0" w:color="000000"/>
            </w:tcBorders>
            <w:shd w:val="clear" w:color="auto" w:fill="FFC000"/>
            <w:vAlign w:val="center"/>
          </w:tcPr>
          <w:p w14:paraId="17FA818E" w14:textId="417A0507" w:rsidR="00EC5D47" w:rsidRPr="00AD60B6" w:rsidRDefault="00511C57" w:rsidP="00125B70">
            <w:pPr>
              <w:spacing w:after="0" w:line="24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 xml:space="preserve">    </w:t>
            </w:r>
            <w:r w:rsidR="00EC5D47" w:rsidRPr="00AD60B6">
              <w:rPr>
                <w:rFonts w:ascii="Times New Roman" w:hAnsi="Times New Roman" w:cs="Times New Roman"/>
                <w:b/>
                <w:bCs/>
                <w:color w:val="000000"/>
                <w:sz w:val="24"/>
                <w:szCs w:val="24"/>
                <w:lang w:eastAsia="en-GB"/>
              </w:rPr>
              <w:t>847</w:t>
            </w:r>
          </w:p>
        </w:tc>
        <w:tc>
          <w:tcPr>
            <w:tcW w:w="783" w:type="dxa"/>
            <w:tcBorders>
              <w:top w:val="nil"/>
              <w:left w:val="nil"/>
              <w:bottom w:val="single" w:sz="8" w:space="0" w:color="000000"/>
              <w:right w:val="single" w:sz="8" w:space="0" w:color="000000"/>
            </w:tcBorders>
            <w:shd w:val="clear" w:color="auto" w:fill="FFC000"/>
            <w:vAlign w:val="center"/>
          </w:tcPr>
          <w:p w14:paraId="0048DB36" w14:textId="391F2C92" w:rsidR="00EC5D47" w:rsidRPr="00AD60B6" w:rsidRDefault="00511C57" w:rsidP="00125B70">
            <w:pPr>
              <w:spacing w:after="0" w:line="24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 xml:space="preserve">   </w:t>
            </w:r>
            <w:r w:rsidR="00EC5D47" w:rsidRPr="00AD60B6">
              <w:rPr>
                <w:rFonts w:ascii="Times New Roman" w:hAnsi="Times New Roman" w:cs="Times New Roman"/>
                <w:b/>
                <w:bCs/>
                <w:color w:val="000000"/>
                <w:sz w:val="24"/>
                <w:szCs w:val="24"/>
                <w:lang w:eastAsia="en-GB"/>
              </w:rPr>
              <w:t>891</w:t>
            </w:r>
          </w:p>
        </w:tc>
        <w:tc>
          <w:tcPr>
            <w:tcW w:w="783" w:type="dxa"/>
            <w:tcBorders>
              <w:top w:val="nil"/>
              <w:left w:val="nil"/>
              <w:bottom w:val="single" w:sz="8" w:space="0" w:color="000000"/>
              <w:right w:val="single" w:sz="8" w:space="0" w:color="000000"/>
            </w:tcBorders>
            <w:shd w:val="clear" w:color="auto" w:fill="FFC000"/>
            <w:vAlign w:val="center"/>
          </w:tcPr>
          <w:p w14:paraId="060E6A0E" w14:textId="1E2A9271" w:rsidR="00EC5D47" w:rsidRPr="00AD60B6" w:rsidRDefault="00511C57" w:rsidP="00125B70">
            <w:pPr>
              <w:spacing w:after="0" w:line="24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 xml:space="preserve">   </w:t>
            </w:r>
            <w:r w:rsidR="00EC5D47" w:rsidRPr="00AD60B6">
              <w:rPr>
                <w:rFonts w:ascii="Times New Roman" w:hAnsi="Times New Roman" w:cs="Times New Roman"/>
                <w:b/>
                <w:bCs/>
                <w:color w:val="000000"/>
                <w:sz w:val="24"/>
                <w:szCs w:val="24"/>
                <w:lang w:eastAsia="en-GB"/>
              </w:rPr>
              <w:t>856</w:t>
            </w:r>
          </w:p>
        </w:tc>
        <w:tc>
          <w:tcPr>
            <w:tcW w:w="784" w:type="dxa"/>
            <w:tcBorders>
              <w:top w:val="nil"/>
              <w:left w:val="nil"/>
              <w:bottom w:val="single" w:sz="8" w:space="0" w:color="000000"/>
              <w:right w:val="single" w:sz="8" w:space="0" w:color="000000"/>
            </w:tcBorders>
            <w:shd w:val="clear" w:color="auto" w:fill="FFC000"/>
            <w:vAlign w:val="center"/>
          </w:tcPr>
          <w:p w14:paraId="720760D8" w14:textId="6EE0EFC9" w:rsidR="00EC5D47" w:rsidRPr="00AD60B6" w:rsidRDefault="00511C57" w:rsidP="00125B70">
            <w:pPr>
              <w:spacing w:after="0" w:line="24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 xml:space="preserve"> 1</w:t>
            </w:r>
            <w:r w:rsidR="00EC5D47" w:rsidRPr="00AD60B6">
              <w:rPr>
                <w:rFonts w:ascii="Times New Roman" w:hAnsi="Times New Roman" w:cs="Times New Roman"/>
                <w:b/>
                <w:bCs/>
                <w:color w:val="000000"/>
                <w:sz w:val="24"/>
                <w:szCs w:val="24"/>
                <w:lang w:eastAsia="en-GB"/>
              </w:rPr>
              <w:t>047</w:t>
            </w:r>
          </w:p>
        </w:tc>
        <w:tc>
          <w:tcPr>
            <w:tcW w:w="896" w:type="dxa"/>
            <w:tcBorders>
              <w:top w:val="nil"/>
              <w:left w:val="nil"/>
              <w:bottom w:val="single" w:sz="8" w:space="0" w:color="000000"/>
              <w:right w:val="single" w:sz="8" w:space="0" w:color="000000"/>
            </w:tcBorders>
            <w:shd w:val="clear" w:color="auto" w:fill="FFC000"/>
            <w:vAlign w:val="center"/>
            <w:hideMark/>
          </w:tcPr>
          <w:p w14:paraId="201B2ACE" w14:textId="2A419202" w:rsidR="00EC5D47" w:rsidRPr="00AD60B6" w:rsidRDefault="00511C57" w:rsidP="00125B70">
            <w:pPr>
              <w:spacing w:after="0" w:line="240" w:lineRule="auto"/>
              <w:jc w:val="center"/>
              <w:rPr>
                <w:rFonts w:ascii="Times New Roman" w:hAnsi="Times New Roman" w:cs="Times New Roman"/>
                <w:b/>
                <w:bCs/>
                <w:color w:val="000000"/>
                <w:sz w:val="24"/>
                <w:szCs w:val="24"/>
                <w:lang w:eastAsia="en-GB"/>
              </w:rPr>
            </w:pPr>
            <w:r>
              <w:rPr>
                <w:rFonts w:ascii="Times New Roman" w:hAnsi="Times New Roman" w:cs="Times New Roman"/>
                <w:b/>
                <w:bCs/>
                <w:color w:val="000000"/>
                <w:sz w:val="24"/>
                <w:szCs w:val="24"/>
                <w:lang w:eastAsia="en-GB"/>
              </w:rPr>
              <w:t xml:space="preserve">     </w:t>
            </w:r>
            <w:r w:rsidR="00EC5D47" w:rsidRPr="00AD60B6">
              <w:rPr>
                <w:rFonts w:ascii="Times New Roman" w:hAnsi="Times New Roman" w:cs="Times New Roman"/>
                <w:b/>
                <w:bCs/>
                <w:color w:val="000000"/>
                <w:sz w:val="24"/>
                <w:szCs w:val="24"/>
                <w:lang w:eastAsia="en-GB"/>
              </w:rPr>
              <w:t>907</w:t>
            </w:r>
          </w:p>
        </w:tc>
      </w:tr>
    </w:tbl>
    <w:p w14:paraId="0B450EDC" w14:textId="77777777" w:rsidR="00EC5D47" w:rsidRPr="00AD60B6" w:rsidRDefault="00EC5D47" w:rsidP="00DE4C26">
      <w:pPr>
        <w:spacing w:after="150"/>
        <w:rPr>
          <w:rFonts w:ascii="Times New Roman" w:hAnsi="Times New Roman" w:cs="Times New Roman"/>
          <w:color w:val="000000"/>
          <w:sz w:val="24"/>
          <w:szCs w:val="24"/>
          <w:lang w:val="sr-Cyrl-RS"/>
        </w:rPr>
      </w:pPr>
      <w:r w:rsidRPr="00866D19">
        <w:rPr>
          <w:rFonts w:ascii="Times New Roman" w:hAnsi="Times New Roman" w:cs="Times New Roman"/>
          <w:i/>
          <w:color w:val="000000"/>
          <w:sz w:val="24"/>
          <w:szCs w:val="24"/>
          <w:lang w:val="sr-Cyrl-RS"/>
        </w:rPr>
        <w:lastRenderedPageBreak/>
        <w:t>Извор: Извештај о раду Инспектората за рад</w:t>
      </w:r>
      <w:r w:rsidRPr="00AD60B6">
        <w:rPr>
          <w:rStyle w:val="FootnoteReference"/>
          <w:rFonts w:ascii="Times New Roman" w:hAnsi="Times New Roman" w:cs="Times New Roman"/>
          <w:color w:val="000000"/>
          <w:sz w:val="24"/>
          <w:szCs w:val="24"/>
          <w:lang w:val="sr-Cyrl-RS"/>
        </w:rPr>
        <w:footnoteReference w:id="12"/>
      </w:r>
    </w:p>
    <w:p w14:paraId="7357B867" w14:textId="77777777" w:rsidR="00EC5D47" w:rsidRPr="00AD60B6" w:rsidRDefault="00EC5D47" w:rsidP="00DE4C26">
      <w:pPr>
        <w:spacing w:after="150"/>
        <w:ind w:firstLine="720"/>
        <w:jc w:val="both"/>
        <w:rPr>
          <w:rFonts w:ascii="Times New Roman" w:hAnsi="Times New Roman" w:cs="Times New Roman"/>
          <w:color w:val="000000"/>
          <w:sz w:val="24"/>
          <w:szCs w:val="24"/>
        </w:rPr>
      </w:pPr>
      <w:r w:rsidRPr="00AD60B6">
        <w:rPr>
          <w:rFonts w:ascii="Times New Roman" w:hAnsi="Times New Roman" w:cs="Times New Roman"/>
          <w:color w:val="000000"/>
          <w:sz w:val="24"/>
          <w:szCs w:val="24"/>
          <w:lang w:val="sr-Cyrl-RS"/>
        </w:rPr>
        <w:t xml:space="preserve">Након значајног пада у односу на 2018. годину, током 2019. и 2020. године, дошло је до значајног раста повреда са смртним исходом. У периоду од 2013. до 2017 (период важења претходне стратегије) просечан број таквих повреда износио је 39. У периоду од 2018. до </w:t>
      </w:r>
      <w:r w:rsidRPr="00AD60B6">
        <w:rPr>
          <w:rFonts w:ascii="Times New Roman" w:hAnsi="Times New Roman" w:cs="Times New Roman"/>
          <w:color w:val="000000"/>
          <w:sz w:val="24"/>
          <w:szCs w:val="24"/>
        </w:rPr>
        <w:t>2022</w:t>
      </w:r>
      <w:r w:rsidRPr="00AD60B6">
        <w:rPr>
          <w:rFonts w:ascii="Times New Roman" w:hAnsi="Times New Roman" w:cs="Times New Roman"/>
          <w:color w:val="000000"/>
          <w:sz w:val="24"/>
          <w:szCs w:val="24"/>
          <w:lang w:val="sr-Cyrl-RS"/>
        </w:rPr>
        <w:t xml:space="preserve"> године, просек је износио 5</w:t>
      </w:r>
      <w:r w:rsidRPr="00AD60B6">
        <w:rPr>
          <w:rFonts w:ascii="Times New Roman" w:hAnsi="Times New Roman" w:cs="Times New Roman"/>
          <w:color w:val="000000"/>
          <w:sz w:val="24"/>
          <w:szCs w:val="24"/>
        </w:rPr>
        <w:t>0</w:t>
      </w:r>
      <w:r w:rsidRPr="00AD60B6">
        <w:rPr>
          <w:rFonts w:ascii="Times New Roman" w:hAnsi="Times New Roman" w:cs="Times New Roman"/>
          <w:color w:val="000000"/>
          <w:sz w:val="24"/>
          <w:szCs w:val="24"/>
          <w:lang w:val="sr-Cyrl-RS"/>
        </w:rPr>
        <w:t>.</w:t>
      </w:r>
      <w:r w:rsidRPr="00AD60B6">
        <w:rPr>
          <w:rFonts w:ascii="Times New Roman" w:hAnsi="Times New Roman" w:cs="Times New Roman"/>
          <w:color w:val="000000"/>
          <w:sz w:val="24"/>
          <w:szCs w:val="24"/>
        </w:rPr>
        <w:t>6</w:t>
      </w:r>
      <w:r w:rsidRPr="00AD60B6">
        <w:rPr>
          <w:rFonts w:ascii="Times New Roman" w:hAnsi="Times New Roman" w:cs="Times New Roman"/>
          <w:color w:val="000000"/>
          <w:sz w:val="24"/>
          <w:szCs w:val="24"/>
          <w:lang w:val="sr-Cyrl-RS"/>
        </w:rPr>
        <w:t xml:space="preserve">, што представља повећање од </w:t>
      </w:r>
      <w:r w:rsidRPr="00AD60B6">
        <w:rPr>
          <w:rFonts w:ascii="Times New Roman" w:hAnsi="Times New Roman" w:cs="Times New Roman"/>
          <w:color w:val="000000"/>
          <w:sz w:val="24"/>
          <w:szCs w:val="24"/>
        </w:rPr>
        <w:t>29.7</w:t>
      </w:r>
      <w:r w:rsidRPr="00AD60B6">
        <w:rPr>
          <w:rFonts w:ascii="Times New Roman" w:hAnsi="Times New Roman" w:cs="Times New Roman"/>
          <w:color w:val="000000"/>
          <w:sz w:val="24"/>
          <w:szCs w:val="24"/>
          <w:lang w:val="sr-Cyrl-RS"/>
        </w:rPr>
        <w:t xml:space="preserve">%. Треба имати у виду да је у истом периоду дошло до значајног раста запослености, те да је у односу на апсолутне промене </w:t>
      </w:r>
      <w:r w:rsidRPr="00AD60B6">
        <w:rPr>
          <w:rFonts w:ascii="Times New Roman" w:hAnsi="Times New Roman" w:cs="Times New Roman"/>
          <w:color w:val="000000"/>
          <w:sz w:val="24"/>
          <w:szCs w:val="24"/>
        </w:rPr>
        <w:t xml:space="preserve">тако посматрано </w:t>
      </w:r>
      <w:r w:rsidRPr="00AD60B6">
        <w:rPr>
          <w:rFonts w:ascii="Times New Roman" w:hAnsi="Times New Roman" w:cs="Times New Roman"/>
          <w:color w:val="000000"/>
          <w:sz w:val="24"/>
          <w:szCs w:val="24"/>
          <w:lang w:val="sr-Cyrl-RS"/>
        </w:rPr>
        <w:t>показатељ стопа учесталости</w:t>
      </w:r>
      <w:r w:rsidRPr="00AD60B6">
        <w:rPr>
          <w:rFonts w:ascii="Times New Roman" w:hAnsi="Times New Roman" w:cs="Times New Roman"/>
          <w:color w:val="000000"/>
          <w:sz w:val="24"/>
          <w:szCs w:val="24"/>
        </w:rPr>
        <w:t xml:space="preserve"> повољнији.</w:t>
      </w:r>
    </w:p>
    <w:p w14:paraId="074A4740" w14:textId="746C433F" w:rsidR="00EC5D47" w:rsidRPr="00AD60B6" w:rsidRDefault="00EC5D47" w:rsidP="00DE4C26">
      <w:pPr>
        <w:spacing w:after="150"/>
        <w:ind w:firstLine="720"/>
        <w:jc w:val="both"/>
        <w:rPr>
          <w:rFonts w:ascii="Times New Roman" w:hAnsi="Times New Roman" w:cs="Times New Roman"/>
          <w:color w:val="000000"/>
          <w:sz w:val="24"/>
          <w:szCs w:val="24"/>
        </w:rPr>
      </w:pPr>
      <w:r w:rsidRPr="00D6514E">
        <w:rPr>
          <w:rFonts w:ascii="Times New Roman" w:hAnsi="Times New Roman" w:cs="Times New Roman"/>
          <w:sz w:val="24"/>
          <w:szCs w:val="24"/>
          <w:lang w:val="sr-Cyrl-RS"/>
        </w:rPr>
        <w:t xml:space="preserve">Методологија </w:t>
      </w:r>
      <w:r w:rsidRPr="00D6514E">
        <w:rPr>
          <w:rFonts w:ascii="Times New Roman" w:hAnsi="Times New Roman" w:cs="Times New Roman"/>
          <w:sz w:val="24"/>
          <w:szCs w:val="24"/>
          <w:lang w:val="en-GB"/>
        </w:rPr>
        <w:t>ESAW</w:t>
      </w:r>
      <w:r w:rsidRPr="00D6514E">
        <w:rPr>
          <w:rFonts w:ascii="Times New Roman" w:hAnsi="Times New Roman" w:cs="Times New Roman"/>
          <w:sz w:val="24"/>
          <w:szCs w:val="24"/>
          <w:lang w:val="sr-Cyrl-RS"/>
        </w:rPr>
        <w:t xml:space="preserve"> користи две врсте показатеља: број повреда и стопу учесталости (</w:t>
      </w:r>
      <w:r w:rsidRPr="00D6514E">
        <w:rPr>
          <w:rFonts w:ascii="Times New Roman" w:hAnsi="Times New Roman" w:cs="Times New Roman"/>
          <w:i/>
          <w:iCs/>
          <w:sz w:val="24"/>
          <w:szCs w:val="24"/>
          <w:lang w:val="sr-Cyrl-RS"/>
        </w:rPr>
        <w:t>incidence rate</w:t>
      </w:r>
      <w:r w:rsidRPr="00D6514E">
        <w:rPr>
          <w:rFonts w:ascii="Times New Roman" w:hAnsi="Times New Roman" w:cs="Times New Roman"/>
          <w:sz w:val="24"/>
          <w:szCs w:val="24"/>
          <w:lang w:val="sr-Cyrl-RS"/>
        </w:rPr>
        <w:t xml:space="preserve">). Приликом обрачуна учесталости, број повреда посматра се у односу на референтну популацију (број запослених односно лица која су изложена ризику од повреда на раду). Графикон </w:t>
      </w:r>
      <w:r w:rsidRPr="00AD60B6">
        <w:rPr>
          <w:rFonts w:ascii="Times New Roman" w:hAnsi="Times New Roman" w:cs="Times New Roman"/>
          <w:color w:val="000000"/>
          <w:sz w:val="24"/>
          <w:szCs w:val="24"/>
          <w:lang w:val="sr-Cyrl-RS"/>
        </w:rPr>
        <w:t>1 показује (нестандардизовану) стопу учесталости смртних повреда у Републици Србији у односу на чланице ЕУ и просек ЕУ за 2020. годину. У 202</w:t>
      </w:r>
      <w:r w:rsidRPr="00AD60B6">
        <w:rPr>
          <w:rFonts w:ascii="Times New Roman" w:hAnsi="Times New Roman" w:cs="Times New Roman"/>
          <w:color w:val="000000"/>
          <w:sz w:val="24"/>
          <w:szCs w:val="24"/>
        </w:rPr>
        <w:t>2</w:t>
      </w:r>
      <w:r w:rsidRPr="00AD60B6">
        <w:rPr>
          <w:rFonts w:ascii="Times New Roman" w:hAnsi="Times New Roman" w:cs="Times New Roman"/>
          <w:color w:val="000000"/>
          <w:sz w:val="24"/>
          <w:szCs w:val="24"/>
          <w:lang w:val="sr-Cyrl-RS"/>
        </w:rPr>
        <w:t>. години референтна популација за Србију дата је према подацима Анкете о радној снази и њу чини 2.8</w:t>
      </w:r>
      <w:r w:rsidRPr="00AD60B6">
        <w:rPr>
          <w:rFonts w:ascii="Times New Roman" w:hAnsi="Times New Roman" w:cs="Times New Roman"/>
          <w:color w:val="000000"/>
          <w:sz w:val="24"/>
          <w:szCs w:val="24"/>
        </w:rPr>
        <w:t>8</w:t>
      </w:r>
      <w:r w:rsidRPr="00AD60B6">
        <w:rPr>
          <w:rFonts w:ascii="Times New Roman" w:hAnsi="Times New Roman" w:cs="Times New Roman"/>
          <w:color w:val="000000"/>
          <w:sz w:val="24"/>
          <w:szCs w:val="24"/>
          <w:lang w:val="sr-Cyrl-RS"/>
        </w:rPr>
        <w:t>8.</w:t>
      </w:r>
      <w:r w:rsidRPr="00AD60B6">
        <w:rPr>
          <w:rFonts w:ascii="Times New Roman" w:hAnsi="Times New Roman" w:cs="Times New Roman"/>
          <w:color w:val="000000"/>
          <w:sz w:val="24"/>
          <w:szCs w:val="24"/>
        </w:rPr>
        <w:t>7</w:t>
      </w:r>
      <w:r w:rsidRPr="00AD60B6">
        <w:rPr>
          <w:rFonts w:ascii="Times New Roman" w:hAnsi="Times New Roman" w:cs="Times New Roman"/>
          <w:color w:val="000000"/>
          <w:sz w:val="24"/>
          <w:szCs w:val="24"/>
          <w:lang w:val="sr-Cyrl-RS"/>
        </w:rPr>
        <w:t>00 запослених.</w:t>
      </w:r>
      <w:r w:rsidRPr="00AD60B6">
        <w:rPr>
          <w:rStyle w:val="FootnoteReference"/>
          <w:rFonts w:ascii="Times New Roman" w:hAnsi="Times New Roman" w:cs="Times New Roman"/>
          <w:color w:val="000000"/>
          <w:sz w:val="24"/>
          <w:szCs w:val="24"/>
          <w:lang w:val="sr-Cyrl-RS"/>
        </w:rPr>
        <w:footnoteReference w:id="13"/>
      </w:r>
      <w:r w:rsidRPr="00AD60B6">
        <w:rPr>
          <w:rFonts w:ascii="Times New Roman" w:hAnsi="Times New Roman" w:cs="Times New Roman"/>
          <w:color w:val="000000"/>
          <w:sz w:val="24"/>
          <w:szCs w:val="24"/>
          <w:lang w:val="sr-Cyrl-RS"/>
        </w:rPr>
        <w:t xml:space="preserve"> Тиме стопа учесталости износи  1.6 на основу података РФЗО, односно 2.1</w:t>
      </w:r>
      <w:r w:rsidRPr="00AD60B6">
        <w:rPr>
          <w:rFonts w:ascii="Times New Roman" w:hAnsi="Times New Roman" w:cs="Times New Roman"/>
          <w:color w:val="000000"/>
          <w:sz w:val="24"/>
          <w:szCs w:val="24"/>
        </w:rPr>
        <w:t>8</w:t>
      </w:r>
      <w:r w:rsidRPr="00AD60B6">
        <w:rPr>
          <w:rFonts w:ascii="Times New Roman" w:hAnsi="Times New Roman" w:cs="Times New Roman"/>
          <w:color w:val="000000"/>
          <w:sz w:val="24"/>
          <w:szCs w:val="24"/>
          <w:lang w:val="sr-Cyrl-RS"/>
        </w:rPr>
        <w:t xml:space="preserve"> на основу података Инспектората </w:t>
      </w:r>
      <w:r w:rsidRPr="00AD60B6">
        <w:rPr>
          <w:rFonts w:ascii="Times New Roman" w:hAnsi="Times New Roman" w:cs="Times New Roman"/>
          <w:sz w:val="24"/>
          <w:szCs w:val="24"/>
          <w:lang w:val="sr-Cyrl-RS"/>
        </w:rPr>
        <w:t xml:space="preserve">за рад </w:t>
      </w:r>
      <w:r w:rsidRPr="00AD60B6">
        <w:rPr>
          <w:rFonts w:ascii="Times New Roman" w:hAnsi="Times New Roman" w:cs="Times New Roman"/>
          <w:color w:val="000000"/>
          <w:sz w:val="24"/>
          <w:szCs w:val="24"/>
          <w:lang w:val="sr-Cyrl-RS"/>
        </w:rPr>
        <w:t>(укључивањем тешких повреда са смртним исходом</w:t>
      </w:r>
      <w:r w:rsidRPr="00AD60B6">
        <w:rPr>
          <w:rFonts w:ascii="Times New Roman" w:hAnsi="Times New Roman" w:cs="Times New Roman"/>
          <w:color w:val="000000"/>
          <w:sz w:val="24"/>
          <w:szCs w:val="24"/>
        </w:rPr>
        <w:t xml:space="preserve"> и колективних повреда</w:t>
      </w:r>
      <w:r w:rsidRPr="00AD60B6">
        <w:rPr>
          <w:rFonts w:ascii="Times New Roman" w:hAnsi="Times New Roman" w:cs="Times New Roman"/>
          <w:color w:val="000000"/>
          <w:sz w:val="24"/>
          <w:szCs w:val="24"/>
          <w:lang w:val="sr-Cyrl-RS"/>
        </w:rPr>
        <w:t xml:space="preserve">).  </w:t>
      </w:r>
      <w:r w:rsidRPr="00AD60B6">
        <w:rPr>
          <w:rFonts w:ascii="Times New Roman" w:hAnsi="Times New Roman" w:cs="Times New Roman"/>
          <w:color w:val="000000"/>
          <w:sz w:val="24"/>
          <w:szCs w:val="24"/>
        </w:rPr>
        <w:t xml:space="preserve">  </w:t>
      </w:r>
    </w:p>
    <w:p w14:paraId="479C113B" w14:textId="77777777" w:rsidR="00EC5D47" w:rsidRPr="00D6514E" w:rsidRDefault="00EC5D47" w:rsidP="00DE4C26">
      <w:pPr>
        <w:spacing w:after="150"/>
        <w:ind w:firstLine="720"/>
        <w:jc w:val="both"/>
        <w:rPr>
          <w:rFonts w:ascii="Times New Roman" w:hAnsi="Times New Roman" w:cs="Times New Roman"/>
          <w:sz w:val="24"/>
          <w:szCs w:val="24"/>
          <w:lang w:val="sr-Cyrl-RS"/>
        </w:rPr>
      </w:pPr>
      <w:r w:rsidRPr="00AD60B6">
        <w:rPr>
          <w:rFonts w:ascii="Times New Roman" w:hAnsi="Times New Roman" w:cs="Times New Roman"/>
          <w:color w:val="000000"/>
          <w:sz w:val="24"/>
          <w:szCs w:val="24"/>
          <w:lang w:val="sr-Cyrl-RS"/>
        </w:rPr>
        <w:t xml:space="preserve">Србија је тиме близу просека ЕУ (1.77 на 100.000 запослених), односно знатно више у односу на водеће земље (Финску, Немачку, Шведску и Холандију) у којима је стопа учесталости испод један, али и знатно испод земаља у којима је стопа изнад </w:t>
      </w:r>
      <w:r w:rsidRPr="00AD60B6">
        <w:rPr>
          <w:rFonts w:ascii="Times New Roman" w:hAnsi="Times New Roman" w:cs="Times New Roman"/>
          <w:color w:val="000000"/>
          <w:sz w:val="24"/>
          <w:szCs w:val="24"/>
        </w:rPr>
        <w:t>једног лица</w:t>
      </w:r>
      <w:r w:rsidRPr="00AD60B6">
        <w:rPr>
          <w:rFonts w:ascii="Times New Roman" w:hAnsi="Times New Roman" w:cs="Times New Roman"/>
          <w:color w:val="000000"/>
          <w:sz w:val="24"/>
          <w:szCs w:val="24"/>
          <w:lang w:val="sr-Cyrl-RS"/>
        </w:rPr>
        <w:t xml:space="preserve"> на 100.000 запослених (Кипар, Бугарска, </w:t>
      </w:r>
      <w:r w:rsidRPr="00D6514E">
        <w:rPr>
          <w:rFonts w:ascii="Times New Roman" w:hAnsi="Times New Roman" w:cs="Times New Roman"/>
          <w:sz w:val="24"/>
          <w:szCs w:val="24"/>
          <w:lang w:val="sr-Cyrl-RS"/>
        </w:rPr>
        <w:t>Румунија, Италија). Треба напоменути да су повреде на раду са смртним исходом релативно ретки случајеви, тако да стопа учесталости може знатно да варира на годишњем нивоу. У 2015. години обрачуната стопа износила је 1.91.</w:t>
      </w:r>
    </w:p>
    <w:p w14:paraId="494DDA00" w14:textId="740AD8E8" w:rsidR="00EC5D47" w:rsidRPr="00D6514E" w:rsidRDefault="00EC5D47" w:rsidP="00866D19">
      <w:pPr>
        <w:pStyle w:val="Caption"/>
        <w:keepNext/>
        <w:ind w:firstLine="720"/>
        <w:rPr>
          <w:rFonts w:ascii="Times New Roman" w:hAnsi="Times New Roman" w:cs="Times New Roman"/>
          <w:b/>
          <w:color w:val="auto"/>
          <w:sz w:val="24"/>
          <w:szCs w:val="24"/>
          <w:lang w:val="sr-Cyrl-RS"/>
        </w:rPr>
      </w:pPr>
      <w:r w:rsidRPr="00D6514E">
        <w:rPr>
          <w:rFonts w:ascii="Times New Roman" w:hAnsi="Times New Roman" w:cs="Times New Roman"/>
          <w:b/>
          <w:color w:val="auto"/>
          <w:sz w:val="24"/>
          <w:szCs w:val="24"/>
          <w:lang w:val="sr-Cyrl-RS"/>
        </w:rPr>
        <w:t xml:space="preserve">Графикон </w:t>
      </w:r>
      <w:r w:rsidRPr="00D6514E">
        <w:rPr>
          <w:rFonts w:ascii="Times New Roman" w:hAnsi="Times New Roman" w:cs="Times New Roman"/>
          <w:b/>
          <w:color w:val="auto"/>
          <w:sz w:val="24"/>
          <w:szCs w:val="24"/>
          <w:lang w:val="sr-Cyrl-RS"/>
        </w:rPr>
        <w:fldChar w:fldCharType="begin"/>
      </w:r>
      <w:r w:rsidRPr="00D6514E">
        <w:rPr>
          <w:rFonts w:ascii="Times New Roman" w:hAnsi="Times New Roman" w:cs="Times New Roman"/>
          <w:b/>
          <w:color w:val="auto"/>
          <w:sz w:val="24"/>
          <w:szCs w:val="24"/>
          <w:lang w:val="sr-Cyrl-RS"/>
        </w:rPr>
        <w:instrText xml:space="preserve"> SEQ Графикон \* ARABIC </w:instrText>
      </w:r>
      <w:r w:rsidRPr="00D6514E">
        <w:rPr>
          <w:rFonts w:ascii="Times New Roman" w:hAnsi="Times New Roman" w:cs="Times New Roman"/>
          <w:b/>
          <w:color w:val="auto"/>
          <w:sz w:val="24"/>
          <w:szCs w:val="24"/>
          <w:lang w:val="sr-Cyrl-RS"/>
        </w:rPr>
        <w:fldChar w:fldCharType="separate"/>
      </w:r>
      <w:r w:rsidRPr="00D6514E">
        <w:rPr>
          <w:rFonts w:ascii="Times New Roman" w:hAnsi="Times New Roman" w:cs="Times New Roman"/>
          <w:b/>
          <w:color w:val="auto"/>
          <w:sz w:val="24"/>
          <w:szCs w:val="24"/>
          <w:lang w:val="sr-Cyrl-RS"/>
        </w:rPr>
        <w:t>1</w:t>
      </w:r>
      <w:r w:rsidRPr="00D6514E">
        <w:rPr>
          <w:rFonts w:ascii="Times New Roman" w:hAnsi="Times New Roman" w:cs="Times New Roman"/>
          <w:b/>
          <w:color w:val="auto"/>
          <w:sz w:val="24"/>
          <w:szCs w:val="24"/>
          <w:lang w:val="sr-Cyrl-RS"/>
        </w:rPr>
        <w:fldChar w:fldCharType="end"/>
      </w:r>
      <w:r w:rsidR="00866D19" w:rsidRPr="00D6514E">
        <w:rPr>
          <w:rFonts w:ascii="Times New Roman" w:hAnsi="Times New Roman" w:cs="Times New Roman"/>
          <w:b/>
          <w:color w:val="auto"/>
          <w:sz w:val="24"/>
          <w:szCs w:val="24"/>
          <w:lang w:val="sr-Latn-RS"/>
        </w:rPr>
        <w:t>:</w:t>
      </w:r>
      <w:r w:rsidRPr="00D6514E">
        <w:rPr>
          <w:rFonts w:ascii="Times New Roman" w:hAnsi="Times New Roman" w:cs="Times New Roman"/>
          <w:b/>
          <w:color w:val="auto"/>
          <w:sz w:val="24"/>
          <w:szCs w:val="24"/>
          <w:lang w:val="sr-Cyrl-RS"/>
        </w:rPr>
        <w:t xml:space="preserve"> Стопа учесталости смртних повреда на раду</w:t>
      </w:r>
    </w:p>
    <w:p w14:paraId="4AB11C79" w14:textId="77777777" w:rsidR="00EC5D47" w:rsidRPr="00AD60B6" w:rsidRDefault="00EC5D47" w:rsidP="00EC5D47">
      <w:pPr>
        <w:spacing w:after="150"/>
        <w:jc w:val="both"/>
        <w:rPr>
          <w:rFonts w:ascii="Times New Roman" w:hAnsi="Times New Roman" w:cs="Times New Roman"/>
          <w:color w:val="000000"/>
          <w:sz w:val="24"/>
          <w:szCs w:val="24"/>
          <w:lang w:val="sr-Cyrl-RS"/>
        </w:rPr>
      </w:pPr>
      <w:r w:rsidRPr="00AD60B6">
        <w:rPr>
          <w:rFonts w:ascii="Times New Roman" w:hAnsi="Times New Roman" w:cs="Times New Roman"/>
          <w:noProof/>
          <w:sz w:val="24"/>
          <w:szCs w:val="24"/>
        </w:rPr>
        <w:drawing>
          <wp:inline distT="0" distB="0" distL="0" distR="0" wp14:anchorId="55A7537C" wp14:editId="0F3A9FDB">
            <wp:extent cx="5760000" cy="1800000"/>
            <wp:effectExtent l="0" t="0" r="12700" b="10160"/>
            <wp:docPr id="15" name="Chart 15">
              <a:extLst xmlns:a="http://schemas.openxmlformats.org/drawingml/2006/main">
                <a:ext uri="{FF2B5EF4-FFF2-40B4-BE49-F238E27FC236}">
                  <a16:creationId xmlns:a16="http://schemas.microsoft.com/office/drawing/2014/main" id="{36597B9C-DC4A-4255-BF46-A6D9215DE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9E2C12" w14:textId="77777777" w:rsidR="00EC5D47" w:rsidRPr="00AD60B6" w:rsidRDefault="00EC5D47" w:rsidP="00866D19">
      <w:pPr>
        <w:spacing w:after="150"/>
        <w:rPr>
          <w:rFonts w:ascii="Times New Roman" w:hAnsi="Times New Roman" w:cs="Times New Roman"/>
          <w:i/>
          <w:color w:val="000000"/>
          <w:sz w:val="24"/>
          <w:szCs w:val="24"/>
          <w:lang w:val="sr-Cyrl-RS"/>
        </w:rPr>
      </w:pPr>
      <w:r w:rsidRPr="00866D19">
        <w:rPr>
          <w:rFonts w:ascii="Times New Roman" w:hAnsi="Times New Roman" w:cs="Times New Roman"/>
          <w:i/>
          <w:color w:val="000000"/>
          <w:sz w:val="24"/>
          <w:szCs w:val="24"/>
          <w:lang w:val="sr-Cyrl-RS"/>
        </w:rPr>
        <w:t xml:space="preserve">Извор: </w:t>
      </w:r>
      <w:r w:rsidRPr="00866D19">
        <w:rPr>
          <w:rFonts w:ascii="Times New Roman" w:hAnsi="Times New Roman" w:cs="Times New Roman"/>
          <w:i/>
          <w:iCs/>
          <w:color w:val="000000"/>
          <w:sz w:val="24"/>
          <w:szCs w:val="24"/>
          <w:lang w:val="sr-Cyrl-RS"/>
        </w:rPr>
        <w:t>За ЕУ и чланице ЕУ, с</w:t>
      </w:r>
      <w:r w:rsidRPr="00866D19">
        <w:rPr>
          <w:rFonts w:ascii="Times New Roman" w:hAnsi="Times New Roman" w:cs="Times New Roman"/>
          <w:i/>
          <w:color w:val="000000"/>
          <w:sz w:val="24"/>
          <w:szCs w:val="24"/>
          <w:lang w:val="sr-Cyrl-RS"/>
        </w:rPr>
        <w:t>татистика повреда на раду</w:t>
      </w:r>
      <w:r w:rsidRPr="00AD60B6">
        <w:rPr>
          <w:rFonts w:ascii="Times New Roman" w:hAnsi="Times New Roman" w:cs="Times New Roman"/>
          <w:i/>
          <w:color w:val="000000"/>
          <w:sz w:val="24"/>
          <w:szCs w:val="24"/>
          <w:lang w:val="sr-Cyrl-RS"/>
        </w:rPr>
        <w:t xml:space="preserve"> </w:t>
      </w:r>
      <w:hyperlink r:id="rId9" w:history="1">
        <w:r w:rsidRPr="00AD60B6">
          <w:rPr>
            <w:rStyle w:val="Hyperlink"/>
            <w:rFonts w:ascii="Times New Roman" w:hAnsi="Times New Roman" w:cs="Times New Roman"/>
            <w:i/>
            <w:sz w:val="24"/>
            <w:szCs w:val="24"/>
            <w:lang w:val="sr-Cyrl-RS"/>
          </w:rPr>
          <w:t>http://ec.europa.eu/eurostat/statistics-explained/index.php/Accidents_at_work_statistics</w:t>
        </w:r>
      </w:hyperlink>
    </w:p>
    <w:p w14:paraId="5A0D6769" w14:textId="37B45CC6" w:rsidR="00EC5D47" w:rsidRPr="00D6514E" w:rsidRDefault="00EC5D47" w:rsidP="00DE4C26">
      <w:pPr>
        <w:ind w:firstLine="720"/>
        <w:jc w:val="both"/>
        <w:rPr>
          <w:rFonts w:ascii="Times New Roman" w:hAnsi="Times New Roman" w:cs="Times New Roman"/>
          <w:sz w:val="24"/>
          <w:szCs w:val="24"/>
          <w:lang w:val="sr-Cyrl-RS"/>
        </w:rPr>
      </w:pPr>
      <w:r w:rsidRPr="00D6514E">
        <w:rPr>
          <w:rFonts w:ascii="Times New Roman" w:hAnsi="Times New Roman" w:cs="Times New Roman"/>
          <w:sz w:val="24"/>
          <w:szCs w:val="24"/>
          <w:lang w:val="sr-Cyrl-RS"/>
        </w:rPr>
        <w:t xml:space="preserve">У погледу стопе учесталости повреда на раду без смртног исхода ситуација је неповољнија. Наиме, просек ЕУ за 2020. годину износио је 1.444 повреда на 100.000, при чему је распон стопа међу државама чланицама варирао између 100 повреда на раду у Румунији и Бугарској до више од 2.500 на 100.000 запослених у Данској и Француској. Ипак, и земље ЕУ се попут Србије суочавају са проблемом недовољног пријављивања. </w:t>
      </w:r>
      <w:r w:rsidRPr="00D6514E">
        <w:rPr>
          <w:rFonts w:ascii="Times New Roman" w:hAnsi="Times New Roman" w:cs="Times New Roman"/>
          <w:sz w:val="24"/>
          <w:szCs w:val="24"/>
          <w:lang w:val="sr-Cyrl-RS"/>
        </w:rPr>
        <w:lastRenderedPageBreak/>
        <w:t>Постоји више узрока овог проблема чији значај варира од државе до државе – компликован процес пријављивања, неадекватни подстицаји пријављивања повреда на раду, необавезујуће законске обавезе за послодавце, и др. Ипак, околности у случају учесталости повреда на раду</w:t>
      </w:r>
      <w:r w:rsidR="00D6514E" w:rsidRPr="00D6514E">
        <w:rPr>
          <w:rFonts w:ascii="Times New Roman" w:hAnsi="Times New Roman" w:cs="Times New Roman"/>
          <w:sz w:val="24"/>
          <w:szCs w:val="24"/>
          <w:lang w:val="sr-Cyrl-RS"/>
        </w:rPr>
        <w:t xml:space="preserve"> </w:t>
      </w:r>
      <w:r w:rsidRPr="00D6514E">
        <w:rPr>
          <w:rFonts w:ascii="Times New Roman" w:hAnsi="Times New Roman" w:cs="Times New Roman"/>
          <w:sz w:val="24"/>
          <w:szCs w:val="24"/>
          <w:lang w:val="sr-Cyrl-RS"/>
        </w:rPr>
        <w:t xml:space="preserve">са смртним исходом је другачија јер је много теже избећи њихово пријављивање, те су подаци начелно упоредиви. </w:t>
      </w:r>
    </w:p>
    <w:p w14:paraId="4F44FBD0" w14:textId="77777777" w:rsidR="00EC5D47" w:rsidRPr="00AD60B6" w:rsidRDefault="00EC5D47" w:rsidP="00DE4C26">
      <w:pPr>
        <w:spacing w:after="150"/>
        <w:ind w:firstLine="720"/>
        <w:jc w:val="both"/>
        <w:rPr>
          <w:rFonts w:ascii="Times New Roman" w:hAnsi="Times New Roman" w:cs="Times New Roman"/>
          <w:color w:val="000000"/>
          <w:sz w:val="24"/>
          <w:szCs w:val="24"/>
          <w:lang w:val="sr-Cyrl-RS"/>
        </w:rPr>
      </w:pPr>
      <w:r w:rsidRPr="00D6514E">
        <w:rPr>
          <w:rFonts w:ascii="Times New Roman" w:hAnsi="Times New Roman" w:cs="Times New Roman"/>
          <w:sz w:val="24"/>
          <w:szCs w:val="24"/>
          <w:lang w:val="sr-Cyrl-RS"/>
        </w:rPr>
        <w:t xml:space="preserve">У Србији стопа учесталости за повреде на раду без смртног исхода у 2021. години износи 748 уколико се примењују подаци РФЗО, док би ова стопа била значајније потцењена (уколико би се користили подаци Управе за </w:t>
      </w:r>
      <w:r w:rsidRPr="00D6514E">
        <w:rPr>
          <w:rFonts w:ascii="Times New Roman" w:hAnsi="Times New Roman" w:cs="Times New Roman"/>
          <w:sz w:val="24"/>
          <w:szCs w:val="24"/>
        </w:rPr>
        <w:t>безбедности и здравља</w:t>
      </w:r>
      <w:r w:rsidRPr="00D6514E">
        <w:rPr>
          <w:rFonts w:ascii="Times New Roman" w:hAnsi="Times New Roman" w:cs="Times New Roman"/>
          <w:sz w:val="24"/>
          <w:szCs w:val="24"/>
          <w:lang w:val="sr-Cyrl-RS"/>
        </w:rPr>
        <w:t xml:space="preserve"> на раду (333), због поменутог проблема са непријављивањем повреда. Стога приликом поређења са другим земљама, као и избора показатеља остварења </w:t>
      </w:r>
      <w:r w:rsidRPr="00AD60B6">
        <w:rPr>
          <w:rFonts w:ascii="Times New Roman" w:hAnsi="Times New Roman" w:cs="Times New Roman"/>
          <w:color w:val="000000"/>
          <w:sz w:val="24"/>
          <w:szCs w:val="24"/>
          <w:lang w:val="sr-Cyrl-RS"/>
        </w:rPr>
        <w:t xml:space="preserve">циљева Стратегије треба узети у обзир ограничену упоредивост код овог типа повреда. </w:t>
      </w:r>
    </w:p>
    <w:p w14:paraId="247D3E25" w14:textId="0A0DE119" w:rsidR="00EC5D47" w:rsidRPr="00D6514E" w:rsidRDefault="00EC5D47" w:rsidP="00866D19">
      <w:pPr>
        <w:pStyle w:val="Caption"/>
        <w:keepNext/>
        <w:ind w:firstLine="720"/>
        <w:rPr>
          <w:rFonts w:ascii="Times New Roman" w:hAnsi="Times New Roman" w:cs="Times New Roman"/>
          <w:b/>
          <w:color w:val="auto"/>
          <w:sz w:val="24"/>
          <w:szCs w:val="24"/>
          <w:lang w:val="sr-Cyrl-RS"/>
        </w:rPr>
      </w:pPr>
      <w:r w:rsidRPr="00D6514E">
        <w:rPr>
          <w:rFonts w:ascii="Times New Roman" w:hAnsi="Times New Roman" w:cs="Times New Roman"/>
          <w:b/>
          <w:color w:val="auto"/>
          <w:sz w:val="24"/>
          <w:szCs w:val="24"/>
          <w:lang w:val="sr-Cyrl-RS"/>
        </w:rPr>
        <w:t xml:space="preserve">Графикон </w:t>
      </w:r>
      <w:r w:rsidRPr="00D6514E">
        <w:rPr>
          <w:rFonts w:ascii="Times New Roman" w:hAnsi="Times New Roman" w:cs="Times New Roman"/>
          <w:b/>
          <w:color w:val="auto"/>
          <w:sz w:val="24"/>
          <w:szCs w:val="24"/>
          <w:lang w:val="sr-Cyrl-RS"/>
        </w:rPr>
        <w:fldChar w:fldCharType="begin"/>
      </w:r>
      <w:r w:rsidRPr="00D6514E">
        <w:rPr>
          <w:rFonts w:ascii="Times New Roman" w:hAnsi="Times New Roman" w:cs="Times New Roman"/>
          <w:b/>
          <w:color w:val="auto"/>
          <w:sz w:val="24"/>
          <w:szCs w:val="24"/>
          <w:lang w:val="sr-Cyrl-RS"/>
        </w:rPr>
        <w:instrText xml:space="preserve"> SEQ Графикон \* ARABIC </w:instrText>
      </w:r>
      <w:r w:rsidRPr="00D6514E">
        <w:rPr>
          <w:rFonts w:ascii="Times New Roman" w:hAnsi="Times New Roman" w:cs="Times New Roman"/>
          <w:b/>
          <w:color w:val="auto"/>
          <w:sz w:val="24"/>
          <w:szCs w:val="24"/>
          <w:lang w:val="sr-Cyrl-RS"/>
        </w:rPr>
        <w:fldChar w:fldCharType="separate"/>
      </w:r>
      <w:r w:rsidRPr="00D6514E">
        <w:rPr>
          <w:rFonts w:ascii="Times New Roman" w:hAnsi="Times New Roman" w:cs="Times New Roman"/>
          <w:b/>
          <w:noProof/>
          <w:color w:val="auto"/>
          <w:sz w:val="24"/>
          <w:szCs w:val="24"/>
          <w:lang w:val="sr-Cyrl-RS"/>
        </w:rPr>
        <w:t>2</w:t>
      </w:r>
      <w:r w:rsidRPr="00D6514E">
        <w:rPr>
          <w:rFonts w:ascii="Times New Roman" w:hAnsi="Times New Roman" w:cs="Times New Roman"/>
          <w:b/>
          <w:color w:val="auto"/>
          <w:sz w:val="24"/>
          <w:szCs w:val="24"/>
          <w:lang w:val="sr-Cyrl-RS"/>
        </w:rPr>
        <w:fldChar w:fldCharType="end"/>
      </w:r>
      <w:r w:rsidR="00866D19" w:rsidRPr="00D6514E">
        <w:rPr>
          <w:rFonts w:ascii="Times New Roman" w:hAnsi="Times New Roman" w:cs="Times New Roman"/>
          <w:b/>
          <w:color w:val="auto"/>
          <w:sz w:val="24"/>
          <w:szCs w:val="24"/>
          <w:lang w:val="sr-Latn-RS"/>
        </w:rPr>
        <w:t>:</w:t>
      </w:r>
      <w:r w:rsidRPr="00D6514E">
        <w:rPr>
          <w:rFonts w:ascii="Times New Roman" w:hAnsi="Times New Roman" w:cs="Times New Roman"/>
          <w:b/>
          <w:color w:val="auto"/>
          <w:sz w:val="24"/>
          <w:szCs w:val="24"/>
          <w:lang w:val="sr-Cyrl-RS"/>
        </w:rPr>
        <w:t xml:space="preserve"> Стопа учесталости повреда на раду без смртног исхода</w:t>
      </w:r>
    </w:p>
    <w:p w14:paraId="73C5D446" w14:textId="77777777" w:rsidR="00EC5D47" w:rsidRPr="00AD60B6" w:rsidRDefault="00EC5D47" w:rsidP="00EC5D47">
      <w:pPr>
        <w:spacing w:after="150"/>
        <w:jc w:val="both"/>
        <w:rPr>
          <w:rFonts w:ascii="Times New Roman" w:hAnsi="Times New Roman" w:cs="Times New Roman"/>
          <w:color w:val="000000"/>
          <w:sz w:val="24"/>
          <w:szCs w:val="24"/>
          <w:lang w:val="sr-Cyrl-RS"/>
        </w:rPr>
      </w:pPr>
      <w:r w:rsidRPr="00AD60B6">
        <w:rPr>
          <w:rFonts w:ascii="Times New Roman" w:hAnsi="Times New Roman" w:cs="Times New Roman"/>
          <w:noProof/>
          <w:sz w:val="24"/>
          <w:szCs w:val="24"/>
        </w:rPr>
        <w:drawing>
          <wp:inline distT="0" distB="0" distL="0" distR="0" wp14:anchorId="571345EF" wp14:editId="196ED691">
            <wp:extent cx="5760000" cy="1800000"/>
            <wp:effectExtent l="0" t="0" r="0" b="0"/>
            <wp:docPr id="16" name="Chart 16">
              <a:extLst xmlns:a="http://schemas.openxmlformats.org/drawingml/2006/main">
                <a:ext uri="{FF2B5EF4-FFF2-40B4-BE49-F238E27FC236}">
                  <a16:creationId xmlns:a16="http://schemas.microsoft.com/office/drawing/2014/main" id="{16E03F97-2DE1-03E1-C195-338ADD194E3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6D8289" w14:textId="77777777" w:rsidR="00EC5D47" w:rsidRPr="00866D19" w:rsidRDefault="00EC5D47" w:rsidP="00866D19">
      <w:pPr>
        <w:spacing w:after="150"/>
        <w:rPr>
          <w:rFonts w:ascii="Times New Roman" w:hAnsi="Times New Roman" w:cs="Times New Roman"/>
          <w:i/>
          <w:color w:val="000000"/>
          <w:sz w:val="24"/>
          <w:szCs w:val="24"/>
          <w:lang w:val="sr-Cyrl-RS"/>
        </w:rPr>
      </w:pPr>
      <w:r w:rsidRPr="00866D19">
        <w:rPr>
          <w:rFonts w:ascii="Times New Roman" w:hAnsi="Times New Roman" w:cs="Times New Roman"/>
          <w:i/>
          <w:color w:val="000000"/>
          <w:sz w:val="24"/>
          <w:szCs w:val="24"/>
          <w:lang w:val="sr-Cyrl-RS"/>
        </w:rPr>
        <w:t xml:space="preserve">Извор: </w:t>
      </w:r>
      <w:r w:rsidRPr="00866D19">
        <w:rPr>
          <w:rFonts w:ascii="Times New Roman" w:hAnsi="Times New Roman" w:cs="Times New Roman"/>
          <w:i/>
          <w:iCs/>
          <w:color w:val="000000"/>
          <w:sz w:val="24"/>
          <w:szCs w:val="24"/>
          <w:lang w:val="sr-Cyrl-RS"/>
        </w:rPr>
        <w:t xml:space="preserve">За ЕУ и чланице ЕУ, статистика повреда на раду </w:t>
      </w:r>
      <w:hyperlink r:id="rId11" w:history="1">
        <w:r w:rsidRPr="00866D19">
          <w:rPr>
            <w:rStyle w:val="Hyperlink"/>
            <w:rFonts w:ascii="Times New Roman" w:hAnsi="Times New Roman" w:cs="Times New Roman"/>
            <w:i/>
            <w:iCs/>
            <w:sz w:val="24"/>
            <w:szCs w:val="24"/>
            <w:lang w:val="sr-Cyrl-RS"/>
          </w:rPr>
          <w:t>http://ec.europa.eu/eurostat/statistics-explained/index.php/Accidents_at_work_statistics</w:t>
        </w:r>
      </w:hyperlink>
      <w:r w:rsidRPr="00866D19">
        <w:rPr>
          <w:rFonts w:ascii="Times New Roman" w:hAnsi="Times New Roman" w:cs="Times New Roman"/>
          <w:i/>
          <w:iCs/>
          <w:color w:val="000000"/>
          <w:sz w:val="24"/>
          <w:szCs w:val="24"/>
          <w:lang w:val="sr-Cyrl-RS"/>
        </w:rPr>
        <w:t xml:space="preserve"> </w:t>
      </w:r>
    </w:p>
    <w:p w14:paraId="0F35740D" w14:textId="77777777" w:rsidR="00EC5D47" w:rsidRPr="00AD60B6" w:rsidRDefault="00EC5D47" w:rsidP="00DE4C26">
      <w:pPr>
        <w:spacing w:after="150"/>
        <w:ind w:firstLine="720"/>
        <w:jc w:val="both"/>
        <w:rPr>
          <w:rFonts w:ascii="Times New Roman" w:hAnsi="Times New Roman" w:cs="Times New Roman"/>
          <w:color w:val="000000"/>
          <w:sz w:val="24"/>
          <w:szCs w:val="24"/>
          <w:lang w:val="sr-Cyrl-RS"/>
        </w:rPr>
      </w:pPr>
      <w:r w:rsidRPr="00AD60B6">
        <w:rPr>
          <w:rFonts w:ascii="Times New Roman" w:hAnsi="Times New Roman" w:cs="Times New Roman"/>
          <w:bCs/>
          <w:color w:val="000000"/>
          <w:sz w:val="24"/>
          <w:szCs w:val="24"/>
          <w:lang w:val="sr-Cyrl-RS"/>
        </w:rPr>
        <w:t>Подаци за Републику Србију нису укључени у базу података Међународне организације рада</w:t>
      </w:r>
      <w:r w:rsidRPr="00AD60B6">
        <w:rPr>
          <w:rFonts w:ascii="Times New Roman" w:hAnsi="Times New Roman" w:cs="Times New Roman"/>
          <w:color w:val="000000"/>
          <w:sz w:val="24"/>
          <w:szCs w:val="24"/>
          <w:lang w:val="sr-Cyrl-RS"/>
        </w:rPr>
        <w:t>, што отежава поређење Србије са земљама ван ЕУ.</w:t>
      </w:r>
      <w:r w:rsidRPr="00AD60B6">
        <w:rPr>
          <w:rStyle w:val="FootnoteReference"/>
          <w:rFonts w:ascii="Times New Roman" w:hAnsi="Times New Roman" w:cs="Times New Roman"/>
          <w:color w:val="000000"/>
          <w:sz w:val="24"/>
          <w:szCs w:val="24"/>
          <w:lang w:val="sr-Cyrl-RS"/>
        </w:rPr>
        <w:footnoteReference w:id="14"/>
      </w:r>
      <w:r w:rsidRPr="00AD60B6">
        <w:rPr>
          <w:rFonts w:ascii="Times New Roman" w:hAnsi="Times New Roman" w:cs="Times New Roman"/>
          <w:color w:val="000000"/>
          <w:sz w:val="24"/>
          <w:szCs w:val="24"/>
          <w:lang w:val="sr-Cyrl-RS"/>
        </w:rPr>
        <w:t xml:space="preserve"> Подаци МОР, такође указују на значајна одступања пријављеног од стварног стања</w:t>
      </w:r>
      <w:r w:rsidRPr="00AD60B6">
        <w:rPr>
          <w:rFonts w:ascii="Times New Roman" w:hAnsi="Times New Roman" w:cs="Times New Roman"/>
          <w:color w:val="000000"/>
          <w:sz w:val="24"/>
          <w:szCs w:val="24"/>
        </w:rPr>
        <w:t xml:space="preserve">.  </w:t>
      </w:r>
    </w:p>
    <w:p w14:paraId="10B1C5A2" w14:textId="77777777" w:rsidR="00EC5D47" w:rsidRPr="00AD60B6" w:rsidRDefault="00EC5D47" w:rsidP="00DE4C26">
      <w:pPr>
        <w:spacing w:after="150"/>
        <w:ind w:firstLine="720"/>
        <w:jc w:val="both"/>
        <w:rPr>
          <w:rFonts w:ascii="Times New Roman" w:hAnsi="Times New Roman" w:cs="Times New Roman"/>
          <w:color w:val="000000"/>
          <w:sz w:val="24"/>
          <w:szCs w:val="24"/>
          <w:lang w:val="sr-Cyrl-RS"/>
        </w:rPr>
      </w:pPr>
      <w:r w:rsidRPr="00AD60B6">
        <w:rPr>
          <w:rFonts w:ascii="Times New Roman" w:hAnsi="Times New Roman" w:cs="Times New Roman"/>
          <w:color w:val="000000"/>
          <w:sz w:val="24"/>
          <w:szCs w:val="24"/>
          <w:lang w:val="sr-Cyrl-RS"/>
        </w:rPr>
        <w:t>Процењени друштвени трошкови повреда и болести на раду у 2019. години у Европској унији износили су 46</w:t>
      </w:r>
      <w:r w:rsidRPr="00AD60B6">
        <w:rPr>
          <w:rFonts w:ascii="Times New Roman" w:hAnsi="Times New Roman" w:cs="Times New Roman"/>
          <w:color w:val="000000"/>
          <w:sz w:val="24"/>
          <w:szCs w:val="24"/>
        </w:rPr>
        <w:t>7</w:t>
      </w:r>
      <w:r w:rsidRPr="00AD60B6">
        <w:rPr>
          <w:rFonts w:ascii="Times New Roman" w:hAnsi="Times New Roman" w:cs="Times New Roman"/>
          <w:color w:val="000000"/>
          <w:sz w:val="24"/>
          <w:szCs w:val="24"/>
          <w:lang w:val="sr-Cyrl-RS"/>
        </w:rPr>
        <w:t xml:space="preserve"> </w:t>
      </w:r>
      <w:r w:rsidRPr="00AD60B6">
        <w:rPr>
          <w:rFonts w:ascii="Times New Roman" w:hAnsi="Times New Roman" w:cs="Times New Roman"/>
          <w:sz w:val="24"/>
          <w:szCs w:val="24"/>
          <w:lang w:val="sr-Cyrl-RS"/>
        </w:rPr>
        <w:t>милијарду евра.</w:t>
      </w:r>
      <w:r w:rsidRPr="00AD60B6">
        <w:rPr>
          <w:rStyle w:val="FootnoteReference"/>
          <w:rFonts w:ascii="Times New Roman" w:hAnsi="Times New Roman" w:cs="Times New Roman"/>
          <w:sz w:val="24"/>
          <w:szCs w:val="24"/>
          <w:lang w:val="sr-Cyrl-RS"/>
        </w:rPr>
        <w:footnoteReference w:id="15"/>
      </w:r>
      <w:r w:rsidRPr="00AD60B6">
        <w:rPr>
          <w:rFonts w:ascii="Times New Roman" w:hAnsi="Times New Roman" w:cs="Times New Roman"/>
          <w:sz w:val="24"/>
          <w:szCs w:val="24"/>
          <w:lang w:val="sr-Cyrl-RS"/>
        </w:rPr>
        <w:t xml:space="preserve"> </w:t>
      </w:r>
      <w:r w:rsidRPr="00AD60B6">
        <w:rPr>
          <w:rFonts w:ascii="Times New Roman" w:hAnsi="Times New Roman" w:cs="Times New Roman"/>
          <w:bCs/>
          <w:sz w:val="24"/>
          <w:szCs w:val="24"/>
          <w:lang w:val="sr-Cyrl-RS"/>
        </w:rPr>
        <w:t xml:space="preserve">За </w:t>
      </w:r>
      <w:r w:rsidRPr="00AD60B6">
        <w:rPr>
          <w:rFonts w:ascii="Times New Roman" w:hAnsi="Times New Roman" w:cs="Times New Roman"/>
          <w:bCs/>
          <w:color w:val="000000"/>
          <w:sz w:val="24"/>
          <w:szCs w:val="24"/>
          <w:lang w:val="sr-Cyrl-RS"/>
        </w:rPr>
        <w:t>Србију не постоји поуздана процена друштвених трошкова услед повреда и болести на раду.</w:t>
      </w:r>
      <w:r w:rsidRPr="00AD60B6">
        <w:rPr>
          <w:rFonts w:ascii="Times New Roman" w:hAnsi="Times New Roman" w:cs="Times New Roman"/>
          <w:color w:val="000000"/>
          <w:sz w:val="24"/>
          <w:szCs w:val="24"/>
          <w:lang w:val="sr-Cyrl-RS"/>
        </w:rPr>
        <w:t xml:space="preserve"> Имајући у виду претходне показатеље, за Србију груба апроксимација на основу процењених трошкова на нивоу ЕУ, који износе 3,3 одсто бруто домаћег производа износи око 1,7 милијарди евра за 2021. годину, при чему је овај износ вероватно ближи доњој граници у односу на реалне друштвене трошкове.</w:t>
      </w:r>
    </w:p>
    <w:p w14:paraId="0EF78017" w14:textId="77777777" w:rsidR="00EC5D47" w:rsidRPr="00AD60B6" w:rsidRDefault="00EC5D47" w:rsidP="00DE4C26">
      <w:pPr>
        <w:spacing w:after="150"/>
        <w:ind w:firstLine="720"/>
        <w:jc w:val="both"/>
        <w:rPr>
          <w:rFonts w:ascii="Times New Roman" w:hAnsi="Times New Roman" w:cs="Times New Roman"/>
          <w:sz w:val="24"/>
          <w:szCs w:val="24"/>
          <w:lang w:val="sr-Cyrl-RS"/>
        </w:rPr>
      </w:pPr>
      <w:r w:rsidRPr="00AD60B6">
        <w:rPr>
          <w:rFonts w:ascii="Times New Roman" w:hAnsi="Times New Roman" w:cs="Times New Roman"/>
          <w:sz w:val="24"/>
          <w:szCs w:val="24"/>
          <w:lang w:val="sr-Cyrl-RS"/>
        </w:rPr>
        <w:t>Треба напоменути да је приказана само нестандардизована стопа учесталости з</w:t>
      </w:r>
      <w:r w:rsidRPr="00AD60B6">
        <w:rPr>
          <w:rFonts w:ascii="Times New Roman" w:hAnsi="Times New Roman" w:cs="Times New Roman"/>
          <w:bCs/>
          <w:sz w:val="24"/>
          <w:szCs w:val="24"/>
          <w:lang w:val="sr-Cyrl-RS"/>
        </w:rPr>
        <w:t>а Републику Србију, нису обрачунате стандардизоване вредности овог показатеља.</w:t>
      </w:r>
      <w:r w:rsidRPr="00AD60B6">
        <w:rPr>
          <w:rFonts w:ascii="Times New Roman" w:hAnsi="Times New Roman" w:cs="Times New Roman"/>
          <w:sz w:val="24"/>
          <w:szCs w:val="24"/>
          <w:lang w:val="sr-Cyrl-RS"/>
        </w:rPr>
        <w:t xml:space="preserve"> Наиме, стопе учесталости се разликују између економских сектора услед различитих степена ризика којим су изложени </w:t>
      </w:r>
      <w:r w:rsidRPr="00AD60B6">
        <w:rPr>
          <w:rFonts w:ascii="Times New Roman" w:hAnsi="Times New Roman" w:cs="Times New Roman"/>
          <w:sz w:val="24"/>
          <w:szCs w:val="24"/>
        </w:rPr>
        <w:t>запослени</w:t>
      </w:r>
      <w:r w:rsidRPr="00AD60B6">
        <w:rPr>
          <w:rFonts w:ascii="Times New Roman" w:hAnsi="Times New Roman" w:cs="Times New Roman"/>
          <w:sz w:val="24"/>
          <w:szCs w:val="24"/>
          <w:lang w:val="sr-Cyrl-RS"/>
        </w:rPr>
        <w:t xml:space="preserve"> (сектори високог ризика укључују пољопривреду, грађевинарство и транспорт). Земље са већим уделом запослених у </w:t>
      </w:r>
      <w:r w:rsidRPr="00AD60B6">
        <w:rPr>
          <w:rFonts w:ascii="Times New Roman" w:hAnsi="Times New Roman" w:cs="Times New Roman"/>
          <w:sz w:val="24"/>
          <w:szCs w:val="24"/>
          <w:lang w:val="sr-Cyrl-RS"/>
        </w:rPr>
        <w:lastRenderedPageBreak/>
        <w:t>таквим секторима по правилу имају и већу стопу учесталости и ако постоји исти степен примене мера предострожности.</w:t>
      </w:r>
      <w:r w:rsidRPr="00AD60B6">
        <w:rPr>
          <w:rStyle w:val="FootnoteReference"/>
          <w:rFonts w:ascii="Times New Roman" w:hAnsi="Times New Roman" w:cs="Times New Roman"/>
          <w:sz w:val="24"/>
          <w:szCs w:val="24"/>
          <w:lang w:val="sr-Cyrl-RS"/>
        </w:rPr>
        <w:footnoteReference w:id="16"/>
      </w:r>
    </w:p>
    <w:p w14:paraId="47F9BA96" w14:textId="19EDD18E" w:rsidR="00EC5D47" w:rsidRPr="00AD60B6" w:rsidRDefault="00EC5D47" w:rsidP="00DE4C26">
      <w:pPr>
        <w:spacing w:after="150"/>
        <w:ind w:firstLine="720"/>
        <w:jc w:val="both"/>
        <w:rPr>
          <w:rFonts w:ascii="Times New Roman" w:hAnsi="Times New Roman" w:cs="Times New Roman"/>
          <w:sz w:val="24"/>
          <w:szCs w:val="24"/>
          <w:lang w:val="sr-Cyrl-RS"/>
        </w:rPr>
      </w:pPr>
      <w:r w:rsidRPr="00AD60B6">
        <w:rPr>
          <w:rFonts w:ascii="Times New Roman" w:hAnsi="Times New Roman" w:cs="Times New Roman"/>
          <w:color w:val="000000"/>
          <w:sz w:val="24"/>
          <w:szCs w:val="24"/>
          <w:lang w:val="sr-Cyrl-RS"/>
        </w:rPr>
        <w:t xml:space="preserve">Коначно, неопходно је побољшати комуникације и размене информација између институција које се на било који начин баве пословима безбедности и здравља </w:t>
      </w:r>
      <w:r w:rsidRPr="00AD60B6">
        <w:rPr>
          <w:rFonts w:ascii="Times New Roman" w:hAnsi="Times New Roman" w:cs="Times New Roman"/>
          <w:sz w:val="24"/>
          <w:szCs w:val="24"/>
          <w:lang w:val="sr-Cyrl-RS"/>
        </w:rPr>
        <w:t>на раду.</w:t>
      </w:r>
    </w:p>
    <w:p w14:paraId="0FF41052" w14:textId="5D997BB0" w:rsidR="00DE4C26" w:rsidRDefault="00EC5D47" w:rsidP="00AA0507">
      <w:pPr>
        <w:spacing w:after="150"/>
        <w:ind w:firstLine="720"/>
        <w:jc w:val="both"/>
        <w:rPr>
          <w:rFonts w:ascii="Times New Roman" w:hAnsi="Times New Roman" w:cs="Times New Roman"/>
          <w:sz w:val="24"/>
          <w:szCs w:val="24"/>
          <w:lang w:val="sr-Cyrl-RS"/>
        </w:rPr>
      </w:pPr>
      <w:r w:rsidRPr="00AD60B6">
        <w:rPr>
          <w:rFonts w:ascii="Times New Roman" w:hAnsi="Times New Roman" w:cs="Times New Roman"/>
          <w:sz w:val="24"/>
          <w:szCs w:val="24"/>
        </w:rPr>
        <w:t xml:space="preserve">У наставку приказујемо анализу према делатностима и карактеристикама послодавца, на основу података Инспектората за рад и Управе за безбедност и </w:t>
      </w:r>
      <w:r w:rsidRPr="00AD60B6">
        <w:rPr>
          <w:rFonts w:ascii="Times New Roman" w:hAnsi="Times New Roman" w:cs="Times New Roman"/>
          <w:sz w:val="24"/>
          <w:szCs w:val="24"/>
          <w:lang w:val="sr-Cyrl-RS"/>
        </w:rPr>
        <w:t>здравље</w:t>
      </w:r>
      <w:r w:rsidRPr="00AD60B6">
        <w:rPr>
          <w:rFonts w:ascii="Times New Roman" w:hAnsi="Times New Roman" w:cs="Times New Roman"/>
          <w:sz w:val="24"/>
          <w:szCs w:val="24"/>
        </w:rPr>
        <w:t xml:space="preserve"> на раду која </w:t>
      </w:r>
      <w:r w:rsidRPr="00AD60B6">
        <w:rPr>
          <w:rFonts w:ascii="Times New Roman" w:hAnsi="Times New Roman" w:cs="Times New Roman"/>
          <w:sz w:val="24"/>
          <w:szCs w:val="24"/>
          <w:lang w:val="sr-Cyrl-RS"/>
        </w:rPr>
        <w:t>редовно спроводи анализе повреда (смртних и тешких повреда). Подаци се анализирају према следећим категоријама: 1) Делатност послодавца; 2) Број запослених; 3) Пол повређеног/е; 4) Старост повређеног/е; 5) Ниво квалификације; 6) Радна средина; 7) Процес рада; 8) Специфична физичка активност; 9) Извор повреде; 10) Контакт – начин повређивања; 11) Узрок повреде; 12) Врста повреде.</w:t>
      </w:r>
      <w:bookmarkStart w:id="14" w:name="_Toc126746521"/>
    </w:p>
    <w:p w14:paraId="5D6195D3" w14:textId="2ACCDAD6" w:rsidR="00EC5D47" w:rsidRPr="005E0A4D" w:rsidRDefault="00DE4C26" w:rsidP="00DE4C26">
      <w:pPr>
        <w:ind w:firstLine="720"/>
        <w:jc w:val="both"/>
        <w:rPr>
          <w:rFonts w:ascii="Times New Roman" w:hAnsi="Times New Roman" w:cs="Times New Roman"/>
          <w:b/>
          <w:sz w:val="24"/>
          <w:szCs w:val="24"/>
          <w:lang w:val="sr-Cyrl-RS"/>
        </w:rPr>
      </w:pPr>
      <w:r w:rsidRPr="005E0A4D">
        <w:rPr>
          <w:rFonts w:ascii="Times New Roman" w:hAnsi="Times New Roman" w:cs="Times New Roman"/>
          <w:b/>
          <w:sz w:val="24"/>
          <w:szCs w:val="24"/>
          <w:lang w:val="sr-Cyrl-RS"/>
        </w:rPr>
        <w:t xml:space="preserve">3.1.1. </w:t>
      </w:r>
      <w:r w:rsidR="00EC5D47" w:rsidRPr="005E0A4D">
        <w:rPr>
          <w:rFonts w:ascii="Times New Roman" w:hAnsi="Times New Roman" w:cs="Times New Roman"/>
          <w:b/>
          <w:sz w:val="24"/>
          <w:szCs w:val="24"/>
          <w:lang w:val="sr-Cyrl-RS"/>
        </w:rPr>
        <w:t>Анализа повреда на раду према делатности и карактеристикама послодавца</w:t>
      </w:r>
      <w:bookmarkEnd w:id="14"/>
    </w:p>
    <w:p w14:paraId="03BDA8EE" w14:textId="77777777" w:rsidR="00EC5D47" w:rsidRPr="00AD60B6" w:rsidRDefault="00EC5D47" w:rsidP="00DE4C26">
      <w:pPr>
        <w:ind w:firstLine="720"/>
        <w:jc w:val="both"/>
        <w:rPr>
          <w:rFonts w:ascii="Times New Roman" w:hAnsi="Times New Roman" w:cs="Times New Roman"/>
          <w:color w:val="000000"/>
          <w:sz w:val="24"/>
          <w:szCs w:val="24"/>
          <w:lang w:val="sr-Cyrl-RS"/>
        </w:rPr>
      </w:pPr>
      <w:r w:rsidRPr="002B693B">
        <w:rPr>
          <w:rFonts w:ascii="Times New Roman" w:hAnsi="Times New Roman" w:cs="Times New Roman"/>
          <w:sz w:val="24"/>
          <w:szCs w:val="24"/>
          <w:lang w:val="sr-Cyrl-RS"/>
        </w:rPr>
        <w:t>Према подацима Инспектората за рад, грађевинарств</w:t>
      </w:r>
      <w:r w:rsidRPr="002B693B">
        <w:rPr>
          <w:rFonts w:ascii="Times New Roman" w:hAnsi="Times New Roman" w:cs="Times New Roman"/>
          <w:sz w:val="24"/>
          <w:szCs w:val="24"/>
        </w:rPr>
        <w:t>о</w:t>
      </w:r>
      <w:r w:rsidRPr="002B693B">
        <w:rPr>
          <w:rFonts w:ascii="Times New Roman" w:hAnsi="Times New Roman" w:cs="Times New Roman"/>
          <w:sz w:val="24"/>
          <w:szCs w:val="24"/>
          <w:lang w:val="sr-Cyrl-RS"/>
        </w:rPr>
        <w:t xml:space="preserve"> је делатност са највећим бројем смртних  и тешких повреда на раду са смртним исходом. Наиме, грађевинарство је осим у 2018. представљало делатност са највећим бројем смртних исхода, при чему је  до значајног повећања учешћа дошло 2021. године, када је грађевинарства учествовало са више од половине броја настрадалих (54%) Поред грађевинарства, сектор индустрије </w:t>
      </w:r>
      <w:r w:rsidRPr="00AD60B6">
        <w:rPr>
          <w:rFonts w:ascii="Times New Roman" w:hAnsi="Times New Roman" w:cs="Times New Roman"/>
          <w:color w:val="000000"/>
          <w:sz w:val="24"/>
          <w:szCs w:val="24"/>
          <w:lang w:val="sr-Cyrl-RS"/>
        </w:rPr>
        <w:t>(16%), и пољопривреде, као и сектор саобраћаја остварују значајно учешће.</w:t>
      </w:r>
    </w:p>
    <w:p w14:paraId="1E066DCE" w14:textId="5CD675F6" w:rsidR="00EC5D47" w:rsidRPr="002B693B" w:rsidRDefault="00EC5D47" w:rsidP="00BC4C04">
      <w:pPr>
        <w:ind w:firstLine="720"/>
        <w:jc w:val="both"/>
        <w:rPr>
          <w:rFonts w:ascii="Times New Roman" w:hAnsi="Times New Roman" w:cs="Times New Roman"/>
          <w:b/>
          <w:i/>
          <w:sz w:val="24"/>
          <w:szCs w:val="24"/>
          <w:lang w:val="sr-Cyrl-RS"/>
        </w:rPr>
      </w:pPr>
      <w:r w:rsidRPr="002B693B">
        <w:rPr>
          <w:rFonts w:ascii="Times New Roman" w:hAnsi="Times New Roman" w:cs="Times New Roman"/>
          <w:b/>
          <w:i/>
          <w:sz w:val="24"/>
          <w:szCs w:val="24"/>
          <w:lang w:val="sr-Cyrl-RS"/>
        </w:rPr>
        <w:t xml:space="preserve">Графикон </w:t>
      </w:r>
      <w:r w:rsidRPr="002B693B">
        <w:rPr>
          <w:rFonts w:ascii="Times New Roman" w:hAnsi="Times New Roman" w:cs="Times New Roman"/>
          <w:b/>
          <w:i/>
          <w:sz w:val="24"/>
          <w:szCs w:val="24"/>
          <w:lang w:val="sr-Cyrl-RS"/>
        </w:rPr>
        <w:fldChar w:fldCharType="begin"/>
      </w:r>
      <w:r w:rsidRPr="002B693B">
        <w:rPr>
          <w:rFonts w:ascii="Times New Roman" w:hAnsi="Times New Roman" w:cs="Times New Roman"/>
          <w:b/>
          <w:i/>
          <w:sz w:val="24"/>
          <w:szCs w:val="24"/>
          <w:lang w:val="sr-Cyrl-RS"/>
        </w:rPr>
        <w:instrText xml:space="preserve"> SEQ Графикон \* ARABIC </w:instrText>
      </w:r>
      <w:r w:rsidRPr="002B693B">
        <w:rPr>
          <w:rFonts w:ascii="Times New Roman" w:hAnsi="Times New Roman" w:cs="Times New Roman"/>
          <w:b/>
          <w:i/>
          <w:sz w:val="24"/>
          <w:szCs w:val="24"/>
          <w:lang w:val="sr-Cyrl-RS"/>
        </w:rPr>
        <w:fldChar w:fldCharType="separate"/>
      </w:r>
      <w:r w:rsidRPr="002B693B">
        <w:rPr>
          <w:rFonts w:ascii="Times New Roman" w:hAnsi="Times New Roman" w:cs="Times New Roman"/>
          <w:b/>
          <w:i/>
          <w:noProof/>
          <w:sz w:val="24"/>
          <w:szCs w:val="24"/>
          <w:lang w:val="sr-Cyrl-RS"/>
        </w:rPr>
        <w:t>3</w:t>
      </w:r>
      <w:r w:rsidRPr="002B693B">
        <w:rPr>
          <w:rFonts w:ascii="Times New Roman" w:hAnsi="Times New Roman" w:cs="Times New Roman"/>
          <w:b/>
          <w:i/>
          <w:sz w:val="24"/>
          <w:szCs w:val="24"/>
          <w:lang w:val="sr-Cyrl-RS"/>
        </w:rPr>
        <w:fldChar w:fldCharType="end"/>
      </w:r>
      <w:r w:rsidR="00BC4C04" w:rsidRPr="002B693B">
        <w:rPr>
          <w:rFonts w:ascii="Times New Roman" w:hAnsi="Times New Roman" w:cs="Times New Roman"/>
          <w:b/>
          <w:i/>
          <w:sz w:val="24"/>
          <w:szCs w:val="24"/>
          <w:lang w:val="sr-Latn-RS"/>
        </w:rPr>
        <w:t>:</w:t>
      </w:r>
      <w:r w:rsidRPr="002B693B">
        <w:rPr>
          <w:rFonts w:ascii="Times New Roman" w:hAnsi="Times New Roman" w:cs="Times New Roman"/>
          <w:b/>
          <w:i/>
          <w:sz w:val="24"/>
          <w:szCs w:val="24"/>
          <w:lang w:val="sr-Cyrl-RS"/>
        </w:rPr>
        <w:t xml:space="preserve"> Учешће делатности у броју смртних и тешких повреда са смртним исходом</w:t>
      </w:r>
    </w:p>
    <w:p w14:paraId="77AF4C47" w14:textId="77777777" w:rsidR="00EC5D47" w:rsidRPr="00AD60B6" w:rsidRDefault="00EC5D47" w:rsidP="00EC5D47">
      <w:pPr>
        <w:spacing w:after="0"/>
        <w:jc w:val="both"/>
        <w:rPr>
          <w:rFonts w:ascii="Times New Roman" w:hAnsi="Times New Roman" w:cs="Times New Roman"/>
          <w:color w:val="000000"/>
          <w:sz w:val="24"/>
          <w:szCs w:val="24"/>
          <w:lang w:val="sr-Cyrl-RS"/>
        </w:rPr>
      </w:pPr>
      <w:r w:rsidRPr="00AD60B6">
        <w:rPr>
          <w:rFonts w:ascii="Times New Roman" w:hAnsi="Times New Roman" w:cs="Times New Roman"/>
          <w:noProof/>
          <w:sz w:val="24"/>
          <w:szCs w:val="24"/>
        </w:rPr>
        <w:drawing>
          <wp:inline distT="0" distB="0" distL="0" distR="0" wp14:anchorId="4C2A2C00" wp14:editId="08E6E61A">
            <wp:extent cx="5732145" cy="1995170"/>
            <wp:effectExtent l="0" t="0" r="1905" b="5080"/>
            <wp:docPr id="1" name="Chart 1">
              <a:extLst xmlns:a="http://schemas.openxmlformats.org/drawingml/2006/main">
                <a:ext uri="{FF2B5EF4-FFF2-40B4-BE49-F238E27FC236}">
                  <a16:creationId xmlns:a16="http://schemas.microsoft.com/office/drawing/2014/main" id="{62DE8A4C-B5EB-4879-E6DB-80D4FD669D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B0E34D5" w14:textId="77777777" w:rsidR="00EC5D47" w:rsidRPr="00AD60B6" w:rsidRDefault="00EC5D47" w:rsidP="00BC4C04">
      <w:pPr>
        <w:spacing w:after="150"/>
        <w:rPr>
          <w:rFonts w:ascii="Times New Roman" w:hAnsi="Times New Roman" w:cs="Times New Roman"/>
          <w:color w:val="000000"/>
          <w:sz w:val="24"/>
          <w:szCs w:val="24"/>
        </w:rPr>
      </w:pPr>
      <w:r w:rsidRPr="00BC4C04">
        <w:rPr>
          <w:rFonts w:ascii="Times New Roman" w:hAnsi="Times New Roman" w:cs="Times New Roman"/>
          <w:i/>
          <w:color w:val="000000"/>
          <w:sz w:val="24"/>
          <w:szCs w:val="24"/>
          <w:lang w:val="sr-Cyrl-RS"/>
        </w:rPr>
        <w:t xml:space="preserve">Извор: </w:t>
      </w:r>
      <w:r w:rsidRPr="00BC4C04">
        <w:rPr>
          <w:rFonts w:ascii="Times New Roman" w:hAnsi="Times New Roman" w:cs="Times New Roman"/>
          <w:i/>
          <w:iCs/>
          <w:color w:val="000000"/>
          <w:sz w:val="24"/>
          <w:szCs w:val="24"/>
          <w:lang w:val="sr-Cyrl-RS"/>
        </w:rPr>
        <w:t>Извештаји</w:t>
      </w:r>
      <w:r w:rsidRPr="00AD60B6">
        <w:rPr>
          <w:rFonts w:ascii="Times New Roman" w:hAnsi="Times New Roman" w:cs="Times New Roman"/>
          <w:i/>
          <w:iCs/>
          <w:color w:val="000000"/>
          <w:sz w:val="24"/>
          <w:szCs w:val="24"/>
          <w:lang w:val="sr-Cyrl-RS"/>
        </w:rPr>
        <w:t xml:space="preserve"> Инспектората</w:t>
      </w:r>
      <w:r w:rsidRPr="00AD60B6">
        <w:rPr>
          <w:rFonts w:ascii="Times New Roman" w:hAnsi="Times New Roman" w:cs="Times New Roman"/>
          <w:i/>
          <w:iCs/>
          <w:color w:val="000000"/>
          <w:sz w:val="24"/>
          <w:szCs w:val="24"/>
        </w:rPr>
        <w:t xml:space="preserve"> </w:t>
      </w:r>
      <w:r w:rsidRPr="00AD60B6">
        <w:rPr>
          <w:rFonts w:ascii="Times New Roman" w:hAnsi="Times New Roman" w:cs="Times New Roman"/>
          <w:i/>
          <w:iCs/>
          <w:color w:val="000000"/>
          <w:sz w:val="24"/>
          <w:szCs w:val="24"/>
          <w:lang w:val="sr-Cyrl-RS"/>
        </w:rPr>
        <w:t xml:space="preserve">за </w:t>
      </w:r>
      <w:r w:rsidRPr="00AD60B6">
        <w:rPr>
          <w:rFonts w:ascii="Times New Roman" w:hAnsi="Times New Roman" w:cs="Times New Roman"/>
          <w:i/>
          <w:iCs/>
          <w:color w:val="000000"/>
          <w:sz w:val="24"/>
          <w:szCs w:val="24"/>
        </w:rPr>
        <w:t xml:space="preserve">рад </w:t>
      </w:r>
      <w:r w:rsidRPr="00AD60B6">
        <w:rPr>
          <w:rFonts w:ascii="Times New Roman" w:hAnsi="Times New Roman" w:cs="Times New Roman"/>
          <w:i/>
          <w:iCs/>
          <w:color w:val="000000"/>
          <w:sz w:val="24"/>
          <w:szCs w:val="24"/>
          <w:lang w:val="sr-Cyrl-RS"/>
        </w:rPr>
        <w:t>2018-202</w:t>
      </w:r>
      <w:r w:rsidRPr="00AD60B6">
        <w:rPr>
          <w:rFonts w:ascii="Times New Roman" w:hAnsi="Times New Roman" w:cs="Times New Roman"/>
          <w:i/>
          <w:iCs/>
          <w:color w:val="000000"/>
          <w:sz w:val="24"/>
          <w:szCs w:val="24"/>
        </w:rPr>
        <w:t>2.</w:t>
      </w:r>
    </w:p>
    <w:p w14:paraId="0B0D9EBB" w14:textId="77777777" w:rsidR="00EC5D47" w:rsidRPr="00AD60B6" w:rsidRDefault="00EC5D47" w:rsidP="00DE4C26">
      <w:pPr>
        <w:ind w:firstLine="720"/>
        <w:jc w:val="both"/>
        <w:rPr>
          <w:rFonts w:ascii="Times New Roman" w:hAnsi="Times New Roman" w:cs="Times New Roman"/>
          <w:color w:val="000000"/>
          <w:sz w:val="24"/>
          <w:szCs w:val="24"/>
          <w:lang w:val="sr-Cyrl-RS"/>
        </w:rPr>
      </w:pPr>
      <w:r w:rsidRPr="00AD60B6">
        <w:rPr>
          <w:rFonts w:ascii="Times New Roman" w:hAnsi="Times New Roman" w:cs="Times New Roman"/>
          <w:color w:val="000000"/>
          <w:sz w:val="24"/>
          <w:szCs w:val="24"/>
          <w:lang w:val="sr-Cyrl-RS"/>
        </w:rPr>
        <w:t xml:space="preserve">Сектор грађевинарства се издваја према свом значају. Процеси изградње су сложени и отворени системи које одликује велики број различитих врста ресурса при чему њихова интеракција као и интеракција система са околином генерише учесталу појаву ризика </w:t>
      </w:r>
      <w:r w:rsidRPr="00543B49">
        <w:rPr>
          <w:rFonts w:ascii="Times New Roman" w:hAnsi="Times New Roman" w:cs="Times New Roman"/>
          <w:sz w:val="24"/>
          <w:szCs w:val="24"/>
          <w:lang w:val="sr-Cyrl-RS"/>
        </w:rPr>
        <w:t xml:space="preserve">по безбедност и здравље на раду са потенцијално великим последицама. Ризици уочени на једном градилишту могу само делимично појавити и на другом у идентичном облику док се преостали ризици морају изнова разматрати. За разлику од осталих индустрија, производ грађевинског процеса је стационаран и најчешће уникатан. Посебан проблем у грађевинарству представљају привремене организационе </w:t>
      </w:r>
      <w:r w:rsidRPr="00543B49">
        <w:rPr>
          <w:rFonts w:ascii="Times New Roman" w:hAnsi="Times New Roman" w:cs="Times New Roman"/>
          <w:sz w:val="24"/>
          <w:szCs w:val="24"/>
          <w:lang w:val="sr-Cyrl-RS"/>
        </w:rPr>
        <w:lastRenderedPageBreak/>
        <w:t xml:space="preserve">структуре односно чињеница да се на грађевинским пројектима мењају предузећа која међусобно сарађују као и подизвођачи што отежава имплементацију процедура безбедности и здравља на раду </w:t>
      </w:r>
      <w:r w:rsidRPr="00543B49">
        <w:rPr>
          <w:rFonts w:ascii="Times New Roman" w:hAnsi="Times New Roman" w:cs="Times New Roman"/>
          <w:sz w:val="24"/>
          <w:szCs w:val="24"/>
        </w:rPr>
        <w:t xml:space="preserve">и </w:t>
      </w:r>
      <w:r w:rsidRPr="00543B49">
        <w:rPr>
          <w:rFonts w:ascii="Times New Roman" w:hAnsi="Times New Roman" w:cs="Times New Roman"/>
          <w:sz w:val="24"/>
          <w:szCs w:val="24"/>
          <w:lang w:val="sr-Cyrl-RS"/>
        </w:rPr>
        <w:t xml:space="preserve">повећава потребу за комуникацијом између учесника у процесу грађења, консултовањем радника, као </w:t>
      </w:r>
      <w:r w:rsidRPr="00AD60B6">
        <w:rPr>
          <w:rFonts w:ascii="Times New Roman" w:hAnsi="Times New Roman" w:cs="Times New Roman"/>
          <w:color w:val="000000"/>
          <w:sz w:val="24"/>
          <w:szCs w:val="24"/>
          <w:lang w:val="sr-Cyrl-RS"/>
        </w:rPr>
        <w:t>и потребу за интензивнијим контролама других субјеката од стране главних извођача радова.</w:t>
      </w:r>
      <w:r w:rsidRPr="00AD60B6">
        <w:rPr>
          <w:rFonts w:ascii="Times New Roman" w:hAnsi="Times New Roman" w:cs="Times New Roman"/>
          <w:color w:val="000000"/>
          <w:sz w:val="24"/>
          <w:szCs w:val="24"/>
        </w:rPr>
        <w:t xml:space="preserve"> У студији о безбедности на раду у грађевинском сектору констатовано је да у већини грађевинских фирми</w:t>
      </w:r>
      <w:r w:rsidRPr="00AD60B6">
        <w:rPr>
          <w:rFonts w:ascii="Times New Roman" w:hAnsi="Times New Roman" w:cs="Times New Roman"/>
          <w:color w:val="000000"/>
          <w:sz w:val="24"/>
          <w:szCs w:val="24"/>
          <w:lang w:val="sr-Cyrl-RS"/>
        </w:rPr>
        <w:t xml:space="preserve"> </w:t>
      </w:r>
      <w:r w:rsidRPr="00AD60B6">
        <w:rPr>
          <w:rFonts w:ascii="Times New Roman" w:hAnsi="Times New Roman" w:cs="Times New Roman"/>
          <w:color w:val="000000"/>
          <w:sz w:val="24"/>
          <w:szCs w:val="24"/>
        </w:rPr>
        <w:t>не функционишу одбори за безбедност и здравље на раду, тако да послодавци не спроводе процену ризика у складу са релевантним правилником или то чине формално без предузимања потребних корака како би смањили процењени ризик.</w:t>
      </w:r>
      <w:r w:rsidRPr="00AD60B6">
        <w:rPr>
          <w:rStyle w:val="FootnoteReference"/>
          <w:rFonts w:ascii="Times New Roman" w:hAnsi="Times New Roman" w:cs="Times New Roman"/>
          <w:color w:val="000000"/>
          <w:sz w:val="24"/>
          <w:szCs w:val="24"/>
          <w:lang w:val="sr-Cyrl-RS"/>
        </w:rPr>
        <w:footnoteReference w:id="17"/>
      </w:r>
    </w:p>
    <w:p w14:paraId="248F2D20" w14:textId="3358D5BE" w:rsidR="00EC5D47" w:rsidRPr="00AD60B6" w:rsidRDefault="00EC5D47" w:rsidP="005E0A4D">
      <w:pPr>
        <w:pStyle w:val="CommentText"/>
        <w:ind w:firstLine="720"/>
        <w:jc w:val="both"/>
        <w:rPr>
          <w:rFonts w:ascii="Times New Roman" w:hAnsi="Times New Roman" w:cs="Times New Roman"/>
          <w:sz w:val="24"/>
          <w:szCs w:val="24"/>
          <w:lang w:val="sr-Cyrl-RS"/>
        </w:rPr>
      </w:pPr>
      <w:r w:rsidRPr="00AD60B6">
        <w:rPr>
          <w:rFonts w:ascii="Times New Roman" w:hAnsi="Times New Roman" w:cs="Times New Roman"/>
          <w:color w:val="000000"/>
          <w:sz w:val="24"/>
          <w:szCs w:val="24"/>
          <w:lang w:val="sr-Cyrl-RS"/>
        </w:rPr>
        <w:t xml:space="preserve">Истраживањем броја повреда и смртних случајева у оквиру Европске уније утврђено је да са повећањем величине предузећа расте и квалитет безбедности и здравља на </w:t>
      </w:r>
      <w:r w:rsidRPr="00543B49">
        <w:rPr>
          <w:rFonts w:ascii="Times New Roman" w:hAnsi="Times New Roman" w:cs="Times New Roman"/>
          <w:sz w:val="24"/>
          <w:szCs w:val="24"/>
          <w:lang w:val="sr-Cyrl-RS"/>
        </w:rPr>
        <w:t>раду с обзиром да иста располажу већим финансијским средствима за имплемен</w:t>
      </w:r>
      <w:r w:rsidR="005E0A4D" w:rsidRPr="00543B49">
        <w:rPr>
          <w:rFonts w:ascii="Times New Roman" w:hAnsi="Times New Roman" w:cs="Times New Roman"/>
          <w:sz w:val="24"/>
          <w:szCs w:val="24"/>
          <w:lang w:val="sr-Cyrl-RS"/>
        </w:rPr>
        <w:t xml:space="preserve">тирање активних и пасивних мера </w:t>
      </w:r>
      <w:r w:rsidRPr="00543B49">
        <w:rPr>
          <w:rFonts w:ascii="Times New Roman" w:hAnsi="Times New Roman" w:cs="Times New Roman"/>
          <w:sz w:val="24"/>
          <w:szCs w:val="24"/>
          <w:lang w:val="sr-Cyrl-RS"/>
        </w:rPr>
        <w:t xml:space="preserve">и унапређење комплетног </w:t>
      </w:r>
      <w:r w:rsidR="005E0A4D" w:rsidRPr="00543B49">
        <w:rPr>
          <w:rFonts w:ascii="Times New Roman" w:hAnsi="Times New Roman" w:cs="Times New Roman"/>
          <w:sz w:val="24"/>
          <w:szCs w:val="24"/>
          <w:lang w:val="sr-Cyrl-RS"/>
        </w:rPr>
        <w:t xml:space="preserve">система </w:t>
      </w:r>
      <w:r w:rsidRPr="00543B49">
        <w:rPr>
          <w:rFonts w:ascii="Times New Roman" w:hAnsi="Times New Roman" w:cs="Times New Roman"/>
          <w:sz w:val="24"/>
          <w:szCs w:val="24"/>
          <w:lang w:val="sr-Cyrl-RS"/>
        </w:rPr>
        <w:t>безбедности и здравља на раду.</w:t>
      </w:r>
      <w:r w:rsidRPr="00543B49">
        <w:rPr>
          <w:rStyle w:val="FootnoteReference"/>
          <w:rFonts w:ascii="Times New Roman" w:hAnsi="Times New Roman" w:cs="Times New Roman"/>
          <w:sz w:val="24"/>
          <w:szCs w:val="24"/>
          <w:lang w:val="sr-Cyrl-RS"/>
        </w:rPr>
        <w:footnoteReference w:id="18"/>
      </w:r>
      <w:r w:rsidRPr="00543B49">
        <w:rPr>
          <w:rFonts w:ascii="Times New Roman" w:hAnsi="Times New Roman" w:cs="Times New Roman"/>
          <w:sz w:val="24"/>
          <w:szCs w:val="24"/>
          <w:lang w:val="sr-Cyrl-RS"/>
        </w:rPr>
        <w:t xml:space="preserve"> Међутим, највећи удео у структури грађевинских предузећа Србије имају микро и мала предузећа. Уколико се анализирају Извештаји </w:t>
      </w:r>
      <w:r w:rsidRPr="00543B49">
        <w:rPr>
          <w:rFonts w:ascii="Times New Roman" w:hAnsi="Times New Roman" w:cs="Times New Roman"/>
          <w:sz w:val="24"/>
          <w:szCs w:val="24"/>
        </w:rPr>
        <w:t xml:space="preserve">о </w:t>
      </w:r>
      <w:r w:rsidRPr="00543B49">
        <w:rPr>
          <w:rFonts w:ascii="Times New Roman" w:hAnsi="Times New Roman" w:cs="Times New Roman"/>
          <w:sz w:val="24"/>
          <w:szCs w:val="24"/>
          <w:lang w:val="sr-Cyrl-RS"/>
        </w:rPr>
        <w:t xml:space="preserve">раду Инспектората за рад Републике Србије могуће је уочити да је највише смртних повреда на раду у сектору грађевинарства забележено </w:t>
      </w:r>
      <w:r w:rsidRPr="00AD60B6">
        <w:rPr>
          <w:rFonts w:ascii="Times New Roman" w:hAnsi="Times New Roman" w:cs="Times New Roman"/>
          <w:sz w:val="24"/>
          <w:szCs w:val="24"/>
          <w:lang w:val="sr-Cyrl-RS"/>
        </w:rPr>
        <w:t>код послодаваца који се карактеришу као микро односно имају од 1 до 9 запослених. У периоду од 2019 до 2021. године у овим предузећима је смртно страдало 18 лица од 47 забележених.</w:t>
      </w:r>
    </w:p>
    <w:p w14:paraId="586A6949" w14:textId="1864CBA0" w:rsidR="007F3EC4" w:rsidRPr="00AA0507" w:rsidRDefault="00EC5D47" w:rsidP="005C64DC">
      <w:pPr>
        <w:ind w:firstLine="720"/>
        <w:jc w:val="both"/>
        <w:rPr>
          <w:rFonts w:ascii="Times New Roman" w:hAnsi="Times New Roman" w:cs="Times New Roman"/>
          <w:color w:val="000000"/>
          <w:sz w:val="24"/>
          <w:szCs w:val="24"/>
          <w:lang w:val="sr-Cyrl-RS"/>
        </w:rPr>
      </w:pPr>
      <w:r w:rsidRPr="00AD60B6">
        <w:rPr>
          <w:rFonts w:ascii="Times New Roman" w:hAnsi="Times New Roman" w:cs="Times New Roman"/>
          <w:sz w:val="24"/>
          <w:szCs w:val="24"/>
          <w:lang w:val="sr-Cyrl-RS"/>
        </w:rPr>
        <w:t xml:space="preserve">Предузећа која се класификују </w:t>
      </w:r>
      <w:r w:rsidRPr="00AD60B6">
        <w:rPr>
          <w:rFonts w:ascii="Times New Roman" w:hAnsi="Times New Roman" w:cs="Times New Roman"/>
          <w:color w:val="000000"/>
          <w:sz w:val="24"/>
          <w:szCs w:val="24"/>
          <w:lang w:val="sr-Cyrl-RS"/>
        </w:rPr>
        <w:t>као велика, тј. предузећа која су више од 25 пута већа по броју запослених у односу на микро предузећа, бележе 5 пута мањи број повреда</w:t>
      </w:r>
      <w:r w:rsidRPr="00AD60B6">
        <w:rPr>
          <w:rFonts w:ascii="Times New Roman" w:hAnsi="Times New Roman" w:cs="Times New Roman"/>
          <w:color w:val="000000"/>
          <w:sz w:val="24"/>
          <w:szCs w:val="24"/>
        </w:rPr>
        <w:t xml:space="preserve">, </w:t>
      </w:r>
      <w:r w:rsidRPr="00AD60B6">
        <w:rPr>
          <w:rFonts w:ascii="Times New Roman" w:hAnsi="Times New Roman" w:cs="Times New Roman"/>
          <w:color w:val="000000"/>
          <w:sz w:val="24"/>
          <w:szCs w:val="24"/>
          <w:lang w:val="sr-Cyrl-RS"/>
        </w:rPr>
        <w:t>шт</w:t>
      </w:r>
      <w:r w:rsidRPr="00AD60B6">
        <w:rPr>
          <w:rFonts w:ascii="Times New Roman" w:hAnsi="Times New Roman" w:cs="Times New Roman"/>
          <w:color w:val="000000"/>
          <w:sz w:val="24"/>
          <w:szCs w:val="24"/>
        </w:rPr>
        <w:t>о</w:t>
      </w:r>
      <w:r w:rsidRPr="00AD60B6">
        <w:rPr>
          <w:rFonts w:ascii="Times New Roman" w:hAnsi="Times New Roman" w:cs="Times New Roman"/>
          <w:color w:val="000000"/>
          <w:sz w:val="24"/>
          <w:szCs w:val="24"/>
          <w:lang w:val="sr-Cyrl-RS"/>
        </w:rPr>
        <w:t xml:space="preserve"> указује на </w:t>
      </w:r>
      <w:r w:rsidRPr="00AD60B6">
        <w:rPr>
          <w:rFonts w:ascii="Times New Roman" w:hAnsi="Times New Roman" w:cs="Times New Roman"/>
          <w:bCs/>
          <w:color w:val="000000"/>
          <w:sz w:val="24"/>
          <w:szCs w:val="24"/>
          <w:lang w:val="sr-Cyrl-RS"/>
        </w:rPr>
        <w:t>потребу да се формира системска подршка за микро и мала предузећа у оквиру грађевинске индустрије</w:t>
      </w:r>
      <w:r w:rsidRPr="00AD60B6">
        <w:rPr>
          <w:rFonts w:ascii="Times New Roman" w:hAnsi="Times New Roman" w:cs="Times New Roman"/>
          <w:bCs/>
          <w:color w:val="000000"/>
          <w:sz w:val="24"/>
          <w:szCs w:val="24"/>
        </w:rPr>
        <w:t>, али и за друге секторе привреде</w:t>
      </w:r>
      <w:r w:rsidRPr="00AD60B6">
        <w:rPr>
          <w:rFonts w:ascii="Times New Roman" w:hAnsi="Times New Roman" w:cs="Times New Roman"/>
          <w:color w:val="000000"/>
          <w:sz w:val="24"/>
          <w:szCs w:val="24"/>
          <w:lang w:val="sr-Cyrl-RS"/>
        </w:rPr>
        <w:t>.</w:t>
      </w:r>
      <w:bookmarkStart w:id="15" w:name="_Toc126746522"/>
    </w:p>
    <w:p w14:paraId="089B35C3" w14:textId="78B542DA" w:rsidR="00EC5D47" w:rsidRPr="005E0A4D" w:rsidRDefault="005E0A4D" w:rsidP="005E0A4D">
      <w:pPr>
        <w:ind w:firstLine="720"/>
        <w:jc w:val="both"/>
        <w:rPr>
          <w:rFonts w:ascii="Times New Roman" w:hAnsi="Times New Roman" w:cs="Times New Roman"/>
          <w:b/>
          <w:sz w:val="24"/>
          <w:szCs w:val="24"/>
          <w:lang w:val="sr-Cyrl-RS"/>
        </w:rPr>
      </w:pPr>
      <w:r w:rsidRPr="005E0A4D">
        <w:rPr>
          <w:rFonts w:ascii="Times New Roman" w:hAnsi="Times New Roman" w:cs="Times New Roman"/>
          <w:b/>
          <w:sz w:val="24"/>
          <w:szCs w:val="24"/>
          <w:lang w:val="sr-Cyrl-RS"/>
        </w:rPr>
        <w:t xml:space="preserve">3.1.2. </w:t>
      </w:r>
      <w:r w:rsidR="00EC5D47" w:rsidRPr="005E0A4D">
        <w:rPr>
          <w:rFonts w:ascii="Times New Roman" w:hAnsi="Times New Roman" w:cs="Times New Roman"/>
          <w:b/>
          <w:sz w:val="24"/>
          <w:szCs w:val="24"/>
          <w:lang w:val="sr-Cyrl-RS"/>
        </w:rPr>
        <w:t xml:space="preserve">Анализа повреда на раду према </w:t>
      </w:r>
      <w:r w:rsidR="00EC5D47" w:rsidRPr="005E0A4D">
        <w:rPr>
          <w:rFonts w:ascii="Times New Roman" w:hAnsi="Times New Roman" w:cs="Times New Roman"/>
          <w:b/>
          <w:sz w:val="24"/>
          <w:szCs w:val="24"/>
        </w:rPr>
        <w:t>узроцима</w:t>
      </w:r>
      <w:bookmarkEnd w:id="15"/>
    </w:p>
    <w:p w14:paraId="456A26F2" w14:textId="204D41A1" w:rsidR="00EC5D47" w:rsidRPr="00521792" w:rsidRDefault="00EC5D47" w:rsidP="005E0A4D">
      <w:pPr>
        <w:spacing w:line="256" w:lineRule="auto"/>
        <w:ind w:firstLine="720"/>
        <w:jc w:val="both"/>
        <w:rPr>
          <w:rFonts w:ascii="Times New Roman" w:hAnsi="Times New Roman" w:cs="Times New Roman"/>
          <w:sz w:val="24"/>
          <w:szCs w:val="24"/>
          <w:lang w:val="sr-Cyrl-RS"/>
        </w:rPr>
      </w:pPr>
      <w:r w:rsidRPr="00AD60B6">
        <w:rPr>
          <w:rFonts w:ascii="Times New Roman" w:hAnsi="Times New Roman" w:cs="Times New Roman"/>
          <w:color w:val="000000"/>
          <w:sz w:val="24"/>
          <w:szCs w:val="24"/>
          <w:lang w:val="sr-Cyrl-RS"/>
        </w:rPr>
        <w:t xml:space="preserve">Инспекцијским надзорима у области безбедности и здравља на раду, утврђено је да послодавци у </w:t>
      </w:r>
      <w:r w:rsidRPr="00521792">
        <w:rPr>
          <w:rFonts w:ascii="Times New Roman" w:hAnsi="Times New Roman" w:cs="Times New Roman"/>
          <w:sz w:val="24"/>
          <w:szCs w:val="24"/>
          <w:lang w:val="sr-Cyrl-RS"/>
        </w:rPr>
        <w:t>потпуности не спроводе одредбе Закона о безбедности и здрављу на раду и подзаконских прописа. Анализом извештаја Инспектората за рад у периоду примене претходне стратегије, неколико узрока и околности најче</w:t>
      </w:r>
      <w:r w:rsidR="005E0A4D" w:rsidRPr="00521792">
        <w:rPr>
          <w:rFonts w:ascii="Times New Roman" w:hAnsi="Times New Roman" w:cs="Times New Roman"/>
          <w:sz w:val="24"/>
          <w:szCs w:val="24"/>
          <w:lang w:val="sr-Cyrl-RS"/>
        </w:rPr>
        <w:t xml:space="preserve">шће је проузроковало повреде са </w:t>
      </w:r>
      <w:r w:rsidRPr="00521792">
        <w:rPr>
          <w:rFonts w:ascii="Times New Roman" w:hAnsi="Times New Roman" w:cs="Times New Roman"/>
          <w:sz w:val="24"/>
          <w:szCs w:val="24"/>
          <w:lang w:val="sr-Cyrl-RS"/>
        </w:rPr>
        <w:t>смртним</w:t>
      </w:r>
      <w:r w:rsidR="005E0A4D" w:rsidRPr="00521792">
        <w:rPr>
          <w:rFonts w:ascii="Times New Roman" w:hAnsi="Times New Roman" w:cs="Times New Roman"/>
          <w:sz w:val="24"/>
          <w:szCs w:val="24"/>
          <w:lang w:val="sr-Cyrl-RS"/>
        </w:rPr>
        <w:t xml:space="preserve"> последицама</w:t>
      </w:r>
      <w:r w:rsidRPr="00521792">
        <w:rPr>
          <w:rFonts w:ascii="Times New Roman" w:hAnsi="Times New Roman" w:cs="Times New Roman"/>
          <w:sz w:val="24"/>
          <w:szCs w:val="24"/>
          <w:lang w:val="sr-Cyrl-RS"/>
        </w:rPr>
        <w:t>: 1) небезбедан рад на висини и на непрописно монтираним скелама; 2) некоришћење прописаних средстава и опреме за личну заштиту на раду првенствено рад без заштитног шлема и заштитног опасача; 3) рад у непрописно обезбеђеним ископима; 4) не примењивање основних начела организације извођења радова; 5) одступање од прописаног и утврђеног процеса рада; 6) непрописна сарадња (координација) учесника у раду; 7) непрописан рад са опремом за рад; 8) неоспособљеност ангажованих на раду за безбедан рад; 9) непотпуно спровођење мера безбедности и здравља на раду на местима рада; 10) ангажовање знатног броја необучених ли</w:t>
      </w:r>
      <w:r w:rsidR="00E23C1D" w:rsidRPr="00521792">
        <w:rPr>
          <w:rFonts w:ascii="Times New Roman" w:hAnsi="Times New Roman" w:cs="Times New Roman"/>
          <w:sz w:val="24"/>
          <w:szCs w:val="24"/>
          <w:lang w:val="sr-Cyrl-RS"/>
        </w:rPr>
        <w:t>ца која раде на „црно</w:t>
      </w:r>
      <w:r w:rsidR="00E23C1D" w:rsidRPr="00521792">
        <w:rPr>
          <w:rFonts w:ascii="Times New Roman" w:hAnsi="Times New Roman" w:cs="Times New Roman"/>
          <w:sz w:val="24"/>
          <w:szCs w:val="24"/>
          <w:lang w:val="sr-Cyrl-CS"/>
        </w:rPr>
        <w:t>”</w:t>
      </w:r>
      <w:r w:rsidRPr="00521792">
        <w:rPr>
          <w:rFonts w:ascii="Times New Roman" w:hAnsi="Times New Roman" w:cs="Times New Roman"/>
          <w:sz w:val="24"/>
          <w:szCs w:val="24"/>
          <w:lang w:val="sr-Cyrl-RS"/>
        </w:rPr>
        <w:t>.</w:t>
      </w:r>
    </w:p>
    <w:p w14:paraId="6951A785" w14:textId="13E5B896" w:rsidR="005E0A4D" w:rsidRPr="005C64DC" w:rsidRDefault="00EC5D47" w:rsidP="00AA0507">
      <w:pPr>
        <w:ind w:firstLine="720"/>
        <w:jc w:val="both"/>
        <w:rPr>
          <w:rFonts w:ascii="Times New Roman" w:hAnsi="Times New Roman" w:cs="Times New Roman"/>
          <w:color w:val="000000"/>
          <w:sz w:val="24"/>
          <w:szCs w:val="24"/>
        </w:rPr>
      </w:pPr>
      <w:r w:rsidRPr="00521792">
        <w:rPr>
          <w:rFonts w:ascii="Times New Roman" w:hAnsi="Times New Roman" w:cs="Times New Roman"/>
          <w:sz w:val="24"/>
          <w:szCs w:val="24"/>
          <w:lang w:val="sr-Cyrl-RS"/>
        </w:rPr>
        <w:t xml:space="preserve">Најчешћи узроци повреда представљају; ломљење, пуцање, раздвајање, клизање, пад лица и пад материјала или предмета; губитак контроле над машином, превозним средством или при руковању опремом, ручним алатом, предметом и животињом и клизање, спотицање и пад лица. Посебно су угрожена занимања грађевински радници </w:t>
      </w:r>
      <w:r w:rsidRPr="005C64DC">
        <w:rPr>
          <w:rFonts w:ascii="Times New Roman" w:hAnsi="Times New Roman" w:cs="Times New Roman"/>
          <w:color w:val="000000"/>
          <w:sz w:val="24"/>
          <w:szCs w:val="24"/>
        </w:rPr>
        <w:t xml:space="preserve">различитих профила - НК радници, армирачи, тесари, зидари, возачи (аутовиљушкара, </w:t>
      </w:r>
      <w:r w:rsidRPr="005C64DC">
        <w:rPr>
          <w:rFonts w:ascii="Times New Roman" w:hAnsi="Times New Roman" w:cs="Times New Roman"/>
          <w:color w:val="000000"/>
          <w:sz w:val="24"/>
          <w:szCs w:val="24"/>
        </w:rPr>
        <w:lastRenderedPageBreak/>
        <w:t>теретних моторних возила), аутомеханичари, помоћни радници, електромонтери, бравари - заваривачи и руковаоци дизалицама - крановима.</w:t>
      </w:r>
      <w:bookmarkStart w:id="16" w:name="_Toc126746523"/>
    </w:p>
    <w:p w14:paraId="00B4C5C5" w14:textId="41DA2887" w:rsidR="00EC5D47" w:rsidRPr="005C64DC" w:rsidRDefault="005E0A4D" w:rsidP="005E0A4D">
      <w:pPr>
        <w:ind w:firstLine="720"/>
        <w:jc w:val="both"/>
        <w:rPr>
          <w:rFonts w:ascii="Times New Roman" w:hAnsi="Times New Roman" w:cs="Times New Roman"/>
          <w:b/>
          <w:color w:val="000000"/>
          <w:sz w:val="24"/>
          <w:szCs w:val="24"/>
        </w:rPr>
      </w:pPr>
      <w:r w:rsidRPr="005C64DC">
        <w:rPr>
          <w:rFonts w:ascii="Times New Roman" w:hAnsi="Times New Roman" w:cs="Times New Roman"/>
          <w:b/>
          <w:color w:val="000000"/>
          <w:sz w:val="24"/>
          <w:szCs w:val="24"/>
        </w:rPr>
        <w:t xml:space="preserve">3.1.3. </w:t>
      </w:r>
      <w:r w:rsidR="00EC5D47" w:rsidRPr="005C64DC">
        <w:rPr>
          <w:rFonts w:ascii="Times New Roman" w:hAnsi="Times New Roman" w:cs="Times New Roman"/>
          <w:b/>
          <w:color w:val="000000"/>
          <w:sz w:val="24"/>
          <w:szCs w:val="24"/>
        </w:rPr>
        <w:t>Анализа повреда на раду према карактеристикама запослених</w:t>
      </w:r>
      <w:bookmarkEnd w:id="16"/>
    </w:p>
    <w:p w14:paraId="3CFD7254" w14:textId="63E276C2" w:rsidR="00BE6C77" w:rsidRPr="00AD60B6" w:rsidRDefault="00EC5D47" w:rsidP="005C64DC">
      <w:pPr>
        <w:ind w:firstLine="720"/>
        <w:jc w:val="both"/>
        <w:rPr>
          <w:rFonts w:ascii="Times New Roman" w:hAnsi="Times New Roman" w:cs="Times New Roman"/>
          <w:color w:val="000000"/>
          <w:sz w:val="24"/>
          <w:szCs w:val="24"/>
          <w:lang w:val="sr-Cyrl-RS"/>
        </w:rPr>
      </w:pPr>
      <w:r w:rsidRPr="005C64DC">
        <w:rPr>
          <w:rFonts w:ascii="Times New Roman" w:hAnsi="Times New Roman" w:cs="Times New Roman"/>
          <w:color w:val="000000"/>
          <w:sz w:val="24"/>
          <w:szCs w:val="24"/>
        </w:rPr>
        <w:t>Како Инспекторат за рад Републике Србије наводи у својим Извештајима о раду</w:t>
      </w:r>
      <w:r w:rsidRPr="00521792">
        <w:rPr>
          <w:rFonts w:ascii="Times New Roman" w:hAnsi="Times New Roman" w:cs="Times New Roman"/>
          <w:sz w:val="24"/>
          <w:szCs w:val="24"/>
          <w:lang w:val="sr-Cyrl-RS"/>
        </w:rPr>
        <w:t xml:space="preserve"> </w:t>
      </w:r>
      <w:proofErr w:type="gramStart"/>
      <w:r w:rsidRPr="00521792">
        <w:rPr>
          <w:rFonts w:ascii="Times New Roman" w:hAnsi="Times New Roman" w:cs="Times New Roman"/>
          <w:sz w:val="24"/>
          <w:szCs w:val="24"/>
          <w:lang w:val="sr-Cyrl-RS"/>
        </w:rPr>
        <w:t>за  период</w:t>
      </w:r>
      <w:proofErr w:type="gramEnd"/>
      <w:r w:rsidRPr="00521792">
        <w:rPr>
          <w:rFonts w:ascii="Times New Roman" w:hAnsi="Times New Roman" w:cs="Times New Roman"/>
          <w:sz w:val="24"/>
          <w:szCs w:val="24"/>
          <w:lang w:val="sr-Cyrl-RS"/>
        </w:rPr>
        <w:t xml:space="preserve"> од 2018 до 2022. године приликом вршења инспекцијског надзора, и</w:t>
      </w:r>
      <w:r w:rsidR="00E23C1D" w:rsidRPr="00521792">
        <w:rPr>
          <w:rFonts w:ascii="Times New Roman" w:hAnsi="Times New Roman" w:cs="Times New Roman"/>
          <w:sz w:val="24"/>
          <w:szCs w:val="24"/>
          <w:lang w:val="sr-Cyrl-RS"/>
        </w:rPr>
        <w:t>нспектори рада на раду „на црно</w:t>
      </w:r>
      <w:r w:rsidR="00E23C1D" w:rsidRPr="00521792">
        <w:rPr>
          <w:rFonts w:ascii="Times New Roman" w:hAnsi="Times New Roman" w:cs="Times New Roman"/>
          <w:sz w:val="24"/>
          <w:szCs w:val="24"/>
          <w:lang w:val="sr-Cyrl-CS"/>
        </w:rPr>
        <w:t>”</w:t>
      </w:r>
      <w:r w:rsidRPr="00521792">
        <w:rPr>
          <w:rFonts w:ascii="Times New Roman" w:hAnsi="Times New Roman" w:cs="Times New Roman"/>
          <w:sz w:val="24"/>
          <w:szCs w:val="24"/>
          <w:lang w:val="sr-Cyrl-RS"/>
        </w:rPr>
        <w:t xml:space="preserve"> најчешће затичу </w:t>
      </w:r>
      <w:r w:rsidRPr="00E23C1D">
        <w:rPr>
          <w:rFonts w:ascii="Times New Roman" w:hAnsi="Times New Roman" w:cs="Times New Roman"/>
          <w:color w:val="000000"/>
          <w:sz w:val="24"/>
          <w:szCs w:val="24"/>
          <w:lang w:val="sr-Cyrl-RS"/>
        </w:rPr>
        <w:t>младе, пре свега неквалификоване раднике, најчешће до средњег нивоа стручне спреме, запослене без</w:t>
      </w:r>
      <w:r w:rsidRPr="00AD60B6">
        <w:rPr>
          <w:rFonts w:ascii="Times New Roman" w:hAnsi="Times New Roman" w:cs="Times New Roman"/>
          <w:color w:val="000000"/>
          <w:sz w:val="24"/>
          <w:szCs w:val="24"/>
          <w:lang w:val="sr-Cyrl-RS"/>
        </w:rPr>
        <w:t xml:space="preserve"> редовних зарада и запослене преко 40 година живота, као и примаоце новчаних накнада, социјалне помоћи и сл. Иако су послови које ова лица обављају најчешће високоризични, у пракси их је тешко идентификовати, јер због страха запослених од губитка и таквог посла, између запослених и послодавца постоји сагласност да се у тренутку инспекцијског надзора избегне легализовање тог односа. То је нарочито присутно у грађевинарству и сезонским пословима у делатности пољопривреде, као и у угоститељској, трговинској и занатској делатности. Надаље, Инспекторат з</w:t>
      </w:r>
      <w:r w:rsidRPr="00AD60B6">
        <w:rPr>
          <w:rFonts w:ascii="Times New Roman" w:hAnsi="Times New Roman" w:cs="Times New Roman"/>
          <w:color w:val="000000"/>
          <w:sz w:val="24"/>
          <w:szCs w:val="24"/>
        </w:rPr>
        <w:t>а</w:t>
      </w:r>
      <w:r w:rsidRPr="00AD60B6">
        <w:rPr>
          <w:rFonts w:ascii="Times New Roman" w:hAnsi="Times New Roman" w:cs="Times New Roman"/>
          <w:color w:val="000000"/>
          <w:sz w:val="24"/>
          <w:szCs w:val="24"/>
          <w:lang w:val="sr-Cyrl-RS"/>
        </w:rPr>
        <w:t xml:space="preserve"> рад бележи повећање б</w:t>
      </w:r>
      <w:r w:rsidR="00452725">
        <w:rPr>
          <w:rFonts w:ascii="Times New Roman" w:hAnsi="Times New Roman" w:cs="Times New Roman"/>
          <w:color w:val="000000"/>
          <w:sz w:val="24"/>
          <w:szCs w:val="24"/>
          <w:lang w:val="sr-Cyrl-RS"/>
        </w:rPr>
        <w:t>роја радно ангажованих „на црно</w:t>
      </w:r>
      <w:r w:rsidR="00452725" w:rsidRPr="00521792">
        <w:rPr>
          <w:rFonts w:ascii="Times New Roman" w:hAnsi="Times New Roman" w:cs="Times New Roman"/>
          <w:sz w:val="24"/>
          <w:szCs w:val="24"/>
          <w:lang w:val="sr-Cyrl-CS"/>
        </w:rPr>
        <w:t>”</w:t>
      </w:r>
      <w:r w:rsidRPr="00AD60B6">
        <w:rPr>
          <w:rFonts w:ascii="Times New Roman" w:hAnsi="Times New Roman" w:cs="Times New Roman"/>
          <w:color w:val="000000"/>
          <w:sz w:val="24"/>
          <w:szCs w:val="24"/>
          <w:lang w:val="sr-Cyrl-RS"/>
        </w:rPr>
        <w:t xml:space="preserve"> у истим периодима сваке године,  нарочито карактеристично за угоститељство и грађевинарство. Раду</w:t>
      </w:r>
      <w:r w:rsidRPr="00AD60B6">
        <w:rPr>
          <w:rFonts w:ascii="Times New Roman" w:hAnsi="Times New Roman" w:cs="Times New Roman"/>
          <w:color w:val="000000"/>
          <w:sz w:val="24"/>
          <w:szCs w:val="24"/>
        </w:rPr>
        <w:t xml:space="preserve"> </w:t>
      </w:r>
      <w:r w:rsidR="00521792">
        <w:rPr>
          <w:rFonts w:ascii="Times New Roman" w:hAnsi="Times New Roman" w:cs="Times New Roman"/>
          <w:color w:val="000000"/>
          <w:sz w:val="24"/>
          <w:szCs w:val="24"/>
          <w:lang w:val="sr-Cyrl-RS"/>
        </w:rPr>
        <w:t>,,на црно</w:t>
      </w:r>
      <w:r w:rsidR="00521792" w:rsidRPr="00AD60B6">
        <w:rPr>
          <w:rFonts w:ascii="Times New Roman" w:hAnsi="Times New Roman" w:cs="Times New Roman"/>
          <w:color w:val="000000"/>
          <w:sz w:val="24"/>
          <w:szCs w:val="24"/>
          <w:lang w:val="sr-Cyrl-RS"/>
        </w:rPr>
        <w:t>”</w:t>
      </w:r>
      <w:r w:rsidRPr="00AD60B6">
        <w:rPr>
          <w:rFonts w:ascii="Times New Roman" w:hAnsi="Times New Roman" w:cs="Times New Roman"/>
          <w:color w:val="000000"/>
          <w:sz w:val="24"/>
          <w:szCs w:val="24"/>
          <w:lang w:val="sr-Cyrl-RS"/>
        </w:rPr>
        <w:t xml:space="preserve"> у делатности грађевинарства погодује велика флуктуација радне снаге, често премештање са једног градилишта на друго и кратко време ангажованих лица које проводе на једном радном месту, док не обаве неки п</w:t>
      </w:r>
      <w:r w:rsidR="00521792">
        <w:rPr>
          <w:rFonts w:ascii="Times New Roman" w:hAnsi="Times New Roman" w:cs="Times New Roman"/>
          <w:color w:val="000000"/>
          <w:sz w:val="24"/>
          <w:szCs w:val="24"/>
          <w:lang w:val="sr-Cyrl-RS"/>
        </w:rPr>
        <w:t xml:space="preserve">осао. Број </w:t>
      </w:r>
      <w:r w:rsidR="00521792" w:rsidRPr="00FE0147">
        <w:rPr>
          <w:rFonts w:ascii="Times New Roman" w:hAnsi="Times New Roman" w:cs="Times New Roman"/>
          <w:sz w:val="24"/>
          <w:szCs w:val="24"/>
          <w:lang w:val="sr-Cyrl-RS"/>
        </w:rPr>
        <w:t>ангажованих „на црно”</w:t>
      </w:r>
      <w:r w:rsidRPr="00FE0147">
        <w:rPr>
          <w:rFonts w:ascii="Times New Roman" w:hAnsi="Times New Roman" w:cs="Times New Roman"/>
          <w:sz w:val="24"/>
          <w:szCs w:val="24"/>
          <w:lang w:val="sr-Cyrl-RS"/>
        </w:rPr>
        <w:t xml:space="preserve"> у грађевинарству нагло се повећава пред крај грађевинске сезоне, због тежње послодаваца да испуне задате рокове и што већи број послова заврше у текућој сезони. </w:t>
      </w:r>
      <w:r w:rsidR="00FE0147" w:rsidRPr="00FE0147">
        <w:rPr>
          <w:rFonts w:ascii="Times New Roman" w:hAnsi="Times New Roman" w:cs="Times New Roman"/>
          <w:sz w:val="24"/>
          <w:szCs w:val="24"/>
          <w:lang w:val="sr-Cyrl-RS"/>
        </w:rPr>
        <w:t xml:space="preserve">У </w:t>
      </w:r>
      <w:r w:rsidRPr="00FE0147">
        <w:rPr>
          <w:rFonts w:ascii="Times New Roman" w:hAnsi="Times New Roman" w:cs="Times New Roman"/>
          <w:sz w:val="24"/>
          <w:szCs w:val="24"/>
          <w:lang w:val="sr-Cyrl-RS"/>
        </w:rPr>
        <w:t xml:space="preserve">2020. и 2021. </w:t>
      </w:r>
      <w:r w:rsidR="00FE0147" w:rsidRPr="00FE0147">
        <w:rPr>
          <w:rFonts w:ascii="Times New Roman" w:hAnsi="Times New Roman" w:cs="Times New Roman"/>
          <w:sz w:val="24"/>
          <w:szCs w:val="24"/>
          <w:lang w:val="sr-Cyrl-RS"/>
        </w:rPr>
        <w:t xml:space="preserve">години </w:t>
      </w:r>
      <w:r w:rsidRPr="00AD60B6">
        <w:rPr>
          <w:rFonts w:ascii="Times New Roman" w:hAnsi="Times New Roman" w:cs="Times New Roman"/>
          <w:color w:val="000000"/>
          <w:sz w:val="24"/>
          <w:szCs w:val="24"/>
          <w:lang w:val="sr-Cyrl-RS"/>
        </w:rPr>
        <w:t>забележено је 68 и 55 нерегистрованих субјеката</w:t>
      </w:r>
      <w:r w:rsidRPr="00AD60B6">
        <w:rPr>
          <w:rFonts w:ascii="Times New Roman" w:hAnsi="Times New Roman" w:cs="Times New Roman"/>
          <w:color w:val="000000"/>
          <w:sz w:val="24"/>
          <w:szCs w:val="24"/>
        </w:rPr>
        <w:t xml:space="preserve"> респективно, </w:t>
      </w:r>
      <w:r w:rsidRPr="00AD60B6">
        <w:rPr>
          <w:rFonts w:ascii="Times New Roman" w:hAnsi="Times New Roman" w:cs="Times New Roman"/>
          <w:color w:val="000000"/>
          <w:sz w:val="24"/>
          <w:szCs w:val="24"/>
          <w:lang w:val="sr-Cyrl-RS"/>
        </w:rPr>
        <w:t>у сектору грађевинарства што упућује на чињеницу да је сектор грађевинарства и даље подложан формирању нелегалних правних субјеката за вршење</w:t>
      </w:r>
      <w:r w:rsidR="00521792">
        <w:rPr>
          <w:rFonts w:ascii="Times New Roman" w:hAnsi="Times New Roman" w:cs="Times New Roman"/>
          <w:color w:val="000000"/>
          <w:sz w:val="24"/>
          <w:szCs w:val="24"/>
          <w:lang w:val="sr-Cyrl-RS"/>
        </w:rPr>
        <w:t xml:space="preserve"> делатности који даље генеришу </w:t>
      </w:r>
      <w:r w:rsidR="00521792">
        <w:rPr>
          <w:rFonts w:ascii="Times New Roman" w:hAnsi="Times New Roman" w:cs="Times New Roman"/>
          <w:color w:val="000000"/>
          <w:sz w:val="24"/>
          <w:szCs w:val="24"/>
          <w:lang w:val="sr-Latn-RS"/>
        </w:rPr>
        <w:t>„</w:t>
      </w:r>
      <w:r w:rsidRPr="00AD60B6">
        <w:rPr>
          <w:rFonts w:ascii="Times New Roman" w:hAnsi="Times New Roman" w:cs="Times New Roman"/>
          <w:color w:val="000000"/>
          <w:sz w:val="24"/>
          <w:szCs w:val="24"/>
          <w:lang w:val="sr-Cyrl-RS"/>
        </w:rPr>
        <w:t>рад на црно”.</w:t>
      </w:r>
    </w:p>
    <w:p w14:paraId="3B776277" w14:textId="0CA693CE" w:rsidR="00EC5D47" w:rsidRPr="00AD60B6" w:rsidRDefault="005E0A4D" w:rsidP="005E0A4D">
      <w:pPr>
        <w:ind w:firstLine="720"/>
        <w:jc w:val="both"/>
        <w:rPr>
          <w:rFonts w:ascii="Times New Roman" w:hAnsi="Times New Roman" w:cs="Times New Roman"/>
          <w:sz w:val="24"/>
          <w:szCs w:val="24"/>
          <w:lang w:val="sr-Cyrl-RS"/>
        </w:rPr>
      </w:pPr>
      <w:bookmarkStart w:id="17" w:name="_Toc126746524"/>
      <w:r w:rsidRPr="005E0A4D">
        <w:rPr>
          <w:rFonts w:ascii="Times New Roman" w:hAnsi="Times New Roman" w:cs="Times New Roman"/>
          <w:b/>
          <w:sz w:val="24"/>
          <w:szCs w:val="24"/>
          <w:lang w:val="sr-Cyrl-RS"/>
        </w:rPr>
        <w:t xml:space="preserve">3.2. </w:t>
      </w:r>
      <w:r w:rsidR="00EC5D47" w:rsidRPr="005E0A4D">
        <w:rPr>
          <w:rFonts w:ascii="Times New Roman" w:hAnsi="Times New Roman" w:cs="Times New Roman"/>
          <w:b/>
          <w:sz w:val="24"/>
          <w:szCs w:val="24"/>
          <w:lang w:val="sr-Cyrl-RS"/>
        </w:rPr>
        <w:t>Анализа професионалних болести</w:t>
      </w:r>
      <w:r w:rsidR="00EC5D47" w:rsidRPr="00AD60B6">
        <w:rPr>
          <w:rStyle w:val="FootnoteReference"/>
          <w:rFonts w:ascii="Times New Roman" w:hAnsi="Times New Roman" w:cs="Times New Roman"/>
          <w:sz w:val="24"/>
          <w:szCs w:val="24"/>
          <w:lang w:val="sr-Cyrl-RS"/>
        </w:rPr>
        <w:t xml:space="preserve"> </w:t>
      </w:r>
      <w:r w:rsidR="00EC5D47" w:rsidRPr="00AD60B6">
        <w:rPr>
          <w:rStyle w:val="FootnoteReference"/>
          <w:rFonts w:ascii="Times New Roman" w:hAnsi="Times New Roman" w:cs="Times New Roman"/>
          <w:sz w:val="24"/>
          <w:szCs w:val="24"/>
          <w:lang w:val="sr-Cyrl-RS"/>
        </w:rPr>
        <w:footnoteReference w:id="19"/>
      </w:r>
      <w:bookmarkEnd w:id="17"/>
      <w:r w:rsidR="00EC5D47" w:rsidRPr="00AD60B6">
        <w:rPr>
          <w:rFonts w:ascii="Times New Roman" w:hAnsi="Times New Roman" w:cs="Times New Roman"/>
          <w:strike/>
          <w:sz w:val="24"/>
          <w:szCs w:val="24"/>
          <w:lang w:val="sr-Cyrl-RS"/>
        </w:rPr>
        <w:t xml:space="preserve"> </w:t>
      </w:r>
    </w:p>
    <w:p w14:paraId="6E093972" w14:textId="77777777" w:rsidR="00EC5D47" w:rsidRPr="0002724B" w:rsidRDefault="00EC5D47" w:rsidP="005E0A4D">
      <w:pPr>
        <w:spacing w:after="150"/>
        <w:ind w:firstLine="720"/>
        <w:jc w:val="both"/>
        <w:rPr>
          <w:rFonts w:ascii="Times New Roman" w:hAnsi="Times New Roman" w:cs="Times New Roman"/>
          <w:sz w:val="24"/>
          <w:szCs w:val="24"/>
          <w:lang w:val="sr-Cyrl-RS"/>
        </w:rPr>
      </w:pPr>
      <w:r w:rsidRPr="005E0A4D">
        <w:rPr>
          <w:rFonts w:ascii="Times New Roman" w:hAnsi="Times New Roman" w:cs="Times New Roman"/>
          <w:bCs/>
          <w:color w:val="000000"/>
          <w:sz w:val="24"/>
          <w:szCs w:val="24"/>
          <w:lang w:val="sr-Cyrl-RS"/>
        </w:rPr>
        <w:t>У Републици Србији професионална обољења остају неевидентирана.</w:t>
      </w:r>
      <w:r w:rsidRPr="005E0A4D">
        <w:rPr>
          <w:rFonts w:ascii="Times New Roman" w:hAnsi="Times New Roman" w:cs="Times New Roman"/>
          <w:color w:val="000000"/>
          <w:sz w:val="24"/>
          <w:szCs w:val="24"/>
          <w:lang w:val="sr-Cyrl-RS"/>
        </w:rPr>
        <w:t xml:space="preserve"> </w:t>
      </w:r>
      <w:r w:rsidRPr="00AD60B6">
        <w:rPr>
          <w:rFonts w:ascii="Times New Roman" w:hAnsi="Times New Roman" w:cs="Times New Roman"/>
          <w:color w:val="000000"/>
          <w:sz w:val="24"/>
          <w:szCs w:val="24"/>
          <w:lang w:val="sr-Cyrl-RS"/>
        </w:rPr>
        <w:t xml:space="preserve">У протеклом периоду и даље се не поштују законске обавезе о појединачном </w:t>
      </w:r>
      <w:r w:rsidRPr="0002724B">
        <w:rPr>
          <w:rFonts w:ascii="Times New Roman" w:hAnsi="Times New Roman" w:cs="Times New Roman"/>
          <w:sz w:val="24"/>
          <w:szCs w:val="24"/>
          <w:lang w:val="sr-Cyrl-RS"/>
        </w:rPr>
        <w:t>пријављивању и регистровању професионалних болести, као и да се многе професионалне болести и не третирају као таква због непрепознавања везе болести и услова рада. Уколико се ове болести и пријављују, то се чини спорадично, несистематски, непотпуно и неадекватно, па су подаци и евиденција о њима веома непотпуни. Број утврђених професионалних болести на основу броја запослених је далеко испод очекиваног. У упоредној пракси земље у којима је развијена служба медицине рада имају далеко већи број утврђених професионалних болести.</w:t>
      </w:r>
      <w:r w:rsidRPr="0002724B">
        <w:rPr>
          <w:rStyle w:val="FootnoteReference"/>
          <w:rFonts w:ascii="Times New Roman" w:hAnsi="Times New Roman" w:cs="Times New Roman"/>
          <w:sz w:val="24"/>
          <w:szCs w:val="24"/>
          <w:lang w:val="sr-Cyrl-RS"/>
        </w:rPr>
        <w:footnoteReference w:id="20"/>
      </w:r>
    </w:p>
    <w:p w14:paraId="72EDB436" w14:textId="640541F0" w:rsidR="00EC5D47" w:rsidRPr="00AD60B6" w:rsidRDefault="00EC5D47" w:rsidP="00EC5D47">
      <w:pPr>
        <w:spacing w:after="150"/>
        <w:jc w:val="both"/>
        <w:rPr>
          <w:rFonts w:ascii="Times New Roman" w:hAnsi="Times New Roman" w:cs="Times New Roman"/>
          <w:color w:val="FF0000"/>
          <w:sz w:val="24"/>
          <w:szCs w:val="24"/>
          <w:lang w:val="sr-Cyrl-RS"/>
        </w:rPr>
      </w:pPr>
      <w:r w:rsidRPr="0002724B">
        <w:rPr>
          <w:rFonts w:ascii="Times New Roman" w:hAnsi="Times New Roman" w:cs="Times New Roman"/>
          <w:sz w:val="24"/>
          <w:szCs w:val="24"/>
          <w:lang w:val="sr-Cyrl-RS"/>
        </w:rPr>
        <w:t xml:space="preserve">На основу података Института за медицину рада </w:t>
      </w:r>
      <w:r w:rsidR="00A77031" w:rsidRPr="0002724B">
        <w:rPr>
          <w:rFonts w:ascii="Times New Roman" w:hAnsi="Times New Roman" w:cs="Times New Roman"/>
          <w:sz w:val="24"/>
          <w:szCs w:val="24"/>
          <w:lang w:val="sr-Cyrl-RS"/>
        </w:rPr>
        <w:t>Србије „Др Драгомир Карајовић”</w:t>
      </w:r>
      <w:r w:rsidRPr="0002724B">
        <w:rPr>
          <w:rFonts w:ascii="Times New Roman" w:hAnsi="Times New Roman" w:cs="Times New Roman"/>
          <w:sz w:val="24"/>
          <w:szCs w:val="24"/>
          <w:lang w:val="sr-Cyrl-RS"/>
        </w:rPr>
        <w:t xml:space="preserve"> о професионалним болестима у Србији у периоду од 2013. до 2021. године постоји тренд </w:t>
      </w:r>
      <w:r w:rsidRPr="0002724B">
        <w:rPr>
          <w:rFonts w:ascii="Times New Roman" w:hAnsi="Times New Roman" w:cs="Times New Roman"/>
          <w:sz w:val="24"/>
          <w:szCs w:val="24"/>
          <w:lang w:val="sr-Cyrl-RS"/>
        </w:rPr>
        <w:lastRenderedPageBreak/>
        <w:t xml:space="preserve">пада, који је далеко израженији ако се узме у обзир и период који обухвата две деценије. </w:t>
      </w:r>
      <w:r w:rsidRPr="00AD60B6">
        <w:rPr>
          <w:rFonts w:ascii="Times New Roman" w:hAnsi="Times New Roman" w:cs="Times New Roman"/>
          <w:color w:val="000000"/>
          <w:sz w:val="24"/>
          <w:szCs w:val="24"/>
          <w:lang w:val="sr-Cyrl-RS"/>
        </w:rPr>
        <w:t xml:space="preserve">С друге стране, у посматраном периоду дошло је до пораста запослености, као и раста привредне активности, те је пад могуће објаснити само непрепознавањем и непријављивањем професионалних болести. То потврђују и подаци Управе за безбедност и здравље </w:t>
      </w:r>
      <w:r w:rsidRPr="0002724B">
        <w:rPr>
          <w:rFonts w:ascii="Times New Roman" w:hAnsi="Times New Roman" w:cs="Times New Roman"/>
          <w:sz w:val="24"/>
          <w:szCs w:val="24"/>
          <w:lang w:val="sr-Cyrl-RS"/>
        </w:rPr>
        <w:t>на раду.</w:t>
      </w:r>
    </w:p>
    <w:p w14:paraId="242767BE" w14:textId="77777777" w:rsidR="00EC5D47" w:rsidRPr="00AD60B6" w:rsidRDefault="00EC5D47" w:rsidP="005E0A4D">
      <w:pPr>
        <w:spacing w:after="150"/>
        <w:ind w:firstLine="720"/>
        <w:jc w:val="both"/>
        <w:rPr>
          <w:rFonts w:ascii="Times New Roman" w:hAnsi="Times New Roman" w:cs="Times New Roman"/>
          <w:color w:val="000000"/>
          <w:sz w:val="24"/>
          <w:szCs w:val="24"/>
          <w:lang w:val="sr-Cyrl-RS"/>
        </w:rPr>
      </w:pPr>
      <w:r w:rsidRPr="00AD60B6">
        <w:rPr>
          <w:rFonts w:ascii="Times New Roman" w:hAnsi="Times New Roman" w:cs="Times New Roman"/>
          <w:color w:val="000000"/>
          <w:sz w:val="24"/>
          <w:szCs w:val="24"/>
          <w:lang w:val="sr-Cyrl-RS"/>
        </w:rPr>
        <w:t xml:space="preserve">Проблем је изражен иако је Законом </w:t>
      </w:r>
      <w:r w:rsidRPr="00AD60B6">
        <w:rPr>
          <w:rFonts w:ascii="Times New Roman" w:hAnsi="Times New Roman" w:cs="Times New Roman"/>
          <w:color w:val="000000"/>
          <w:sz w:val="24"/>
          <w:szCs w:val="24"/>
        </w:rPr>
        <w:t xml:space="preserve">o </w:t>
      </w:r>
      <w:r w:rsidRPr="00AD60B6">
        <w:rPr>
          <w:rFonts w:ascii="Times New Roman" w:hAnsi="Times New Roman" w:cs="Times New Roman"/>
          <w:color w:val="000000"/>
          <w:sz w:val="24"/>
          <w:szCs w:val="24"/>
          <w:lang w:val="sr-Cyrl-RS"/>
        </w:rPr>
        <w:t xml:space="preserve">безбедности и здрављу на раду за непријављивање у овим случајевима била запрећена висока казна (од 800.000 до 1.000.000 динара) односно утврђена обавеза послодавца да најкасније у року од три узастопна радна дана од дана сазнања, пријави надлежној инспекцији рада професионално обољење, односно обољење у вези са радом запосленог. </w:t>
      </w:r>
      <w:r w:rsidRPr="00AD60B6">
        <w:rPr>
          <w:rFonts w:ascii="Times New Roman" w:hAnsi="Times New Roman" w:cs="Times New Roman"/>
          <w:color w:val="000000"/>
          <w:sz w:val="24"/>
          <w:szCs w:val="24"/>
        </w:rPr>
        <w:t>П</w:t>
      </w:r>
      <w:r w:rsidRPr="00AD60B6">
        <w:rPr>
          <w:rFonts w:ascii="Times New Roman" w:hAnsi="Times New Roman" w:cs="Times New Roman"/>
          <w:color w:val="000000"/>
          <w:sz w:val="24"/>
          <w:szCs w:val="24"/>
          <w:lang w:val="sr-Cyrl-RS"/>
        </w:rPr>
        <w:t xml:space="preserve">рема подацима, којима располаже Инспекторат за рад, у 2021. години надлежној инспекцији рада послодавци нису пријавили ниједно професионално БОЛЕСТ обољење. Стога је у периоду спровођења нове стратегије потребно </w:t>
      </w:r>
      <w:r w:rsidRPr="00AD60B6">
        <w:rPr>
          <w:rFonts w:ascii="Times New Roman" w:hAnsi="Times New Roman" w:cs="Times New Roman"/>
          <w:bCs/>
          <w:color w:val="000000"/>
          <w:sz w:val="24"/>
          <w:szCs w:val="24"/>
          <w:lang w:val="sr-Cyrl-RS"/>
        </w:rPr>
        <w:t>успоставити ефикасни</w:t>
      </w:r>
      <w:r w:rsidRPr="00AD60B6">
        <w:rPr>
          <w:rFonts w:ascii="Times New Roman" w:hAnsi="Times New Roman" w:cs="Times New Roman"/>
          <w:bCs/>
          <w:color w:val="000000"/>
          <w:sz w:val="24"/>
          <w:szCs w:val="24"/>
        </w:rPr>
        <w:t>ји</w:t>
      </w:r>
      <w:r w:rsidRPr="00AD60B6">
        <w:rPr>
          <w:rFonts w:ascii="Times New Roman" w:hAnsi="Times New Roman" w:cs="Times New Roman"/>
          <w:bCs/>
          <w:color w:val="000000"/>
          <w:sz w:val="24"/>
          <w:szCs w:val="24"/>
          <w:lang w:val="sr-Cyrl-RS"/>
        </w:rPr>
        <w:t xml:space="preserve"> национални систем регистрације и прикупљања података о повредама на раду и професионалним болестима</w:t>
      </w:r>
      <w:r w:rsidRPr="00AD60B6">
        <w:rPr>
          <w:rFonts w:ascii="Times New Roman" w:hAnsi="Times New Roman" w:cs="Times New Roman"/>
          <w:color w:val="000000"/>
          <w:sz w:val="24"/>
          <w:szCs w:val="24"/>
          <w:lang w:val="sr-Cyrl-RS"/>
        </w:rPr>
        <w:t>.</w:t>
      </w:r>
    </w:p>
    <w:p w14:paraId="16C39BB3" w14:textId="528D55DB" w:rsidR="00EC5D47" w:rsidRPr="00AD60B6" w:rsidRDefault="00EC5D47" w:rsidP="005E0A4D">
      <w:pPr>
        <w:spacing w:after="150"/>
        <w:ind w:firstLine="720"/>
        <w:jc w:val="both"/>
        <w:rPr>
          <w:rFonts w:ascii="Times New Roman" w:hAnsi="Times New Roman" w:cs="Times New Roman"/>
          <w:color w:val="000000"/>
          <w:sz w:val="24"/>
          <w:szCs w:val="24"/>
          <w:lang w:val="sr-Cyrl-RS"/>
        </w:rPr>
      </w:pPr>
      <w:r w:rsidRPr="00AD60B6">
        <w:rPr>
          <w:rFonts w:ascii="Times New Roman" w:hAnsi="Times New Roman" w:cs="Times New Roman"/>
          <w:color w:val="000000"/>
          <w:sz w:val="24"/>
          <w:szCs w:val="24"/>
          <w:lang w:val="sr-Cyrl-RS"/>
        </w:rPr>
        <w:t xml:space="preserve">Такође, треба имати у виду да у пракси није заживела дефиниција професионалних болести дефинисаних према Закону о здравственом осигурању. Члан </w:t>
      </w:r>
      <w:r w:rsidR="0002724B">
        <w:rPr>
          <w:rFonts w:ascii="Times New Roman" w:hAnsi="Times New Roman" w:cs="Times New Roman"/>
          <w:color w:val="000000"/>
          <w:sz w:val="24"/>
          <w:szCs w:val="24"/>
          <w:lang w:val="sr-Cyrl-RS"/>
        </w:rPr>
        <w:t xml:space="preserve">51. </w:t>
      </w:r>
      <w:r w:rsidRPr="00AD60B6">
        <w:rPr>
          <w:rFonts w:ascii="Times New Roman" w:hAnsi="Times New Roman" w:cs="Times New Roman"/>
          <w:color w:val="000000"/>
          <w:sz w:val="24"/>
          <w:szCs w:val="24"/>
          <w:lang w:val="sr-Cyrl-RS"/>
        </w:rPr>
        <w:t xml:space="preserve">Закона дефинише професионалне болести као „обољења настала услед дуже изложености штетностима насталим на радном месту“. Ова дефиниција није праћена прописима који би омогућили њену примену. С друге стране у пракси се искључиво примењује дефиниција из Закона о пензијском и инвалидском осигурању. Овај закон у члану 24. дефинише професионалну болест, као „одређену болест која је настала у току осигурања, проузроковану дужим непосредним утицајем процеса и услова рада на радним местима, односно пословима које је осигураник обављао. </w:t>
      </w:r>
    </w:p>
    <w:p w14:paraId="6938D3ED" w14:textId="77777777" w:rsidR="00EC5D47" w:rsidRPr="00AD60B6" w:rsidRDefault="00EC5D47" w:rsidP="005E0A4D">
      <w:pPr>
        <w:spacing w:after="150"/>
        <w:ind w:firstLine="720"/>
        <w:jc w:val="both"/>
        <w:rPr>
          <w:rFonts w:ascii="Times New Roman" w:hAnsi="Times New Roman" w:cs="Times New Roman"/>
          <w:bCs/>
          <w:color w:val="00B050"/>
          <w:sz w:val="24"/>
          <w:szCs w:val="24"/>
          <w:lang w:val="sr-Cyrl-RS"/>
        </w:rPr>
      </w:pPr>
      <w:r w:rsidRPr="00AD60B6">
        <w:rPr>
          <w:rFonts w:ascii="Times New Roman" w:hAnsi="Times New Roman" w:cs="Times New Roman"/>
          <w:color w:val="000000"/>
          <w:sz w:val="24"/>
          <w:szCs w:val="24"/>
          <w:lang w:val="sr-Cyrl-RS"/>
        </w:rPr>
        <w:t xml:space="preserve">У периоду имплементације претходне стратегије, Радна група за ревизију листе професионалних болести, која је формирана решењем министра за рад, запошљавање, борачка и социјална питања израдила је нови Правилник о утврђивању професионалних болести, који након измена садржи ревидирану листу која броји 64 професионалне болести, уместо досадашњих 56. Наиме, у делу Правилника који се односи на болести проузроковане хемијским дејством, додате су три нове професионалне болести и то: тровање талијумом, тровање платином или њеним једињењима и тровање осмијумом или његовим једињењима. У делу који утврђује болести проузроковане физичким дејством, листа је допуњена болестима: оштећење слуха изазвано буком и обољења изазвана вибрацијама које се преносе на руке и вибрацијама које се преносе на цело тело, а међу болестима проузрокованим биолошким фактором унете су тетанус и обољења </w:t>
      </w:r>
      <w:r w:rsidRPr="00BE0957">
        <w:rPr>
          <w:rFonts w:ascii="Times New Roman" w:hAnsi="Times New Roman" w:cs="Times New Roman"/>
          <w:sz w:val="24"/>
          <w:szCs w:val="24"/>
          <w:lang w:val="sr-Cyrl-RS"/>
        </w:rPr>
        <w:t xml:space="preserve">проузрокована директним контактом са другим биолошким агенсима на раду која нису горе поменута а за које постоје научни/литерални докази или за које постоје докази из практичних искустава. Такође, у делу који се односи на болести плућа, у Правилнику су унете четири нове професионалне болести: пнеумокониозе узроковане нефиброзогеном прашином/влакнима; бисиноза плућа; канабиоза; багасоза; бронхијална астма и обољење горњих дисајних путева. Поред наведеног, допуњени су поједини постојећи описи послова и радних места. </w:t>
      </w:r>
      <w:r w:rsidRPr="00BE0957">
        <w:rPr>
          <w:rFonts w:ascii="Times New Roman" w:hAnsi="Times New Roman" w:cs="Times New Roman"/>
          <w:bCs/>
          <w:sz w:val="24"/>
          <w:szCs w:val="24"/>
          <w:lang w:val="sr-Cyrl-RS"/>
        </w:rPr>
        <w:t xml:space="preserve">Нова листа такође омогућава у делу који се односи на </w:t>
      </w:r>
      <w:r w:rsidRPr="00AD60B6">
        <w:rPr>
          <w:rFonts w:ascii="Times New Roman" w:hAnsi="Times New Roman" w:cs="Times New Roman"/>
          <w:bCs/>
          <w:color w:val="000000"/>
          <w:sz w:val="24"/>
          <w:szCs w:val="24"/>
          <w:lang w:val="sr-Cyrl-RS"/>
        </w:rPr>
        <w:t xml:space="preserve">инфективне агенсе признавање инфективних обољења која нису наведена у Листи професионалних болести. </w:t>
      </w:r>
    </w:p>
    <w:p w14:paraId="7042172C" w14:textId="7B2A5038" w:rsidR="00C00D2B" w:rsidRPr="00AD60B6" w:rsidRDefault="00EC5D47" w:rsidP="005C64DC">
      <w:pPr>
        <w:spacing w:after="150"/>
        <w:ind w:firstLine="720"/>
        <w:jc w:val="both"/>
        <w:rPr>
          <w:rFonts w:ascii="Times New Roman" w:hAnsi="Times New Roman" w:cs="Times New Roman"/>
          <w:color w:val="000000"/>
          <w:sz w:val="24"/>
          <w:szCs w:val="24"/>
          <w:lang w:val="sr-Cyrl-RS"/>
        </w:rPr>
      </w:pPr>
      <w:r w:rsidRPr="00AD60B6">
        <w:rPr>
          <w:rFonts w:ascii="Times New Roman" w:hAnsi="Times New Roman" w:cs="Times New Roman"/>
          <w:bCs/>
          <w:color w:val="000000"/>
          <w:sz w:val="24"/>
          <w:szCs w:val="24"/>
          <w:lang w:val="sr-Cyrl-RS"/>
        </w:rPr>
        <w:lastRenderedPageBreak/>
        <w:t>У периоду имплементације нове стратегије, потребно је сагледати потребу за ревизијом листе професионалних болести.</w:t>
      </w:r>
      <w:r w:rsidRPr="00AD60B6">
        <w:rPr>
          <w:rFonts w:ascii="Times New Roman" w:hAnsi="Times New Roman" w:cs="Times New Roman"/>
          <w:b/>
          <w:bCs/>
          <w:color w:val="000000"/>
          <w:sz w:val="24"/>
          <w:szCs w:val="24"/>
          <w:lang w:val="sr-Cyrl-RS"/>
        </w:rPr>
        <w:t xml:space="preserve"> </w:t>
      </w:r>
      <w:r w:rsidRPr="00AD60B6">
        <w:rPr>
          <w:rFonts w:ascii="Times New Roman" w:hAnsi="Times New Roman" w:cs="Times New Roman"/>
          <w:color w:val="000000"/>
          <w:sz w:val="24"/>
          <w:szCs w:val="24"/>
          <w:lang w:val="sr-Cyrl-RS"/>
        </w:rPr>
        <w:t>На пример листа Међународне организације рада (Препорука 194) има 104 професионалне болести, док Препорука Европске комисије из 1990. године сугерише да би требало омогућити и признавање болести које нису на листи, уколико постоји јасна веза између болести и изложености на радном месту. Додатни проблем је потреба за прецизнијим утврђивањем критеријума з</w:t>
      </w:r>
      <w:r w:rsidRPr="00AD60B6">
        <w:rPr>
          <w:rFonts w:ascii="Times New Roman" w:hAnsi="Times New Roman" w:cs="Times New Roman"/>
          <w:color w:val="000000"/>
          <w:sz w:val="24"/>
          <w:szCs w:val="24"/>
          <w:lang w:val="sr-Latn-RS"/>
        </w:rPr>
        <w:t>a</w:t>
      </w:r>
      <w:r w:rsidRPr="00AD60B6">
        <w:rPr>
          <w:rFonts w:ascii="Times New Roman" w:hAnsi="Times New Roman" w:cs="Times New Roman"/>
          <w:color w:val="000000"/>
          <w:sz w:val="24"/>
          <w:szCs w:val="24"/>
          <w:lang w:val="sr-Cyrl-RS"/>
        </w:rPr>
        <w:t xml:space="preserve"> утврђивање професионалних обољења. Наиме само 17 обољења је прецизно дефинисано, док су за осталих 49 критеријуми недовољно прецизни што омогућава различито тумачење.</w:t>
      </w:r>
    </w:p>
    <w:p w14:paraId="630FD943" w14:textId="1CF6E376" w:rsidR="00EC5D47" w:rsidRPr="001305AA" w:rsidRDefault="00AA0507" w:rsidP="001305AA">
      <w:pPr>
        <w:ind w:firstLine="720"/>
        <w:jc w:val="both"/>
        <w:rPr>
          <w:rFonts w:ascii="Times New Roman" w:hAnsi="Times New Roman" w:cs="Times New Roman"/>
          <w:b/>
          <w:sz w:val="24"/>
          <w:szCs w:val="24"/>
          <w:lang w:val="sr-Cyrl-RS"/>
        </w:rPr>
      </w:pPr>
      <w:bookmarkStart w:id="18" w:name="_Toc126746525"/>
      <w:r w:rsidRPr="001305AA">
        <w:rPr>
          <w:rFonts w:ascii="Times New Roman" w:hAnsi="Times New Roman" w:cs="Times New Roman"/>
          <w:b/>
          <w:sz w:val="24"/>
          <w:szCs w:val="24"/>
          <w:lang w:val="sr-Cyrl-RS"/>
        </w:rPr>
        <w:t xml:space="preserve">3.3. </w:t>
      </w:r>
      <w:r w:rsidR="00EC5D47" w:rsidRPr="001305AA">
        <w:rPr>
          <w:rFonts w:ascii="Times New Roman" w:hAnsi="Times New Roman" w:cs="Times New Roman"/>
          <w:b/>
          <w:sz w:val="24"/>
          <w:szCs w:val="24"/>
          <w:lang w:val="sr-Cyrl-RS"/>
        </w:rPr>
        <w:t>Анализа рада Судских органа и Републичког јавно тужилаштво у случајевима непредузимања мера безбедности и здравља на раду</w:t>
      </w:r>
      <w:bookmarkEnd w:id="18"/>
    </w:p>
    <w:p w14:paraId="3B79DCDE" w14:textId="7A2E412A" w:rsidR="00E17297" w:rsidRPr="00AD60B6" w:rsidRDefault="00EC5D47" w:rsidP="002D3919">
      <w:pPr>
        <w:spacing w:after="150"/>
        <w:ind w:firstLine="720"/>
        <w:jc w:val="both"/>
        <w:rPr>
          <w:rFonts w:ascii="Times New Roman" w:hAnsi="Times New Roman" w:cs="Times New Roman"/>
          <w:sz w:val="24"/>
          <w:szCs w:val="24"/>
          <w:lang w:val="sr-Cyrl-RS"/>
        </w:rPr>
      </w:pPr>
      <w:r w:rsidRPr="00AD60B6">
        <w:rPr>
          <w:rFonts w:ascii="Times New Roman" w:hAnsi="Times New Roman" w:cs="Times New Roman"/>
          <w:sz w:val="24"/>
          <w:szCs w:val="24"/>
          <w:lang w:val="sr-Cyrl-RS"/>
        </w:rPr>
        <w:t>У периоду примене стратегије, дошло је до повећања броја</w:t>
      </w:r>
      <w:r w:rsidRPr="00AD60B6">
        <w:rPr>
          <w:rFonts w:ascii="Times New Roman" w:hAnsi="Times New Roman" w:cs="Times New Roman"/>
          <w:sz w:val="24"/>
          <w:szCs w:val="24"/>
        </w:rPr>
        <w:t xml:space="preserve"> кривичних пријава поднетих тужилаштвима на територији Републике Србије за непредузимање мера безбедности и здравља на раду услед којих је дошло до смртних, тешких и колективних повреда на раду</w:t>
      </w:r>
      <w:r w:rsidRPr="00AD60B6">
        <w:rPr>
          <w:rFonts w:ascii="Times New Roman" w:hAnsi="Times New Roman" w:cs="Times New Roman"/>
          <w:sz w:val="24"/>
          <w:szCs w:val="24"/>
          <w:lang w:val="sr-Cyrl-RS"/>
        </w:rPr>
        <w:t>. У просеку се годишње заприми 47 предмета. Такође, дошло је до смањења броја нерешених предмета за скоро 50%, односно у односу на 2018. годину када је тај број износио 119, у 2021. години он је смањен на 62 предмета.</w:t>
      </w:r>
    </w:p>
    <w:tbl>
      <w:tblPr>
        <w:tblW w:w="9016" w:type="dxa"/>
        <w:jc w:val="center"/>
        <w:tblLayout w:type="fixed"/>
        <w:tblLook w:val="04A0" w:firstRow="1" w:lastRow="0" w:firstColumn="1" w:lastColumn="0" w:noHBand="0" w:noVBand="1"/>
      </w:tblPr>
      <w:tblGrid>
        <w:gridCol w:w="895"/>
        <w:gridCol w:w="1350"/>
        <w:gridCol w:w="1313"/>
        <w:gridCol w:w="1207"/>
        <w:gridCol w:w="1522"/>
        <w:gridCol w:w="1268"/>
        <w:gridCol w:w="1461"/>
      </w:tblGrid>
      <w:tr w:rsidR="00EC5D47" w:rsidRPr="00AD60B6" w14:paraId="3BFE029E" w14:textId="77777777" w:rsidTr="00C00D2B">
        <w:trPr>
          <w:trHeight w:val="900"/>
          <w:jc w:val="center"/>
        </w:trPr>
        <w:tc>
          <w:tcPr>
            <w:tcW w:w="895"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9EE9A" w14:textId="77777777" w:rsidR="00EC5D47" w:rsidRPr="00436734" w:rsidRDefault="00EC5D47" w:rsidP="00C00D2B">
            <w:pPr>
              <w:spacing w:after="0" w:line="240" w:lineRule="auto"/>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Година</w:t>
            </w:r>
          </w:p>
        </w:tc>
        <w:tc>
          <w:tcPr>
            <w:tcW w:w="2663" w:type="dxa"/>
            <w:gridSpan w:val="2"/>
            <w:tcBorders>
              <w:top w:val="single" w:sz="4" w:space="0" w:color="auto"/>
              <w:left w:val="nil"/>
              <w:bottom w:val="single" w:sz="4" w:space="0" w:color="auto"/>
              <w:right w:val="single" w:sz="4" w:space="0" w:color="auto"/>
            </w:tcBorders>
            <w:shd w:val="clear" w:color="auto" w:fill="auto"/>
            <w:vAlign w:val="bottom"/>
            <w:hideMark/>
          </w:tcPr>
          <w:p w14:paraId="46B3509A" w14:textId="77777777" w:rsidR="00EC5D47" w:rsidRPr="0031794A" w:rsidRDefault="00EC5D47" w:rsidP="00125B70">
            <w:pPr>
              <w:spacing w:after="0" w:line="240" w:lineRule="auto"/>
              <w:jc w:val="center"/>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Непредузимање мера заштите на раду - члан 169. КЗ</w:t>
            </w:r>
          </w:p>
        </w:tc>
        <w:tc>
          <w:tcPr>
            <w:tcW w:w="2729" w:type="dxa"/>
            <w:gridSpan w:val="2"/>
            <w:tcBorders>
              <w:top w:val="single" w:sz="4" w:space="0" w:color="auto"/>
              <w:left w:val="nil"/>
              <w:bottom w:val="single" w:sz="4" w:space="0" w:color="auto"/>
              <w:right w:val="single" w:sz="4" w:space="0" w:color="auto"/>
            </w:tcBorders>
            <w:shd w:val="clear" w:color="auto" w:fill="auto"/>
            <w:vAlign w:val="bottom"/>
            <w:hideMark/>
          </w:tcPr>
          <w:p w14:paraId="682808CC" w14:textId="23614D24" w:rsidR="00EC5D47" w:rsidRPr="0031794A" w:rsidRDefault="00EC5D47" w:rsidP="00125B70">
            <w:pPr>
              <w:spacing w:after="0" w:line="240" w:lineRule="auto"/>
              <w:jc w:val="center"/>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Изазивање опасности необезбеђењем мера заштите на раду - члан 280.</w:t>
            </w:r>
            <w:r w:rsidR="00C00D2B" w:rsidRPr="0031794A">
              <w:rPr>
                <w:rFonts w:ascii="Times New Roman" w:hAnsi="Times New Roman" w:cs="Times New Roman"/>
                <w:color w:val="000000"/>
                <w:lang w:val="sr-Cyrl-RS" w:eastAsia="en-GB"/>
              </w:rPr>
              <w:t xml:space="preserve"> </w:t>
            </w:r>
            <w:r w:rsidRPr="0031794A">
              <w:rPr>
                <w:rFonts w:ascii="Times New Roman" w:hAnsi="Times New Roman" w:cs="Times New Roman"/>
                <w:color w:val="000000"/>
                <w:lang w:val="en-GB" w:eastAsia="en-GB"/>
              </w:rPr>
              <w:t>КЗ</w:t>
            </w:r>
          </w:p>
        </w:tc>
        <w:tc>
          <w:tcPr>
            <w:tcW w:w="2729" w:type="dxa"/>
            <w:gridSpan w:val="2"/>
            <w:tcBorders>
              <w:top w:val="single" w:sz="4" w:space="0" w:color="auto"/>
              <w:left w:val="nil"/>
              <w:bottom w:val="single" w:sz="4" w:space="0" w:color="auto"/>
              <w:right w:val="single" w:sz="4" w:space="0" w:color="auto"/>
            </w:tcBorders>
            <w:shd w:val="clear" w:color="auto" w:fill="auto"/>
            <w:vAlign w:val="bottom"/>
            <w:hideMark/>
          </w:tcPr>
          <w:p w14:paraId="62E666AE" w14:textId="77777777" w:rsidR="00EC5D47" w:rsidRPr="0031794A" w:rsidRDefault="00EC5D47" w:rsidP="00125B70">
            <w:pPr>
              <w:spacing w:after="0" w:line="240" w:lineRule="auto"/>
              <w:jc w:val="center"/>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Непрописно и неправилно извођење грађевинских радова - члан 281. КЗ</w:t>
            </w:r>
          </w:p>
        </w:tc>
      </w:tr>
      <w:tr w:rsidR="00EC5D47" w:rsidRPr="00AD60B6" w14:paraId="6BCA08EB" w14:textId="77777777" w:rsidTr="00C00D2B">
        <w:trPr>
          <w:trHeight w:val="70"/>
          <w:jc w:val="center"/>
        </w:trPr>
        <w:tc>
          <w:tcPr>
            <w:tcW w:w="895" w:type="dxa"/>
            <w:vMerge/>
            <w:tcBorders>
              <w:top w:val="single" w:sz="4" w:space="0" w:color="auto"/>
              <w:left w:val="single" w:sz="4" w:space="0" w:color="auto"/>
              <w:bottom w:val="single" w:sz="4" w:space="0" w:color="auto"/>
              <w:right w:val="single" w:sz="4" w:space="0" w:color="auto"/>
            </w:tcBorders>
            <w:vAlign w:val="center"/>
            <w:hideMark/>
          </w:tcPr>
          <w:p w14:paraId="1AB74656" w14:textId="77777777" w:rsidR="00EC5D47" w:rsidRPr="00436734" w:rsidRDefault="00EC5D47" w:rsidP="00125B70">
            <w:pPr>
              <w:spacing w:after="0" w:line="240" w:lineRule="auto"/>
              <w:rPr>
                <w:rFonts w:ascii="Times New Roman" w:hAnsi="Times New Roman" w:cs="Times New Roman"/>
                <w:color w:val="000000"/>
                <w:sz w:val="20"/>
                <w:szCs w:val="20"/>
                <w:lang w:val="en-GB" w:eastAsia="en-GB"/>
              </w:rPr>
            </w:pPr>
          </w:p>
        </w:tc>
        <w:tc>
          <w:tcPr>
            <w:tcW w:w="1350" w:type="dxa"/>
            <w:tcBorders>
              <w:top w:val="nil"/>
              <w:left w:val="nil"/>
              <w:bottom w:val="single" w:sz="4" w:space="0" w:color="auto"/>
              <w:right w:val="single" w:sz="4" w:space="0" w:color="auto"/>
            </w:tcBorders>
            <w:shd w:val="clear" w:color="auto" w:fill="auto"/>
            <w:noWrap/>
            <w:vAlign w:val="bottom"/>
            <w:hideMark/>
          </w:tcPr>
          <w:p w14:paraId="04120A0B" w14:textId="77777777" w:rsidR="00EC5D47" w:rsidRPr="0031794A" w:rsidRDefault="00EC5D47" w:rsidP="00125B70">
            <w:pPr>
              <w:spacing w:after="0" w:line="240" w:lineRule="auto"/>
              <w:rPr>
                <w:rFonts w:ascii="Times New Roman" w:hAnsi="Times New Roman" w:cs="Times New Roman"/>
                <w:color w:val="000000"/>
                <w:sz w:val="20"/>
                <w:szCs w:val="20"/>
                <w:lang w:val="en-GB" w:eastAsia="en-GB"/>
              </w:rPr>
            </w:pPr>
            <w:r w:rsidRPr="0031794A">
              <w:rPr>
                <w:rFonts w:ascii="Times New Roman" w:hAnsi="Times New Roman" w:cs="Times New Roman"/>
                <w:color w:val="000000"/>
                <w:sz w:val="20"/>
                <w:szCs w:val="20"/>
                <w:lang w:val="en-GB" w:eastAsia="en-GB"/>
              </w:rPr>
              <w:t>Нерешено</w:t>
            </w:r>
          </w:p>
        </w:tc>
        <w:tc>
          <w:tcPr>
            <w:tcW w:w="1313" w:type="dxa"/>
            <w:tcBorders>
              <w:top w:val="nil"/>
              <w:left w:val="nil"/>
              <w:bottom w:val="single" w:sz="4" w:space="0" w:color="auto"/>
              <w:right w:val="single" w:sz="4" w:space="0" w:color="auto"/>
            </w:tcBorders>
            <w:shd w:val="clear" w:color="auto" w:fill="auto"/>
            <w:noWrap/>
            <w:vAlign w:val="bottom"/>
            <w:hideMark/>
          </w:tcPr>
          <w:p w14:paraId="4317EF55" w14:textId="3F363150" w:rsidR="00EC5D47" w:rsidRPr="0031794A" w:rsidRDefault="00EC5D47" w:rsidP="00125B70">
            <w:pPr>
              <w:spacing w:after="0" w:line="240" w:lineRule="auto"/>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Ново</w:t>
            </w:r>
            <w:r w:rsidR="00C00D2B" w:rsidRPr="0031794A">
              <w:rPr>
                <w:rFonts w:ascii="Times New Roman" w:hAnsi="Times New Roman" w:cs="Times New Roman"/>
                <w:color w:val="000000"/>
                <w:lang w:val="sr-Cyrl-RS" w:eastAsia="en-GB"/>
              </w:rPr>
              <w:t>-</w:t>
            </w:r>
            <w:r w:rsidRPr="0031794A">
              <w:rPr>
                <w:rFonts w:ascii="Times New Roman" w:hAnsi="Times New Roman" w:cs="Times New Roman"/>
                <w:color w:val="000000"/>
                <w:lang w:val="en-GB" w:eastAsia="en-GB"/>
              </w:rPr>
              <w:t>примљено</w:t>
            </w:r>
          </w:p>
        </w:tc>
        <w:tc>
          <w:tcPr>
            <w:tcW w:w="1207" w:type="dxa"/>
            <w:tcBorders>
              <w:top w:val="nil"/>
              <w:left w:val="nil"/>
              <w:bottom w:val="single" w:sz="4" w:space="0" w:color="auto"/>
              <w:right w:val="single" w:sz="4" w:space="0" w:color="auto"/>
            </w:tcBorders>
            <w:shd w:val="clear" w:color="auto" w:fill="auto"/>
            <w:noWrap/>
            <w:vAlign w:val="bottom"/>
            <w:hideMark/>
          </w:tcPr>
          <w:p w14:paraId="08457795" w14:textId="77777777" w:rsidR="00EC5D47" w:rsidRPr="0031794A" w:rsidRDefault="00EC5D47" w:rsidP="00125B70">
            <w:pPr>
              <w:spacing w:after="0" w:line="240" w:lineRule="auto"/>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Нерешено</w:t>
            </w:r>
          </w:p>
        </w:tc>
        <w:tc>
          <w:tcPr>
            <w:tcW w:w="1522" w:type="dxa"/>
            <w:tcBorders>
              <w:top w:val="nil"/>
              <w:left w:val="nil"/>
              <w:bottom w:val="single" w:sz="4" w:space="0" w:color="auto"/>
              <w:right w:val="single" w:sz="4" w:space="0" w:color="auto"/>
            </w:tcBorders>
            <w:shd w:val="clear" w:color="auto" w:fill="auto"/>
            <w:noWrap/>
            <w:vAlign w:val="bottom"/>
            <w:hideMark/>
          </w:tcPr>
          <w:p w14:paraId="70832F4A" w14:textId="77777777" w:rsidR="00C00D2B" w:rsidRPr="0031794A" w:rsidRDefault="00EC5D47" w:rsidP="00125B70">
            <w:pPr>
              <w:spacing w:after="0" w:line="240" w:lineRule="auto"/>
              <w:rPr>
                <w:rFonts w:ascii="Times New Roman" w:hAnsi="Times New Roman" w:cs="Times New Roman"/>
                <w:color w:val="000000"/>
                <w:lang w:val="sr-Cyrl-RS" w:eastAsia="en-GB"/>
              </w:rPr>
            </w:pPr>
            <w:r w:rsidRPr="0031794A">
              <w:rPr>
                <w:rFonts w:ascii="Times New Roman" w:hAnsi="Times New Roman" w:cs="Times New Roman"/>
                <w:color w:val="000000"/>
                <w:lang w:val="en-GB" w:eastAsia="en-GB"/>
              </w:rPr>
              <w:t>Ново</w:t>
            </w:r>
            <w:r w:rsidR="00C00D2B" w:rsidRPr="0031794A">
              <w:rPr>
                <w:rFonts w:ascii="Times New Roman" w:hAnsi="Times New Roman" w:cs="Times New Roman"/>
                <w:color w:val="000000"/>
                <w:lang w:val="sr-Cyrl-RS" w:eastAsia="en-GB"/>
              </w:rPr>
              <w:t>-</w:t>
            </w:r>
          </w:p>
          <w:p w14:paraId="6C095197" w14:textId="5786FC20" w:rsidR="00EC5D47" w:rsidRPr="0031794A" w:rsidRDefault="00EC5D47" w:rsidP="00125B70">
            <w:pPr>
              <w:spacing w:after="0" w:line="240" w:lineRule="auto"/>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примљено</w:t>
            </w:r>
          </w:p>
        </w:tc>
        <w:tc>
          <w:tcPr>
            <w:tcW w:w="1268" w:type="dxa"/>
            <w:tcBorders>
              <w:top w:val="nil"/>
              <w:left w:val="nil"/>
              <w:bottom w:val="single" w:sz="4" w:space="0" w:color="auto"/>
              <w:right w:val="single" w:sz="4" w:space="0" w:color="auto"/>
            </w:tcBorders>
            <w:shd w:val="clear" w:color="auto" w:fill="auto"/>
            <w:noWrap/>
            <w:vAlign w:val="bottom"/>
            <w:hideMark/>
          </w:tcPr>
          <w:p w14:paraId="3C8BEC1E" w14:textId="77777777" w:rsidR="00EC5D47" w:rsidRPr="0031794A" w:rsidRDefault="00EC5D47" w:rsidP="00125B70">
            <w:pPr>
              <w:spacing w:after="0" w:line="240" w:lineRule="auto"/>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Нерешено</w:t>
            </w:r>
          </w:p>
        </w:tc>
        <w:tc>
          <w:tcPr>
            <w:tcW w:w="1461" w:type="dxa"/>
            <w:tcBorders>
              <w:top w:val="nil"/>
              <w:left w:val="nil"/>
              <w:bottom w:val="single" w:sz="4" w:space="0" w:color="auto"/>
              <w:right w:val="single" w:sz="4" w:space="0" w:color="auto"/>
            </w:tcBorders>
            <w:shd w:val="clear" w:color="auto" w:fill="auto"/>
            <w:noWrap/>
            <w:vAlign w:val="bottom"/>
            <w:hideMark/>
          </w:tcPr>
          <w:p w14:paraId="5EEE01DB" w14:textId="77BBD1AE" w:rsidR="00EC5D47" w:rsidRPr="0031794A" w:rsidRDefault="00EC5D47" w:rsidP="00125B70">
            <w:pPr>
              <w:spacing w:after="0" w:line="240" w:lineRule="auto"/>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Ново</w:t>
            </w:r>
            <w:r w:rsidR="00C00D2B" w:rsidRPr="0031794A">
              <w:rPr>
                <w:rFonts w:ascii="Times New Roman" w:hAnsi="Times New Roman" w:cs="Times New Roman"/>
                <w:color w:val="000000"/>
                <w:lang w:val="sr-Cyrl-RS" w:eastAsia="en-GB"/>
              </w:rPr>
              <w:t>-</w:t>
            </w:r>
            <w:r w:rsidRPr="0031794A">
              <w:rPr>
                <w:rFonts w:ascii="Times New Roman" w:hAnsi="Times New Roman" w:cs="Times New Roman"/>
                <w:color w:val="000000"/>
                <w:lang w:val="en-GB" w:eastAsia="en-GB"/>
              </w:rPr>
              <w:t>примљено</w:t>
            </w:r>
          </w:p>
        </w:tc>
      </w:tr>
      <w:tr w:rsidR="00EC5D47" w:rsidRPr="00AD60B6" w14:paraId="1A452551" w14:textId="77777777" w:rsidTr="00C00D2B">
        <w:trPr>
          <w:trHeight w:val="7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0C521D2"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2018</w:t>
            </w:r>
          </w:p>
        </w:tc>
        <w:tc>
          <w:tcPr>
            <w:tcW w:w="1350" w:type="dxa"/>
            <w:tcBorders>
              <w:top w:val="nil"/>
              <w:left w:val="nil"/>
              <w:bottom w:val="single" w:sz="4" w:space="0" w:color="auto"/>
              <w:right w:val="single" w:sz="4" w:space="0" w:color="auto"/>
            </w:tcBorders>
            <w:shd w:val="clear" w:color="auto" w:fill="auto"/>
            <w:noWrap/>
            <w:vAlign w:val="bottom"/>
            <w:hideMark/>
          </w:tcPr>
          <w:p w14:paraId="65AF5844" w14:textId="77777777" w:rsidR="00EC5D47" w:rsidRPr="0031794A" w:rsidRDefault="00EC5D47" w:rsidP="00125B70">
            <w:pPr>
              <w:spacing w:after="0" w:line="240" w:lineRule="auto"/>
              <w:jc w:val="right"/>
              <w:rPr>
                <w:rFonts w:ascii="Times New Roman" w:hAnsi="Times New Roman" w:cs="Times New Roman"/>
                <w:color w:val="000000"/>
                <w:sz w:val="20"/>
                <w:szCs w:val="20"/>
                <w:lang w:val="en-GB" w:eastAsia="en-GB"/>
              </w:rPr>
            </w:pPr>
            <w:r w:rsidRPr="0031794A">
              <w:rPr>
                <w:rFonts w:ascii="Times New Roman" w:hAnsi="Times New Roman" w:cs="Times New Roman"/>
                <w:color w:val="000000"/>
                <w:sz w:val="20"/>
                <w:szCs w:val="20"/>
                <w:lang w:val="en-GB" w:eastAsia="en-GB"/>
              </w:rPr>
              <w:t>15</w:t>
            </w:r>
          </w:p>
        </w:tc>
        <w:tc>
          <w:tcPr>
            <w:tcW w:w="1313" w:type="dxa"/>
            <w:tcBorders>
              <w:top w:val="nil"/>
              <w:left w:val="nil"/>
              <w:bottom w:val="single" w:sz="4" w:space="0" w:color="auto"/>
              <w:right w:val="single" w:sz="4" w:space="0" w:color="auto"/>
            </w:tcBorders>
            <w:shd w:val="clear" w:color="auto" w:fill="auto"/>
            <w:noWrap/>
            <w:vAlign w:val="bottom"/>
            <w:hideMark/>
          </w:tcPr>
          <w:p w14:paraId="12DA26E3"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15</w:t>
            </w:r>
          </w:p>
        </w:tc>
        <w:tc>
          <w:tcPr>
            <w:tcW w:w="1207" w:type="dxa"/>
            <w:tcBorders>
              <w:top w:val="nil"/>
              <w:left w:val="nil"/>
              <w:bottom w:val="single" w:sz="4" w:space="0" w:color="auto"/>
              <w:right w:val="single" w:sz="4" w:space="0" w:color="auto"/>
            </w:tcBorders>
            <w:shd w:val="clear" w:color="auto" w:fill="auto"/>
            <w:noWrap/>
            <w:vAlign w:val="bottom"/>
            <w:hideMark/>
          </w:tcPr>
          <w:p w14:paraId="56128172"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25</w:t>
            </w:r>
          </w:p>
        </w:tc>
        <w:tc>
          <w:tcPr>
            <w:tcW w:w="1522" w:type="dxa"/>
            <w:tcBorders>
              <w:top w:val="nil"/>
              <w:left w:val="nil"/>
              <w:bottom w:val="single" w:sz="4" w:space="0" w:color="auto"/>
              <w:right w:val="single" w:sz="4" w:space="0" w:color="auto"/>
            </w:tcBorders>
            <w:shd w:val="clear" w:color="auto" w:fill="auto"/>
            <w:noWrap/>
            <w:vAlign w:val="bottom"/>
            <w:hideMark/>
          </w:tcPr>
          <w:p w14:paraId="1EFCC7FC"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9</w:t>
            </w:r>
          </w:p>
        </w:tc>
        <w:tc>
          <w:tcPr>
            <w:tcW w:w="1268" w:type="dxa"/>
            <w:tcBorders>
              <w:top w:val="nil"/>
              <w:left w:val="nil"/>
              <w:bottom w:val="single" w:sz="4" w:space="0" w:color="auto"/>
              <w:right w:val="single" w:sz="4" w:space="0" w:color="auto"/>
            </w:tcBorders>
            <w:shd w:val="clear" w:color="auto" w:fill="auto"/>
            <w:noWrap/>
            <w:vAlign w:val="bottom"/>
            <w:hideMark/>
          </w:tcPr>
          <w:p w14:paraId="6290D2A8"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79</w:t>
            </w:r>
          </w:p>
        </w:tc>
        <w:tc>
          <w:tcPr>
            <w:tcW w:w="1461" w:type="dxa"/>
            <w:tcBorders>
              <w:top w:val="nil"/>
              <w:left w:val="nil"/>
              <w:bottom w:val="single" w:sz="4" w:space="0" w:color="auto"/>
              <w:right w:val="single" w:sz="4" w:space="0" w:color="auto"/>
            </w:tcBorders>
            <w:shd w:val="clear" w:color="auto" w:fill="auto"/>
            <w:noWrap/>
            <w:vAlign w:val="bottom"/>
            <w:hideMark/>
          </w:tcPr>
          <w:p w14:paraId="68EE5524"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21</w:t>
            </w:r>
          </w:p>
        </w:tc>
      </w:tr>
      <w:tr w:rsidR="00EC5D47" w:rsidRPr="00AD60B6" w14:paraId="2E45C0AA" w14:textId="77777777" w:rsidTr="00C00D2B">
        <w:trPr>
          <w:trHeight w:val="113"/>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9B542BB"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2019</w:t>
            </w:r>
          </w:p>
        </w:tc>
        <w:tc>
          <w:tcPr>
            <w:tcW w:w="1350" w:type="dxa"/>
            <w:tcBorders>
              <w:top w:val="nil"/>
              <w:left w:val="nil"/>
              <w:bottom w:val="single" w:sz="4" w:space="0" w:color="auto"/>
              <w:right w:val="single" w:sz="4" w:space="0" w:color="auto"/>
            </w:tcBorders>
            <w:shd w:val="clear" w:color="auto" w:fill="auto"/>
            <w:noWrap/>
            <w:vAlign w:val="bottom"/>
            <w:hideMark/>
          </w:tcPr>
          <w:p w14:paraId="69CDE383" w14:textId="77777777" w:rsidR="00EC5D47" w:rsidRPr="0031794A" w:rsidRDefault="00EC5D47" w:rsidP="00125B70">
            <w:pPr>
              <w:spacing w:after="0" w:line="240" w:lineRule="auto"/>
              <w:jc w:val="right"/>
              <w:rPr>
                <w:rFonts w:ascii="Times New Roman" w:hAnsi="Times New Roman" w:cs="Times New Roman"/>
                <w:color w:val="000000"/>
                <w:sz w:val="20"/>
                <w:szCs w:val="20"/>
                <w:lang w:val="en-GB" w:eastAsia="en-GB"/>
              </w:rPr>
            </w:pPr>
            <w:r w:rsidRPr="0031794A">
              <w:rPr>
                <w:rFonts w:ascii="Times New Roman" w:hAnsi="Times New Roman" w:cs="Times New Roman"/>
                <w:color w:val="000000"/>
                <w:sz w:val="20"/>
                <w:szCs w:val="20"/>
                <w:lang w:val="en-GB" w:eastAsia="en-GB"/>
              </w:rPr>
              <w:t>19</w:t>
            </w:r>
          </w:p>
        </w:tc>
        <w:tc>
          <w:tcPr>
            <w:tcW w:w="1313" w:type="dxa"/>
            <w:tcBorders>
              <w:top w:val="nil"/>
              <w:left w:val="nil"/>
              <w:bottom w:val="single" w:sz="4" w:space="0" w:color="auto"/>
              <w:right w:val="single" w:sz="4" w:space="0" w:color="auto"/>
            </w:tcBorders>
            <w:shd w:val="clear" w:color="auto" w:fill="auto"/>
            <w:noWrap/>
            <w:vAlign w:val="bottom"/>
            <w:hideMark/>
          </w:tcPr>
          <w:p w14:paraId="1A9E01CB"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15</w:t>
            </w:r>
          </w:p>
        </w:tc>
        <w:tc>
          <w:tcPr>
            <w:tcW w:w="1207" w:type="dxa"/>
            <w:tcBorders>
              <w:top w:val="nil"/>
              <w:left w:val="nil"/>
              <w:bottom w:val="single" w:sz="4" w:space="0" w:color="auto"/>
              <w:right w:val="single" w:sz="4" w:space="0" w:color="auto"/>
            </w:tcBorders>
            <w:shd w:val="clear" w:color="auto" w:fill="auto"/>
            <w:noWrap/>
            <w:vAlign w:val="bottom"/>
            <w:hideMark/>
          </w:tcPr>
          <w:p w14:paraId="3AB77D1F"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16</w:t>
            </w:r>
          </w:p>
        </w:tc>
        <w:tc>
          <w:tcPr>
            <w:tcW w:w="1522" w:type="dxa"/>
            <w:tcBorders>
              <w:top w:val="nil"/>
              <w:left w:val="nil"/>
              <w:bottom w:val="single" w:sz="4" w:space="0" w:color="auto"/>
              <w:right w:val="single" w:sz="4" w:space="0" w:color="auto"/>
            </w:tcBorders>
            <w:shd w:val="clear" w:color="auto" w:fill="auto"/>
            <w:noWrap/>
            <w:vAlign w:val="bottom"/>
            <w:hideMark/>
          </w:tcPr>
          <w:p w14:paraId="2C47E6D4"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11</w:t>
            </w:r>
          </w:p>
        </w:tc>
        <w:tc>
          <w:tcPr>
            <w:tcW w:w="1268" w:type="dxa"/>
            <w:tcBorders>
              <w:top w:val="nil"/>
              <w:left w:val="nil"/>
              <w:bottom w:val="single" w:sz="4" w:space="0" w:color="auto"/>
              <w:right w:val="single" w:sz="4" w:space="0" w:color="auto"/>
            </w:tcBorders>
            <w:shd w:val="clear" w:color="auto" w:fill="auto"/>
            <w:noWrap/>
            <w:vAlign w:val="bottom"/>
            <w:hideMark/>
          </w:tcPr>
          <w:p w14:paraId="5D6F2150"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34</w:t>
            </w:r>
          </w:p>
        </w:tc>
        <w:tc>
          <w:tcPr>
            <w:tcW w:w="1461" w:type="dxa"/>
            <w:tcBorders>
              <w:top w:val="nil"/>
              <w:left w:val="nil"/>
              <w:bottom w:val="single" w:sz="4" w:space="0" w:color="auto"/>
              <w:right w:val="single" w:sz="4" w:space="0" w:color="auto"/>
            </w:tcBorders>
            <w:shd w:val="clear" w:color="auto" w:fill="auto"/>
            <w:noWrap/>
            <w:vAlign w:val="bottom"/>
            <w:hideMark/>
          </w:tcPr>
          <w:p w14:paraId="0B5DF326"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11</w:t>
            </w:r>
          </w:p>
        </w:tc>
      </w:tr>
      <w:tr w:rsidR="00EC5D47" w:rsidRPr="00AD60B6" w14:paraId="50F506B7" w14:textId="77777777" w:rsidTr="00C00D2B">
        <w:trPr>
          <w:trHeight w:val="7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44FCF4A7"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2020</w:t>
            </w:r>
          </w:p>
        </w:tc>
        <w:tc>
          <w:tcPr>
            <w:tcW w:w="1350" w:type="dxa"/>
            <w:tcBorders>
              <w:top w:val="nil"/>
              <w:left w:val="nil"/>
              <w:bottom w:val="single" w:sz="4" w:space="0" w:color="auto"/>
              <w:right w:val="single" w:sz="4" w:space="0" w:color="auto"/>
            </w:tcBorders>
            <w:shd w:val="clear" w:color="auto" w:fill="auto"/>
            <w:noWrap/>
            <w:vAlign w:val="bottom"/>
            <w:hideMark/>
          </w:tcPr>
          <w:p w14:paraId="37427BAB" w14:textId="77777777" w:rsidR="00EC5D47" w:rsidRPr="0031794A" w:rsidRDefault="00EC5D47" w:rsidP="00125B70">
            <w:pPr>
              <w:spacing w:after="0" w:line="240" w:lineRule="auto"/>
              <w:jc w:val="right"/>
              <w:rPr>
                <w:rFonts w:ascii="Times New Roman" w:hAnsi="Times New Roman" w:cs="Times New Roman"/>
                <w:color w:val="000000"/>
                <w:sz w:val="20"/>
                <w:szCs w:val="20"/>
                <w:lang w:val="en-GB" w:eastAsia="en-GB"/>
              </w:rPr>
            </w:pPr>
            <w:r w:rsidRPr="0031794A">
              <w:rPr>
                <w:rFonts w:ascii="Times New Roman" w:hAnsi="Times New Roman" w:cs="Times New Roman"/>
                <w:color w:val="000000"/>
                <w:sz w:val="20"/>
                <w:szCs w:val="20"/>
                <w:lang w:val="en-GB" w:eastAsia="en-GB"/>
              </w:rPr>
              <w:t>17</w:t>
            </w:r>
          </w:p>
        </w:tc>
        <w:tc>
          <w:tcPr>
            <w:tcW w:w="1313" w:type="dxa"/>
            <w:tcBorders>
              <w:top w:val="nil"/>
              <w:left w:val="nil"/>
              <w:bottom w:val="single" w:sz="4" w:space="0" w:color="auto"/>
              <w:right w:val="single" w:sz="4" w:space="0" w:color="auto"/>
            </w:tcBorders>
            <w:shd w:val="clear" w:color="auto" w:fill="auto"/>
            <w:noWrap/>
            <w:vAlign w:val="bottom"/>
            <w:hideMark/>
          </w:tcPr>
          <w:p w14:paraId="0C8F102A"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10</w:t>
            </w:r>
          </w:p>
        </w:tc>
        <w:tc>
          <w:tcPr>
            <w:tcW w:w="1207" w:type="dxa"/>
            <w:tcBorders>
              <w:top w:val="nil"/>
              <w:left w:val="nil"/>
              <w:bottom w:val="single" w:sz="4" w:space="0" w:color="auto"/>
              <w:right w:val="single" w:sz="4" w:space="0" w:color="auto"/>
            </w:tcBorders>
            <w:shd w:val="clear" w:color="auto" w:fill="auto"/>
            <w:noWrap/>
            <w:vAlign w:val="bottom"/>
            <w:hideMark/>
          </w:tcPr>
          <w:p w14:paraId="676BC1D8"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9</w:t>
            </w:r>
          </w:p>
        </w:tc>
        <w:tc>
          <w:tcPr>
            <w:tcW w:w="1522" w:type="dxa"/>
            <w:tcBorders>
              <w:top w:val="nil"/>
              <w:left w:val="nil"/>
              <w:bottom w:val="single" w:sz="4" w:space="0" w:color="auto"/>
              <w:right w:val="single" w:sz="4" w:space="0" w:color="auto"/>
            </w:tcBorders>
            <w:shd w:val="clear" w:color="auto" w:fill="auto"/>
            <w:noWrap/>
            <w:vAlign w:val="bottom"/>
            <w:hideMark/>
          </w:tcPr>
          <w:p w14:paraId="2BF86A37"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26</w:t>
            </w:r>
          </w:p>
        </w:tc>
        <w:tc>
          <w:tcPr>
            <w:tcW w:w="1268" w:type="dxa"/>
            <w:tcBorders>
              <w:top w:val="nil"/>
              <w:left w:val="nil"/>
              <w:bottom w:val="single" w:sz="4" w:space="0" w:color="auto"/>
              <w:right w:val="single" w:sz="4" w:space="0" w:color="auto"/>
            </w:tcBorders>
            <w:shd w:val="clear" w:color="auto" w:fill="auto"/>
            <w:noWrap/>
            <w:vAlign w:val="bottom"/>
            <w:hideMark/>
          </w:tcPr>
          <w:p w14:paraId="740F8549"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33</w:t>
            </w:r>
          </w:p>
        </w:tc>
        <w:tc>
          <w:tcPr>
            <w:tcW w:w="1461" w:type="dxa"/>
            <w:tcBorders>
              <w:top w:val="nil"/>
              <w:left w:val="nil"/>
              <w:bottom w:val="single" w:sz="4" w:space="0" w:color="auto"/>
              <w:right w:val="single" w:sz="4" w:space="0" w:color="auto"/>
            </w:tcBorders>
            <w:shd w:val="clear" w:color="auto" w:fill="auto"/>
            <w:noWrap/>
            <w:vAlign w:val="bottom"/>
            <w:hideMark/>
          </w:tcPr>
          <w:p w14:paraId="12794266"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13</w:t>
            </w:r>
          </w:p>
        </w:tc>
      </w:tr>
      <w:tr w:rsidR="00EC5D47" w:rsidRPr="00AD60B6" w14:paraId="43C67449" w14:textId="77777777" w:rsidTr="00C00D2B">
        <w:trPr>
          <w:trHeight w:val="70"/>
          <w:jc w:val="center"/>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14:paraId="630F7524"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2021</w:t>
            </w:r>
          </w:p>
        </w:tc>
        <w:tc>
          <w:tcPr>
            <w:tcW w:w="1350" w:type="dxa"/>
            <w:tcBorders>
              <w:top w:val="nil"/>
              <w:left w:val="nil"/>
              <w:bottom w:val="single" w:sz="4" w:space="0" w:color="auto"/>
              <w:right w:val="single" w:sz="4" w:space="0" w:color="auto"/>
            </w:tcBorders>
            <w:shd w:val="clear" w:color="auto" w:fill="auto"/>
            <w:noWrap/>
            <w:vAlign w:val="bottom"/>
            <w:hideMark/>
          </w:tcPr>
          <w:p w14:paraId="630DDE09" w14:textId="77777777" w:rsidR="00EC5D47" w:rsidRPr="0031794A" w:rsidRDefault="00EC5D47" w:rsidP="00125B70">
            <w:pPr>
              <w:spacing w:after="0" w:line="240" w:lineRule="auto"/>
              <w:jc w:val="right"/>
              <w:rPr>
                <w:rFonts w:ascii="Times New Roman" w:hAnsi="Times New Roman" w:cs="Times New Roman"/>
                <w:color w:val="000000"/>
                <w:sz w:val="20"/>
                <w:szCs w:val="20"/>
                <w:lang w:val="en-GB" w:eastAsia="en-GB"/>
              </w:rPr>
            </w:pPr>
            <w:r w:rsidRPr="0031794A">
              <w:rPr>
                <w:rFonts w:ascii="Times New Roman" w:hAnsi="Times New Roman" w:cs="Times New Roman"/>
                <w:color w:val="000000"/>
                <w:sz w:val="20"/>
                <w:szCs w:val="20"/>
                <w:lang w:val="en-GB" w:eastAsia="en-GB"/>
              </w:rPr>
              <w:t>11</w:t>
            </w:r>
          </w:p>
        </w:tc>
        <w:tc>
          <w:tcPr>
            <w:tcW w:w="1313" w:type="dxa"/>
            <w:tcBorders>
              <w:top w:val="nil"/>
              <w:left w:val="nil"/>
              <w:bottom w:val="single" w:sz="4" w:space="0" w:color="auto"/>
              <w:right w:val="single" w:sz="4" w:space="0" w:color="auto"/>
            </w:tcBorders>
            <w:shd w:val="clear" w:color="auto" w:fill="auto"/>
            <w:noWrap/>
            <w:vAlign w:val="bottom"/>
            <w:hideMark/>
          </w:tcPr>
          <w:p w14:paraId="260BF80E"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14</w:t>
            </w:r>
          </w:p>
        </w:tc>
        <w:tc>
          <w:tcPr>
            <w:tcW w:w="1207" w:type="dxa"/>
            <w:tcBorders>
              <w:top w:val="nil"/>
              <w:left w:val="nil"/>
              <w:bottom w:val="single" w:sz="4" w:space="0" w:color="auto"/>
              <w:right w:val="single" w:sz="4" w:space="0" w:color="auto"/>
            </w:tcBorders>
            <w:shd w:val="clear" w:color="auto" w:fill="auto"/>
            <w:noWrap/>
            <w:vAlign w:val="bottom"/>
            <w:hideMark/>
          </w:tcPr>
          <w:p w14:paraId="3438036F"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18</w:t>
            </w:r>
          </w:p>
        </w:tc>
        <w:tc>
          <w:tcPr>
            <w:tcW w:w="1522" w:type="dxa"/>
            <w:tcBorders>
              <w:top w:val="nil"/>
              <w:left w:val="nil"/>
              <w:bottom w:val="single" w:sz="4" w:space="0" w:color="auto"/>
              <w:right w:val="single" w:sz="4" w:space="0" w:color="auto"/>
            </w:tcBorders>
            <w:shd w:val="clear" w:color="auto" w:fill="auto"/>
            <w:noWrap/>
            <w:vAlign w:val="bottom"/>
            <w:hideMark/>
          </w:tcPr>
          <w:p w14:paraId="63E884B3"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34</w:t>
            </w:r>
          </w:p>
        </w:tc>
        <w:tc>
          <w:tcPr>
            <w:tcW w:w="1268" w:type="dxa"/>
            <w:tcBorders>
              <w:top w:val="nil"/>
              <w:left w:val="nil"/>
              <w:bottom w:val="single" w:sz="4" w:space="0" w:color="auto"/>
              <w:right w:val="single" w:sz="4" w:space="0" w:color="auto"/>
            </w:tcBorders>
            <w:shd w:val="clear" w:color="auto" w:fill="auto"/>
            <w:noWrap/>
            <w:vAlign w:val="bottom"/>
            <w:hideMark/>
          </w:tcPr>
          <w:p w14:paraId="6A37BCE3"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33</w:t>
            </w:r>
          </w:p>
        </w:tc>
        <w:tc>
          <w:tcPr>
            <w:tcW w:w="1461" w:type="dxa"/>
            <w:tcBorders>
              <w:top w:val="nil"/>
              <w:left w:val="nil"/>
              <w:bottom w:val="single" w:sz="4" w:space="0" w:color="auto"/>
              <w:right w:val="single" w:sz="4" w:space="0" w:color="auto"/>
            </w:tcBorders>
            <w:shd w:val="clear" w:color="auto" w:fill="auto"/>
            <w:noWrap/>
            <w:vAlign w:val="bottom"/>
            <w:hideMark/>
          </w:tcPr>
          <w:p w14:paraId="775645F3" w14:textId="77777777" w:rsidR="00EC5D47" w:rsidRPr="0031794A" w:rsidRDefault="00EC5D47" w:rsidP="00125B70">
            <w:pPr>
              <w:spacing w:after="0" w:line="240" w:lineRule="auto"/>
              <w:jc w:val="right"/>
              <w:rPr>
                <w:rFonts w:ascii="Times New Roman" w:hAnsi="Times New Roman" w:cs="Times New Roman"/>
                <w:color w:val="000000"/>
                <w:lang w:val="en-GB" w:eastAsia="en-GB"/>
              </w:rPr>
            </w:pPr>
            <w:r w:rsidRPr="0031794A">
              <w:rPr>
                <w:rFonts w:ascii="Times New Roman" w:hAnsi="Times New Roman" w:cs="Times New Roman"/>
                <w:color w:val="000000"/>
                <w:lang w:val="en-GB" w:eastAsia="en-GB"/>
              </w:rPr>
              <w:t>8</w:t>
            </w:r>
          </w:p>
        </w:tc>
      </w:tr>
    </w:tbl>
    <w:p w14:paraId="2F67FBD9" w14:textId="77777777" w:rsidR="00EC5D47" w:rsidRPr="00BC4C04" w:rsidRDefault="00EC5D47" w:rsidP="00EC5D47">
      <w:pPr>
        <w:jc w:val="both"/>
        <w:rPr>
          <w:rFonts w:ascii="Times New Roman" w:hAnsi="Times New Roman" w:cs="Times New Roman"/>
          <w:i/>
          <w:iCs/>
          <w:sz w:val="24"/>
          <w:szCs w:val="24"/>
        </w:rPr>
      </w:pPr>
      <w:r w:rsidRPr="00BC4C04">
        <w:rPr>
          <w:rFonts w:ascii="Times New Roman" w:hAnsi="Times New Roman" w:cs="Times New Roman"/>
          <w:i/>
          <w:iCs/>
          <w:sz w:val="24"/>
          <w:szCs w:val="24"/>
        </w:rPr>
        <w:t>Извор: Извештаји Управе за безбедност и здравље на раду</w:t>
      </w:r>
    </w:p>
    <w:p w14:paraId="433579D1" w14:textId="77777777" w:rsidR="00EC5D47" w:rsidRPr="00AD60B6" w:rsidRDefault="00EC5D47" w:rsidP="001305AA">
      <w:pPr>
        <w:ind w:firstLine="720"/>
        <w:jc w:val="both"/>
        <w:rPr>
          <w:rFonts w:ascii="Times New Roman" w:hAnsi="Times New Roman" w:cs="Times New Roman"/>
          <w:sz w:val="24"/>
          <w:szCs w:val="24"/>
          <w:lang w:val="sr-Cyrl-RS"/>
        </w:rPr>
      </w:pPr>
      <w:r w:rsidRPr="00AD60B6">
        <w:rPr>
          <w:rFonts w:ascii="Times New Roman" w:hAnsi="Times New Roman" w:cs="Times New Roman"/>
          <w:sz w:val="24"/>
          <w:szCs w:val="24"/>
        </w:rPr>
        <w:t>Републичко јавно тужилаштво извршило је анализу за кривично дело непредузимања мера заштите на раду из члана 169</w:t>
      </w:r>
      <w:r w:rsidRPr="00AD60B6">
        <w:rPr>
          <w:rFonts w:ascii="Times New Roman" w:hAnsi="Times New Roman" w:cs="Times New Roman"/>
          <w:sz w:val="24"/>
          <w:szCs w:val="24"/>
          <w:lang w:val="sr-Cyrl-RS"/>
        </w:rPr>
        <w:t xml:space="preserve">, </w:t>
      </w:r>
      <w:r w:rsidRPr="00AD60B6">
        <w:rPr>
          <w:rFonts w:ascii="Times New Roman" w:hAnsi="Times New Roman" w:cs="Times New Roman"/>
          <w:sz w:val="24"/>
          <w:szCs w:val="24"/>
        </w:rPr>
        <w:t>за кривично дело изазивање опасности необезбеђењем мера заштите на раду из члана 280</w:t>
      </w:r>
      <w:r w:rsidRPr="00AD60B6">
        <w:rPr>
          <w:rFonts w:ascii="Times New Roman" w:hAnsi="Times New Roman" w:cs="Times New Roman"/>
          <w:sz w:val="24"/>
          <w:szCs w:val="24"/>
          <w:lang w:val="sr-Cyrl-RS"/>
        </w:rPr>
        <w:t xml:space="preserve">. и </w:t>
      </w:r>
      <w:r w:rsidRPr="00AD60B6">
        <w:rPr>
          <w:rFonts w:ascii="Times New Roman" w:hAnsi="Times New Roman" w:cs="Times New Roman"/>
          <w:sz w:val="24"/>
          <w:szCs w:val="24"/>
        </w:rPr>
        <w:t>за кривично дело непрописно и неправилно извођење грађевинских радова из члана 281. Кривичног законика</w:t>
      </w:r>
      <w:r w:rsidRPr="00AD60B6">
        <w:rPr>
          <w:rFonts w:ascii="Times New Roman" w:hAnsi="Times New Roman" w:cs="Times New Roman"/>
          <w:sz w:val="24"/>
          <w:szCs w:val="24"/>
          <w:lang w:val="sr-Cyrl-RS"/>
        </w:rPr>
        <w:t>.</w:t>
      </w:r>
      <w:r w:rsidRPr="00AD60B6">
        <w:rPr>
          <w:rFonts w:ascii="Times New Roman" w:hAnsi="Times New Roman" w:cs="Times New Roman"/>
          <w:sz w:val="24"/>
          <w:szCs w:val="24"/>
        </w:rPr>
        <w:t xml:space="preserve"> </w:t>
      </w:r>
    </w:p>
    <w:p w14:paraId="758F136D" w14:textId="77777777" w:rsidR="00EC5D47" w:rsidRPr="00AD60B6" w:rsidRDefault="00EC5D47" w:rsidP="001305AA">
      <w:pPr>
        <w:ind w:firstLine="720"/>
        <w:jc w:val="both"/>
        <w:rPr>
          <w:rFonts w:ascii="Times New Roman" w:hAnsi="Times New Roman" w:cs="Times New Roman"/>
          <w:sz w:val="24"/>
          <w:szCs w:val="24"/>
          <w:lang w:val="sr-Cyrl-RS"/>
        </w:rPr>
      </w:pPr>
      <w:r w:rsidRPr="00AD60B6">
        <w:rPr>
          <w:rFonts w:ascii="Times New Roman" w:hAnsi="Times New Roman" w:cs="Times New Roman"/>
          <w:sz w:val="24"/>
          <w:szCs w:val="24"/>
          <w:lang w:val="sr-Cyrl-RS"/>
        </w:rPr>
        <w:t xml:space="preserve">На основу </w:t>
      </w:r>
      <w:r w:rsidRPr="00AD60B6">
        <w:rPr>
          <w:rFonts w:ascii="Times New Roman" w:hAnsi="Times New Roman" w:cs="Times New Roman"/>
          <w:sz w:val="24"/>
          <w:szCs w:val="24"/>
        </w:rPr>
        <w:t>пода</w:t>
      </w:r>
      <w:r w:rsidRPr="00AD60B6">
        <w:rPr>
          <w:rFonts w:ascii="Times New Roman" w:hAnsi="Times New Roman" w:cs="Times New Roman"/>
          <w:sz w:val="24"/>
          <w:szCs w:val="24"/>
          <w:lang w:val="sr-Cyrl-RS"/>
        </w:rPr>
        <w:t>така</w:t>
      </w:r>
      <w:r w:rsidRPr="00AD60B6">
        <w:rPr>
          <w:rFonts w:ascii="Times New Roman" w:hAnsi="Times New Roman" w:cs="Times New Roman"/>
          <w:sz w:val="24"/>
          <w:szCs w:val="24"/>
        </w:rPr>
        <w:t xml:space="preserve"> Министарства правде, за све прекршајне судове у Републици Србији о броју поднетих захтева према Закону о прекршајима („Службени гласник РС”, бр. 65/13, 13/16, 98/16 – одлука </w:t>
      </w:r>
      <w:r w:rsidRPr="00436734">
        <w:rPr>
          <w:rFonts w:ascii="Times New Roman" w:hAnsi="Times New Roman" w:cs="Times New Roman"/>
          <w:sz w:val="24"/>
          <w:szCs w:val="24"/>
        </w:rPr>
        <w:t>УС</w:t>
      </w:r>
      <w:r w:rsidRPr="00436734">
        <w:rPr>
          <w:rFonts w:ascii="Times New Roman" w:hAnsi="Times New Roman" w:cs="Times New Roman"/>
          <w:sz w:val="24"/>
          <w:szCs w:val="24"/>
          <w:lang w:val="sr-Cyrl-RS"/>
        </w:rPr>
        <w:t xml:space="preserve">, </w:t>
      </w:r>
      <w:r w:rsidRPr="00436734">
        <w:rPr>
          <w:rFonts w:ascii="Times New Roman" w:hAnsi="Times New Roman" w:cs="Times New Roman"/>
          <w:sz w:val="24"/>
          <w:szCs w:val="24"/>
        </w:rPr>
        <w:t xml:space="preserve">91/19, 91/19 - др. </w:t>
      </w:r>
      <w:proofErr w:type="gramStart"/>
      <w:r w:rsidRPr="00436734">
        <w:rPr>
          <w:rFonts w:ascii="Times New Roman" w:hAnsi="Times New Roman" w:cs="Times New Roman"/>
          <w:sz w:val="24"/>
          <w:szCs w:val="24"/>
        </w:rPr>
        <w:t>закон</w:t>
      </w:r>
      <w:proofErr w:type="gramEnd"/>
      <w:r w:rsidRPr="00436734">
        <w:rPr>
          <w:rFonts w:ascii="Times New Roman" w:hAnsi="Times New Roman" w:cs="Times New Roman"/>
          <w:sz w:val="24"/>
          <w:szCs w:val="24"/>
        </w:rPr>
        <w:t xml:space="preserve"> и 112/22 – одлука </w:t>
      </w:r>
      <w:r w:rsidRPr="00436734">
        <w:rPr>
          <w:rFonts w:ascii="Times New Roman" w:hAnsi="Times New Roman" w:cs="Times New Roman"/>
          <w:sz w:val="24"/>
          <w:szCs w:val="24"/>
          <w:lang w:val="sr-Cyrl-RS"/>
        </w:rPr>
        <w:t>УС</w:t>
      </w:r>
      <w:r w:rsidRPr="00436734">
        <w:rPr>
          <w:rFonts w:ascii="Times New Roman" w:hAnsi="Times New Roman" w:cs="Times New Roman"/>
          <w:sz w:val="24"/>
          <w:szCs w:val="24"/>
        </w:rPr>
        <w:t xml:space="preserve">), </w:t>
      </w:r>
      <w:r w:rsidRPr="00436734">
        <w:rPr>
          <w:rFonts w:ascii="Times New Roman" w:hAnsi="Times New Roman" w:cs="Times New Roman"/>
          <w:sz w:val="24"/>
          <w:szCs w:val="24"/>
          <w:lang w:val="sr-Cyrl-RS"/>
        </w:rPr>
        <w:t xml:space="preserve">уочава се тренд повећања ефикасности рада судова мерен односом броја решених </w:t>
      </w:r>
      <w:r w:rsidRPr="00AD60B6">
        <w:rPr>
          <w:rFonts w:ascii="Times New Roman" w:hAnsi="Times New Roman" w:cs="Times New Roman"/>
          <w:sz w:val="24"/>
          <w:szCs w:val="24"/>
          <w:lang w:val="sr-Cyrl-RS"/>
        </w:rPr>
        <w:t>и броја поднетих захтева. У односу на први период примене стратегије, када судови нису успели да савладају прилив нових предмета, број решених предмета је значајно увећан од 2020. године. Санкције у виду максималне новчане казне преко 1 милион динара се ретко јављају, док се у просеку око трећина решених случајева завршава са изрицањем казне до 100.000 динара, а око четвртине казнама средње величине</w:t>
      </w:r>
      <w:r w:rsidRPr="00AD60B6">
        <w:rPr>
          <w:rFonts w:ascii="Times New Roman" w:hAnsi="Times New Roman" w:cs="Times New Roman"/>
          <w:sz w:val="24"/>
          <w:szCs w:val="24"/>
        </w:rPr>
        <w:t xml:space="preserve"> од 100.000 до 1.000.000 динара </w:t>
      </w:r>
      <w:r w:rsidRPr="00AD60B6">
        <w:rPr>
          <w:rFonts w:ascii="Times New Roman" w:hAnsi="Times New Roman" w:cs="Times New Roman"/>
          <w:sz w:val="24"/>
          <w:szCs w:val="24"/>
          <w:lang w:val="sr-Cyrl-RS"/>
        </w:rPr>
        <w:t xml:space="preserve">Такође је приметан тренд повећања број предмета </w:t>
      </w:r>
      <w:r w:rsidRPr="00AD60B6">
        <w:rPr>
          <w:rFonts w:ascii="Times New Roman" w:hAnsi="Times New Roman" w:cs="Times New Roman"/>
          <w:sz w:val="24"/>
          <w:szCs w:val="24"/>
        </w:rPr>
        <w:t>решених на други начин по Закону о прекршајима (опомена, одбачај захтева, обустава, окривљени ослобођен одговорности)</w:t>
      </w:r>
      <w:r w:rsidRPr="00AD60B6">
        <w:rPr>
          <w:rFonts w:ascii="Times New Roman" w:hAnsi="Times New Roman" w:cs="Times New Roman"/>
          <w:sz w:val="24"/>
          <w:szCs w:val="24"/>
          <w:lang w:val="sr-Cyrl-RS"/>
        </w:rPr>
        <w:t>.</w:t>
      </w:r>
    </w:p>
    <w:tbl>
      <w:tblPr>
        <w:tblW w:w="9130" w:type="dxa"/>
        <w:tblLayout w:type="fixed"/>
        <w:tblLook w:val="04A0" w:firstRow="1" w:lastRow="0" w:firstColumn="1" w:lastColumn="0" w:noHBand="0" w:noVBand="1"/>
      </w:tblPr>
      <w:tblGrid>
        <w:gridCol w:w="1351"/>
        <w:gridCol w:w="1196"/>
        <w:gridCol w:w="1276"/>
        <w:gridCol w:w="983"/>
        <w:gridCol w:w="984"/>
        <w:gridCol w:w="984"/>
        <w:gridCol w:w="2340"/>
        <w:gridCol w:w="16"/>
      </w:tblGrid>
      <w:tr w:rsidR="00EC5D47" w:rsidRPr="00436734" w14:paraId="12D2DFE5" w14:textId="77777777" w:rsidTr="00125B70">
        <w:trPr>
          <w:gridAfter w:val="1"/>
          <w:wAfter w:w="16" w:type="dxa"/>
          <w:trHeight w:val="357"/>
        </w:trPr>
        <w:tc>
          <w:tcPr>
            <w:tcW w:w="1351" w:type="dxa"/>
            <w:vMerge w:val="restart"/>
            <w:tcBorders>
              <w:top w:val="single" w:sz="4" w:space="0" w:color="auto"/>
              <w:left w:val="single" w:sz="4" w:space="0" w:color="auto"/>
              <w:right w:val="single" w:sz="4" w:space="0" w:color="auto"/>
            </w:tcBorders>
            <w:shd w:val="clear" w:color="auto" w:fill="auto"/>
            <w:vAlign w:val="center"/>
            <w:hideMark/>
          </w:tcPr>
          <w:p w14:paraId="0CE927E6" w14:textId="77777777" w:rsidR="00EC5D47" w:rsidRPr="00436734" w:rsidRDefault="00EC5D47" w:rsidP="00125B70">
            <w:pPr>
              <w:spacing w:after="0" w:line="240" w:lineRule="auto"/>
              <w:jc w:val="center"/>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lastRenderedPageBreak/>
              <w:t>Прекршајни суд</w:t>
            </w:r>
          </w:p>
        </w:tc>
        <w:tc>
          <w:tcPr>
            <w:tcW w:w="1196" w:type="dxa"/>
            <w:vMerge w:val="restart"/>
            <w:tcBorders>
              <w:top w:val="single" w:sz="4" w:space="0" w:color="auto"/>
              <w:left w:val="nil"/>
              <w:right w:val="single" w:sz="4" w:space="0" w:color="auto"/>
            </w:tcBorders>
            <w:shd w:val="clear" w:color="auto" w:fill="auto"/>
            <w:vAlign w:val="center"/>
            <w:hideMark/>
          </w:tcPr>
          <w:p w14:paraId="67AC5A39" w14:textId="77777777" w:rsidR="00EC5D47" w:rsidRPr="00436734" w:rsidRDefault="00EC5D47" w:rsidP="00125B70">
            <w:pPr>
              <w:spacing w:after="0" w:line="240" w:lineRule="auto"/>
              <w:jc w:val="center"/>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 xml:space="preserve">Број поднетих захтева у 2019. </w:t>
            </w:r>
            <w:proofErr w:type="gramStart"/>
            <w:r w:rsidRPr="00436734">
              <w:rPr>
                <w:rFonts w:ascii="Times New Roman" w:hAnsi="Times New Roman" w:cs="Times New Roman"/>
                <w:color w:val="000000"/>
                <w:sz w:val="20"/>
                <w:szCs w:val="20"/>
                <w:lang w:val="en-GB" w:eastAsia="en-GB"/>
              </w:rPr>
              <w:t>год</w:t>
            </w:r>
            <w:proofErr w:type="gramEnd"/>
            <w:r w:rsidRPr="00436734">
              <w:rPr>
                <w:rFonts w:ascii="Times New Roman" w:hAnsi="Times New Roman" w:cs="Times New Roman"/>
                <w:color w:val="000000"/>
                <w:sz w:val="20"/>
                <w:szCs w:val="20"/>
                <w:lang w:val="en-GB" w:eastAsia="en-GB"/>
              </w:rPr>
              <w:t>.</w:t>
            </w:r>
          </w:p>
        </w:tc>
        <w:tc>
          <w:tcPr>
            <w:tcW w:w="1276" w:type="dxa"/>
            <w:vMerge w:val="restart"/>
            <w:tcBorders>
              <w:top w:val="single" w:sz="4" w:space="0" w:color="auto"/>
              <w:left w:val="nil"/>
              <w:right w:val="single" w:sz="4" w:space="0" w:color="auto"/>
            </w:tcBorders>
            <w:shd w:val="clear" w:color="auto" w:fill="auto"/>
            <w:vAlign w:val="center"/>
            <w:hideMark/>
          </w:tcPr>
          <w:p w14:paraId="5A0E3B56" w14:textId="77777777" w:rsidR="00EC5D47" w:rsidRPr="00436734" w:rsidRDefault="00EC5D47" w:rsidP="00125B70">
            <w:pPr>
              <w:spacing w:after="0" w:line="240" w:lineRule="auto"/>
              <w:jc w:val="center"/>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Број решених предмета у 2019.год.</w:t>
            </w:r>
          </w:p>
        </w:tc>
        <w:tc>
          <w:tcPr>
            <w:tcW w:w="2951" w:type="dxa"/>
            <w:gridSpan w:val="3"/>
            <w:tcBorders>
              <w:top w:val="single" w:sz="4" w:space="0" w:color="auto"/>
              <w:left w:val="nil"/>
              <w:bottom w:val="single" w:sz="4" w:space="0" w:color="auto"/>
              <w:right w:val="single" w:sz="4" w:space="0" w:color="auto"/>
            </w:tcBorders>
            <w:shd w:val="clear" w:color="auto" w:fill="auto"/>
            <w:vAlign w:val="center"/>
            <w:hideMark/>
          </w:tcPr>
          <w:p w14:paraId="6F072B08" w14:textId="77777777" w:rsidR="00EC5D47" w:rsidRPr="00436734" w:rsidRDefault="00EC5D47" w:rsidP="00125B70">
            <w:pPr>
              <w:spacing w:after="0" w:line="240" w:lineRule="auto"/>
              <w:jc w:val="center"/>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Број предмета у којима је изречена новчана казна у износу од:</w:t>
            </w:r>
          </w:p>
        </w:tc>
        <w:tc>
          <w:tcPr>
            <w:tcW w:w="2340" w:type="dxa"/>
            <w:vMerge w:val="restart"/>
            <w:tcBorders>
              <w:top w:val="single" w:sz="4" w:space="0" w:color="auto"/>
              <w:left w:val="nil"/>
              <w:right w:val="single" w:sz="4" w:space="0" w:color="auto"/>
            </w:tcBorders>
            <w:shd w:val="clear" w:color="auto" w:fill="auto"/>
            <w:vAlign w:val="center"/>
            <w:hideMark/>
          </w:tcPr>
          <w:p w14:paraId="010AB51E" w14:textId="77777777" w:rsidR="00EC5D47" w:rsidRPr="00436734" w:rsidRDefault="00EC5D47" w:rsidP="00125B70">
            <w:pPr>
              <w:spacing w:after="0" w:line="240" w:lineRule="auto"/>
              <w:jc w:val="center"/>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Решено на други начин по Закону о прекршајима (опомена, одбачај захтева, обустава, окривљени ослобођен одговорности)</w:t>
            </w:r>
          </w:p>
        </w:tc>
      </w:tr>
      <w:tr w:rsidR="00EC5D47" w:rsidRPr="00436734" w14:paraId="3139C987" w14:textId="77777777" w:rsidTr="00125B70">
        <w:trPr>
          <w:gridAfter w:val="1"/>
          <w:wAfter w:w="16" w:type="dxa"/>
          <w:trHeight w:val="550"/>
        </w:trPr>
        <w:tc>
          <w:tcPr>
            <w:tcW w:w="1351" w:type="dxa"/>
            <w:vMerge/>
            <w:tcBorders>
              <w:left w:val="single" w:sz="4" w:space="0" w:color="auto"/>
              <w:bottom w:val="single" w:sz="4" w:space="0" w:color="auto"/>
              <w:right w:val="single" w:sz="4" w:space="0" w:color="auto"/>
            </w:tcBorders>
            <w:shd w:val="clear" w:color="auto" w:fill="auto"/>
            <w:vAlign w:val="center"/>
          </w:tcPr>
          <w:p w14:paraId="3EE41D2C" w14:textId="77777777" w:rsidR="00EC5D47" w:rsidRPr="00436734" w:rsidRDefault="00EC5D47" w:rsidP="00125B70">
            <w:pPr>
              <w:spacing w:after="0" w:line="240" w:lineRule="auto"/>
              <w:jc w:val="center"/>
              <w:rPr>
                <w:rFonts w:ascii="Times New Roman" w:hAnsi="Times New Roman" w:cs="Times New Roman"/>
                <w:color w:val="000000"/>
                <w:sz w:val="20"/>
                <w:szCs w:val="20"/>
                <w:lang w:val="en-GB" w:eastAsia="en-GB"/>
              </w:rPr>
            </w:pPr>
          </w:p>
        </w:tc>
        <w:tc>
          <w:tcPr>
            <w:tcW w:w="1196" w:type="dxa"/>
            <w:vMerge/>
            <w:tcBorders>
              <w:left w:val="nil"/>
              <w:bottom w:val="single" w:sz="4" w:space="0" w:color="auto"/>
              <w:right w:val="single" w:sz="4" w:space="0" w:color="auto"/>
            </w:tcBorders>
            <w:shd w:val="clear" w:color="auto" w:fill="auto"/>
            <w:vAlign w:val="center"/>
          </w:tcPr>
          <w:p w14:paraId="5040032D" w14:textId="77777777" w:rsidR="00EC5D47" w:rsidRPr="00436734" w:rsidRDefault="00EC5D47" w:rsidP="00125B70">
            <w:pPr>
              <w:spacing w:after="0" w:line="240" w:lineRule="auto"/>
              <w:jc w:val="center"/>
              <w:rPr>
                <w:rFonts w:ascii="Times New Roman" w:hAnsi="Times New Roman" w:cs="Times New Roman"/>
                <w:color w:val="000000"/>
                <w:sz w:val="20"/>
                <w:szCs w:val="20"/>
                <w:lang w:val="en-GB" w:eastAsia="en-GB"/>
              </w:rPr>
            </w:pPr>
          </w:p>
        </w:tc>
        <w:tc>
          <w:tcPr>
            <w:tcW w:w="1276" w:type="dxa"/>
            <w:vMerge/>
            <w:tcBorders>
              <w:left w:val="nil"/>
              <w:bottom w:val="single" w:sz="4" w:space="0" w:color="auto"/>
              <w:right w:val="single" w:sz="4" w:space="0" w:color="auto"/>
            </w:tcBorders>
            <w:shd w:val="clear" w:color="auto" w:fill="auto"/>
            <w:vAlign w:val="center"/>
          </w:tcPr>
          <w:p w14:paraId="42C6C3F1" w14:textId="77777777" w:rsidR="00EC5D47" w:rsidRPr="00436734" w:rsidRDefault="00EC5D47" w:rsidP="00125B70">
            <w:pPr>
              <w:spacing w:after="0" w:line="240" w:lineRule="auto"/>
              <w:jc w:val="center"/>
              <w:rPr>
                <w:rFonts w:ascii="Times New Roman" w:hAnsi="Times New Roman" w:cs="Times New Roman"/>
                <w:color w:val="000000"/>
                <w:sz w:val="20"/>
                <w:szCs w:val="20"/>
                <w:lang w:val="en-GB" w:eastAsia="en-GB"/>
              </w:rPr>
            </w:pPr>
          </w:p>
        </w:tc>
        <w:tc>
          <w:tcPr>
            <w:tcW w:w="983" w:type="dxa"/>
            <w:tcBorders>
              <w:top w:val="single" w:sz="4" w:space="0" w:color="auto"/>
              <w:left w:val="nil"/>
              <w:bottom w:val="single" w:sz="4" w:space="0" w:color="auto"/>
              <w:right w:val="single" w:sz="4" w:space="0" w:color="auto"/>
            </w:tcBorders>
            <w:shd w:val="clear" w:color="auto" w:fill="auto"/>
            <w:vAlign w:val="center"/>
          </w:tcPr>
          <w:p w14:paraId="5E57D249" w14:textId="77777777" w:rsidR="00EC5D47" w:rsidRPr="00436734" w:rsidRDefault="00EC5D47" w:rsidP="00125B70">
            <w:pPr>
              <w:spacing w:after="0" w:line="240" w:lineRule="auto"/>
              <w:jc w:val="center"/>
              <w:rPr>
                <w:rFonts w:ascii="Times New Roman" w:hAnsi="Times New Roman" w:cs="Times New Roman"/>
                <w:color w:val="000000"/>
                <w:sz w:val="20"/>
                <w:szCs w:val="20"/>
                <w:lang w:val="sr-Cyrl-RS" w:eastAsia="en-GB"/>
              </w:rPr>
            </w:pPr>
            <w:r w:rsidRPr="00436734">
              <w:rPr>
                <w:rFonts w:ascii="Times New Roman" w:hAnsi="Times New Roman" w:cs="Times New Roman"/>
                <w:color w:val="000000"/>
                <w:sz w:val="20"/>
                <w:szCs w:val="20"/>
                <w:lang w:val="sr-Cyrl-RS" w:eastAsia="en-GB"/>
              </w:rPr>
              <w:t>До 100.000</w:t>
            </w:r>
          </w:p>
        </w:tc>
        <w:tc>
          <w:tcPr>
            <w:tcW w:w="984" w:type="dxa"/>
            <w:tcBorders>
              <w:top w:val="single" w:sz="4" w:space="0" w:color="auto"/>
              <w:left w:val="nil"/>
              <w:bottom w:val="single" w:sz="4" w:space="0" w:color="auto"/>
              <w:right w:val="single" w:sz="4" w:space="0" w:color="auto"/>
            </w:tcBorders>
            <w:shd w:val="clear" w:color="auto" w:fill="auto"/>
            <w:vAlign w:val="center"/>
          </w:tcPr>
          <w:p w14:paraId="6A2B1D46" w14:textId="77777777" w:rsidR="00EC5D47" w:rsidRPr="00436734" w:rsidRDefault="00EC5D47" w:rsidP="00125B70">
            <w:pPr>
              <w:spacing w:after="0" w:line="240" w:lineRule="auto"/>
              <w:jc w:val="center"/>
              <w:rPr>
                <w:rFonts w:ascii="Times New Roman" w:hAnsi="Times New Roman" w:cs="Times New Roman"/>
                <w:color w:val="000000"/>
                <w:sz w:val="20"/>
                <w:szCs w:val="20"/>
                <w:lang w:val="sr-Cyrl-RS" w:eastAsia="en-GB"/>
              </w:rPr>
            </w:pPr>
            <w:r w:rsidRPr="00436734">
              <w:rPr>
                <w:rFonts w:ascii="Times New Roman" w:hAnsi="Times New Roman" w:cs="Times New Roman"/>
                <w:color w:val="000000"/>
                <w:sz w:val="20"/>
                <w:szCs w:val="20"/>
                <w:lang w:val="sr-Cyrl-RS" w:eastAsia="en-GB"/>
              </w:rPr>
              <w:t>Од 100.000- до милион</w:t>
            </w:r>
          </w:p>
        </w:tc>
        <w:tc>
          <w:tcPr>
            <w:tcW w:w="984" w:type="dxa"/>
            <w:tcBorders>
              <w:top w:val="single" w:sz="4" w:space="0" w:color="auto"/>
              <w:left w:val="nil"/>
              <w:bottom w:val="single" w:sz="4" w:space="0" w:color="auto"/>
              <w:right w:val="single" w:sz="4" w:space="0" w:color="auto"/>
            </w:tcBorders>
            <w:shd w:val="clear" w:color="auto" w:fill="auto"/>
            <w:vAlign w:val="center"/>
          </w:tcPr>
          <w:p w14:paraId="130EEFB5" w14:textId="77777777" w:rsidR="00EC5D47" w:rsidRPr="00436734" w:rsidRDefault="00EC5D47" w:rsidP="00125B70">
            <w:pPr>
              <w:spacing w:after="0" w:line="240" w:lineRule="auto"/>
              <w:jc w:val="center"/>
              <w:rPr>
                <w:rFonts w:ascii="Times New Roman" w:hAnsi="Times New Roman" w:cs="Times New Roman"/>
                <w:color w:val="000000"/>
                <w:sz w:val="20"/>
                <w:szCs w:val="20"/>
                <w:lang w:val="sr-Cyrl-RS" w:eastAsia="en-GB"/>
              </w:rPr>
            </w:pPr>
            <w:r w:rsidRPr="00436734">
              <w:rPr>
                <w:rFonts w:ascii="Times New Roman" w:hAnsi="Times New Roman" w:cs="Times New Roman"/>
                <w:color w:val="000000"/>
                <w:sz w:val="20"/>
                <w:szCs w:val="20"/>
                <w:lang w:val="sr-Cyrl-RS" w:eastAsia="en-GB"/>
              </w:rPr>
              <w:t>Преко милион</w:t>
            </w:r>
          </w:p>
        </w:tc>
        <w:tc>
          <w:tcPr>
            <w:tcW w:w="2340" w:type="dxa"/>
            <w:vMerge/>
            <w:tcBorders>
              <w:left w:val="nil"/>
              <w:bottom w:val="single" w:sz="4" w:space="0" w:color="auto"/>
              <w:right w:val="single" w:sz="4" w:space="0" w:color="auto"/>
            </w:tcBorders>
            <w:shd w:val="clear" w:color="auto" w:fill="auto"/>
            <w:vAlign w:val="center"/>
          </w:tcPr>
          <w:p w14:paraId="3F0EAE19" w14:textId="77777777" w:rsidR="00EC5D47" w:rsidRPr="00436734" w:rsidRDefault="00EC5D47" w:rsidP="00125B70">
            <w:pPr>
              <w:spacing w:after="0" w:line="240" w:lineRule="auto"/>
              <w:jc w:val="center"/>
              <w:rPr>
                <w:rFonts w:ascii="Times New Roman" w:hAnsi="Times New Roman" w:cs="Times New Roman"/>
                <w:color w:val="000000"/>
                <w:sz w:val="20"/>
                <w:szCs w:val="20"/>
                <w:lang w:val="en-GB" w:eastAsia="en-GB"/>
              </w:rPr>
            </w:pPr>
          </w:p>
        </w:tc>
      </w:tr>
      <w:tr w:rsidR="00EC5D47" w:rsidRPr="00AD60B6" w14:paraId="53E86567" w14:textId="77777777" w:rsidTr="00125B70">
        <w:trPr>
          <w:trHeight w:val="3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14:paraId="10F50EB9"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2018</w:t>
            </w:r>
          </w:p>
        </w:tc>
        <w:tc>
          <w:tcPr>
            <w:tcW w:w="1196" w:type="dxa"/>
            <w:tcBorders>
              <w:top w:val="nil"/>
              <w:left w:val="nil"/>
              <w:bottom w:val="single" w:sz="4" w:space="0" w:color="auto"/>
              <w:right w:val="single" w:sz="4" w:space="0" w:color="auto"/>
            </w:tcBorders>
            <w:shd w:val="clear" w:color="auto" w:fill="auto"/>
            <w:noWrap/>
            <w:vAlign w:val="bottom"/>
            <w:hideMark/>
          </w:tcPr>
          <w:p w14:paraId="2442780C"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904</w:t>
            </w:r>
          </w:p>
        </w:tc>
        <w:tc>
          <w:tcPr>
            <w:tcW w:w="1276" w:type="dxa"/>
            <w:tcBorders>
              <w:top w:val="nil"/>
              <w:left w:val="nil"/>
              <w:bottom w:val="single" w:sz="4" w:space="0" w:color="auto"/>
              <w:right w:val="single" w:sz="4" w:space="0" w:color="auto"/>
            </w:tcBorders>
            <w:shd w:val="clear" w:color="auto" w:fill="auto"/>
            <w:noWrap/>
            <w:vAlign w:val="bottom"/>
            <w:hideMark/>
          </w:tcPr>
          <w:p w14:paraId="2504179D"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672</w:t>
            </w:r>
          </w:p>
        </w:tc>
        <w:tc>
          <w:tcPr>
            <w:tcW w:w="983" w:type="dxa"/>
            <w:tcBorders>
              <w:top w:val="nil"/>
              <w:left w:val="nil"/>
              <w:bottom w:val="single" w:sz="4" w:space="0" w:color="auto"/>
              <w:right w:val="single" w:sz="4" w:space="0" w:color="auto"/>
            </w:tcBorders>
            <w:shd w:val="clear" w:color="auto" w:fill="auto"/>
            <w:noWrap/>
            <w:vAlign w:val="bottom"/>
            <w:hideMark/>
          </w:tcPr>
          <w:p w14:paraId="290A9ECE"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212</w:t>
            </w:r>
          </w:p>
        </w:tc>
        <w:tc>
          <w:tcPr>
            <w:tcW w:w="984" w:type="dxa"/>
            <w:tcBorders>
              <w:top w:val="nil"/>
              <w:left w:val="nil"/>
              <w:bottom w:val="single" w:sz="4" w:space="0" w:color="auto"/>
              <w:right w:val="single" w:sz="4" w:space="0" w:color="auto"/>
            </w:tcBorders>
            <w:shd w:val="clear" w:color="auto" w:fill="auto"/>
            <w:noWrap/>
            <w:vAlign w:val="bottom"/>
            <w:hideMark/>
          </w:tcPr>
          <w:p w14:paraId="177B043A"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138</w:t>
            </w:r>
          </w:p>
        </w:tc>
        <w:tc>
          <w:tcPr>
            <w:tcW w:w="984" w:type="dxa"/>
            <w:tcBorders>
              <w:top w:val="nil"/>
              <w:left w:val="nil"/>
              <w:bottom w:val="single" w:sz="4" w:space="0" w:color="auto"/>
              <w:right w:val="single" w:sz="4" w:space="0" w:color="auto"/>
            </w:tcBorders>
            <w:shd w:val="clear" w:color="auto" w:fill="auto"/>
            <w:noWrap/>
            <w:vAlign w:val="bottom"/>
            <w:hideMark/>
          </w:tcPr>
          <w:p w14:paraId="655DF22B"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6</w:t>
            </w:r>
          </w:p>
        </w:tc>
        <w:tc>
          <w:tcPr>
            <w:tcW w:w="2356" w:type="dxa"/>
            <w:gridSpan w:val="2"/>
            <w:tcBorders>
              <w:top w:val="nil"/>
              <w:left w:val="nil"/>
              <w:bottom w:val="single" w:sz="4" w:space="0" w:color="auto"/>
              <w:right w:val="single" w:sz="4" w:space="0" w:color="auto"/>
            </w:tcBorders>
            <w:shd w:val="clear" w:color="auto" w:fill="auto"/>
            <w:noWrap/>
            <w:vAlign w:val="bottom"/>
            <w:hideMark/>
          </w:tcPr>
          <w:p w14:paraId="6020584D"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316</w:t>
            </w:r>
          </w:p>
        </w:tc>
      </w:tr>
      <w:tr w:rsidR="00EC5D47" w:rsidRPr="00AD60B6" w14:paraId="0A66E85D" w14:textId="77777777" w:rsidTr="00125B70">
        <w:trPr>
          <w:trHeight w:val="3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14:paraId="1586FBAF"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2019</w:t>
            </w:r>
          </w:p>
        </w:tc>
        <w:tc>
          <w:tcPr>
            <w:tcW w:w="1196" w:type="dxa"/>
            <w:tcBorders>
              <w:top w:val="nil"/>
              <w:left w:val="nil"/>
              <w:bottom w:val="single" w:sz="4" w:space="0" w:color="auto"/>
              <w:right w:val="single" w:sz="4" w:space="0" w:color="auto"/>
            </w:tcBorders>
            <w:shd w:val="clear" w:color="auto" w:fill="auto"/>
            <w:noWrap/>
            <w:vAlign w:val="bottom"/>
            <w:hideMark/>
          </w:tcPr>
          <w:p w14:paraId="76722530"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1054</w:t>
            </w:r>
          </w:p>
        </w:tc>
        <w:tc>
          <w:tcPr>
            <w:tcW w:w="1276" w:type="dxa"/>
            <w:tcBorders>
              <w:top w:val="nil"/>
              <w:left w:val="nil"/>
              <w:bottom w:val="single" w:sz="4" w:space="0" w:color="auto"/>
              <w:right w:val="single" w:sz="4" w:space="0" w:color="auto"/>
            </w:tcBorders>
            <w:shd w:val="clear" w:color="auto" w:fill="auto"/>
            <w:noWrap/>
            <w:vAlign w:val="bottom"/>
            <w:hideMark/>
          </w:tcPr>
          <w:p w14:paraId="1409A09F"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669</w:t>
            </w:r>
          </w:p>
        </w:tc>
        <w:tc>
          <w:tcPr>
            <w:tcW w:w="983" w:type="dxa"/>
            <w:tcBorders>
              <w:top w:val="nil"/>
              <w:left w:val="nil"/>
              <w:bottom w:val="single" w:sz="4" w:space="0" w:color="auto"/>
              <w:right w:val="single" w:sz="4" w:space="0" w:color="auto"/>
            </w:tcBorders>
            <w:shd w:val="clear" w:color="auto" w:fill="auto"/>
            <w:noWrap/>
            <w:vAlign w:val="bottom"/>
            <w:hideMark/>
          </w:tcPr>
          <w:p w14:paraId="5063A2BE"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253</w:t>
            </w:r>
          </w:p>
        </w:tc>
        <w:tc>
          <w:tcPr>
            <w:tcW w:w="984" w:type="dxa"/>
            <w:tcBorders>
              <w:top w:val="nil"/>
              <w:left w:val="nil"/>
              <w:bottom w:val="single" w:sz="4" w:space="0" w:color="auto"/>
              <w:right w:val="single" w:sz="4" w:space="0" w:color="auto"/>
            </w:tcBorders>
            <w:shd w:val="clear" w:color="auto" w:fill="auto"/>
            <w:noWrap/>
            <w:vAlign w:val="bottom"/>
            <w:hideMark/>
          </w:tcPr>
          <w:p w14:paraId="19672898"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163</w:t>
            </w:r>
          </w:p>
        </w:tc>
        <w:tc>
          <w:tcPr>
            <w:tcW w:w="984" w:type="dxa"/>
            <w:tcBorders>
              <w:top w:val="nil"/>
              <w:left w:val="nil"/>
              <w:bottom w:val="single" w:sz="4" w:space="0" w:color="auto"/>
              <w:right w:val="single" w:sz="4" w:space="0" w:color="auto"/>
            </w:tcBorders>
            <w:shd w:val="clear" w:color="auto" w:fill="auto"/>
            <w:noWrap/>
            <w:vAlign w:val="bottom"/>
            <w:hideMark/>
          </w:tcPr>
          <w:p w14:paraId="258D1355"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w:t>
            </w:r>
          </w:p>
        </w:tc>
        <w:tc>
          <w:tcPr>
            <w:tcW w:w="2356" w:type="dxa"/>
            <w:gridSpan w:val="2"/>
            <w:tcBorders>
              <w:top w:val="nil"/>
              <w:left w:val="nil"/>
              <w:bottom w:val="single" w:sz="4" w:space="0" w:color="auto"/>
              <w:right w:val="single" w:sz="4" w:space="0" w:color="auto"/>
            </w:tcBorders>
            <w:shd w:val="clear" w:color="auto" w:fill="auto"/>
            <w:noWrap/>
            <w:vAlign w:val="bottom"/>
            <w:hideMark/>
          </w:tcPr>
          <w:p w14:paraId="302B5BA0"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251</w:t>
            </w:r>
          </w:p>
        </w:tc>
      </w:tr>
      <w:tr w:rsidR="00EC5D47" w:rsidRPr="00AD60B6" w14:paraId="768BDB68" w14:textId="77777777" w:rsidTr="00125B70">
        <w:trPr>
          <w:trHeight w:val="3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14:paraId="28ECE618"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2020</w:t>
            </w:r>
          </w:p>
        </w:tc>
        <w:tc>
          <w:tcPr>
            <w:tcW w:w="1196" w:type="dxa"/>
            <w:tcBorders>
              <w:top w:val="nil"/>
              <w:left w:val="nil"/>
              <w:bottom w:val="single" w:sz="4" w:space="0" w:color="auto"/>
              <w:right w:val="single" w:sz="4" w:space="0" w:color="auto"/>
            </w:tcBorders>
            <w:shd w:val="clear" w:color="auto" w:fill="auto"/>
            <w:noWrap/>
            <w:vAlign w:val="bottom"/>
            <w:hideMark/>
          </w:tcPr>
          <w:p w14:paraId="2343E3F0"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815</w:t>
            </w:r>
          </w:p>
        </w:tc>
        <w:tc>
          <w:tcPr>
            <w:tcW w:w="1276" w:type="dxa"/>
            <w:tcBorders>
              <w:top w:val="nil"/>
              <w:left w:val="nil"/>
              <w:bottom w:val="single" w:sz="4" w:space="0" w:color="auto"/>
              <w:right w:val="single" w:sz="4" w:space="0" w:color="auto"/>
            </w:tcBorders>
            <w:shd w:val="clear" w:color="auto" w:fill="auto"/>
            <w:noWrap/>
            <w:vAlign w:val="bottom"/>
            <w:hideMark/>
          </w:tcPr>
          <w:p w14:paraId="7E8C3105"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897</w:t>
            </w:r>
          </w:p>
        </w:tc>
        <w:tc>
          <w:tcPr>
            <w:tcW w:w="983" w:type="dxa"/>
            <w:tcBorders>
              <w:top w:val="nil"/>
              <w:left w:val="nil"/>
              <w:bottom w:val="single" w:sz="4" w:space="0" w:color="auto"/>
              <w:right w:val="single" w:sz="4" w:space="0" w:color="auto"/>
            </w:tcBorders>
            <w:shd w:val="clear" w:color="auto" w:fill="auto"/>
            <w:noWrap/>
            <w:vAlign w:val="bottom"/>
            <w:hideMark/>
          </w:tcPr>
          <w:p w14:paraId="63418DEB"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307</w:t>
            </w:r>
          </w:p>
        </w:tc>
        <w:tc>
          <w:tcPr>
            <w:tcW w:w="984" w:type="dxa"/>
            <w:tcBorders>
              <w:top w:val="nil"/>
              <w:left w:val="nil"/>
              <w:bottom w:val="single" w:sz="4" w:space="0" w:color="auto"/>
              <w:right w:val="single" w:sz="4" w:space="0" w:color="auto"/>
            </w:tcBorders>
            <w:shd w:val="clear" w:color="auto" w:fill="auto"/>
            <w:noWrap/>
            <w:vAlign w:val="bottom"/>
            <w:hideMark/>
          </w:tcPr>
          <w:p w14:paraId="64EE4902"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226</w:t>
            </w:r>
          </w:p>
        </w:tc>
        <w:tc>
          <w:tcPr>
            <w:tcW w:w="984" w:type="dxa"/>
            <w:tcBorders>
              <w:top w:val="nil"/>
              <w:left w:val="nil"/>
              <w:bottom w:val="single" w:sz="4" w:space="0" w:color="auto"/>
              <w:right w:val="single" w:sz="4" w:space="0" w:color="auto"/>
            </w:tcBorders>
            <w:shd w:val="clear" w:color="auto" w:fill="auto"/>
            <w:noWrap/>
            <w:vAlign w:val="bottom"/>
            <w:hideMark/>
          </w:tcPr>
          <w:p w14:paraId="2473CD5C"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5</w:t>
            </w:r>
          </w:p>
        </w:tc>
        <w:tc>
          <w:tcPr>
            <w:tcW w:w="2356" w:type="dxa"/>
            <w:gridSpan w:val="2"/>
            <w:tcBorders>
              <w:top w:val="nil"/>
              <w:left w:val="nil"/>
              <w:bottom w:val="single" w:sz="4" w:space="0" w:color="auto"/>
              <w:right w:val="single" w:sz="4" w:space="0" w:color="auto"/>
            </w:tcBorders>
            <w:shd w:val="clear" w:color="auto" w:fill="auto"/>
            <w:noWrap/>
            <w:vAlign w:val="bottom"/>
            <w:hideMark/>
          </w:tcPr>
          <w:p w14:paraId="099A1106"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359</w:t>
            </w:r>
          </w:p>
        </w:tc>
      </w:tr>
      <w:tr w:rsidR="00EC5D47" w:rsidRPr="00AD60B6" w14:paraId="7A98F481" w14:textId="77777777" w:rsidTr="00125B70">
        <w:trPr>
          <w:trHeight w:val="300"/>
        </w:trPr>
        <w:tc>
          <w:tcPr>
            <w:tcW w:w="1351" w:type="dxa"/>
            <w:tcBorders>
              <w:top w:val="nil"/>
              <w:left w:val="single" w:sz="4" w:space="0" w:color="auto"/>
              <w:bottom w:val="single" w:sz="4" w:space="0" w:color="auto"/>
              <w:right w:val="single" w:sz="4" w:space="0" w:color="auto"/>
            </w:tcBorders>
            <w:shd w:val="clear" w:color="auto" w:fill="auto"/>
            <w:noWrap/>
            <w:vAlign w:val="bottom"/>
            <w:hideMark/>
          </w:tcPr>
          <w:p w14:paraId="6E6D28E1"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2021</w:t>
            </w:r>
          </w:p>
        </w:tc>
        <w:tc>
          <w:tcPr>
            <w:tcW w:w="1196" w:type="dxa"/>
            <w:tcBorders>
              <w:top w:val="nil"/>
              <w:left w:val="nil"/>
              <w:bottom w:val="single" w:sz="4" w:space="0" w:color="auto"/>
              <w:right w:val="single" w:sz="4" w:space="0" w:color="auto"/>
            </w:tcBorders>
            <w:shd w:val="clear" w:color="auto" w:fill="auto"/>
            <w:noWrap/>
            <w:vAlign w:val="bottom"/>
            <w:hideMark/>
          </w:tcPr>
          <w:p w14:paraId="6CC62291"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940</w:t>
            </w:r>
          </w:p>
        </w:tc>
        <w:tc>
          <w:tcPr>
            <w:tcW w:w="1276" w:type="dxa"/>
            <w:tcBorders>
              <w:top w:val="nil"/>
              <w:left w:val="nil"/>
              <w:bottom w:val="single" w:sz="4" w:space="0" w:color="auto"/>
              <w:right w:val="single" w:sz="4" w:space="0" w:color="auto"/>
            </w:tcBorders>
            <w:shd w:val="clear" w:color="auto" w:fill="auto"/>
            <w:noWrap/>
            <w:vAlign w:val="bottom"/>
            <w:hideMark/>
          </w:tcPr>
          <w:p w14:paraId="082904FF"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813</w:t>
            </w:r>
          </w:p>
        </w:tc>
        <w:tc>
          <w:tcPr>
            <w:tcW w:w="983" w:type="dxa"/>
            <w:tcBorders>
              <w:top w:val="nil"/>
              <w:left w:val="nil"/>
              <w:bottom w:val="single" w:sz="4" w:space="0" w:color="auto"/>
              <w:right w:val="single" w:sz="4" w:space="0" w:color="auto"/>
            </w:tcBorders>
            <w:shd w:val="clear" w:color="auto" w:fill="auto"/>
            <w:noWrap/>
            <w:vAlign w:val="bottom"/>
            <w:hideMark/>
          </w:tcPr>
          <w:p w14:paraId="28B168E7"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248</w:t>
            </w:r>
          </w:p>
        </w:tc>
        <w:tc>
          <w:tcPr>
            <w:tcW w:w="984" w:type="dxa"/>
            <w:tcBorders>
              <w:top w:val="nil"/>
              <w:left w:val="nil"/>
              <w:bottom w:val="single" w:sz="4" w:space="0" w:color="auto"/>
              <w:right w:val="single" w:sz="4" w:space="0" w:color="auto"/>
            </w:tcBorders>
            <w:shd w:val="clear" w:color="auto" w:fill="auto"/>
            <w:noWrap/>
            <w:vAlign w:val="bottom"/>
            <w:hideMark/>
          </w:tcPr>
          <w:p w14:paraId="39123D96"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182</w:t>
            </w:r>
          </w:p>
        </w:tc>
        <w:tc>
          <w:tcPr>
            <w:tcW w:w="984" w:type="dxa"/>
            <w:tcBorders>
              <w:top w:val="nil"/>
              <w:left w:val="nil"/>
              <w:bottom w:val="single" w:sz="4" w:space="0" w:color="auto"/>
              <w:right w:val="single" w:sz="4" w:space="0" w:color="auto"/>
            </w:tcBorders>
            <w:shd w:val="clear" w:color="auto" w:fill="auto"/>
            <w:noWrap/>
            <w:vAlign w:val="bottom"/>
            <w:hideMark/>
          </w:tcPr>
          <w:p w14:paraId="0BD16AE7"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6</w:t>
            </w:r>
          </w:p>
        </w:tc>
        <w:tc>
          <w:tcPr>
            <w:tcW w:w="2356" w:type="dxa"/>
            <w:gridSpan w:val="2"/>
            <w:tcBorders>
              <w:top w:val="nil"/>
              <w:left w:val="nil"/>
              <w:bottom w:val="single" w:sz="4" w:space="0" w:color="auto"/>
              <w:right w:val="single" w:sz="4" w:space="0" w:color="auto"/>
            </w:tcBorders>
            <w:shd w:val="clear" w:color="auto" w:fill="auto"/>
            <w:noWrap/>
            <w:vAlign w:val="bottom"/>
            <w:hideMark/>
          </w:tcPr>
          <w:p w14:paraId="7BFED75D" w14:textId="77777777" w:rsidR="00EC5D47" w:rsidRPr="00436734" w:rsidRDefault="00EC5D47" w:rsidP="00125B70">
            <w:pPr>
              <w:spacing w:after="0" w:line="240" w:lineRule="auto"/>
              <w:jc w:val="right"/>
              <w:rPr>
                <w:rFonts w:ascii="Times New Roman" w:hAnsi="Times New Roman" w:cs="Times New Roman"/>
                <w:color w:val="000000"/>
                <w:sz w:val="20"/>
                <w:szCs w:val="20"/>
                <w:lang w:val="en-GB" w:eastAsia="en-GB"/>
              </w:rPr>
            </w:pPr>
            <w:r w:rsidRPr="00436734">
              <w:rPr>
                <w:rFonts w:ascii="Times New Roman" w:hAnsi="Times New Roman" w:cs="Times New Roman"/>
                <w:color w:val="000000"/>
                <w:sz w:val="20"/>
                <w:szCs w:val="20"/>
                <w:lang w:val="en-GB" w:eastAsia="en-GB"/>
              </w:rPr>
              <w:t>377</w:t>
            </w:r>
          </w:p>
        </w:tc>
      </w:tr>
    </w:tbl>
    <w:p w14:paraId="21A2A7E7" w14:textId="77777777" w:rsidR="00E17297" w:rsidRDefault="00E17297" w:rsidP="00F55B4B">
      <w:pPr>
        <w:ind w:firstLine="720"/>
        <w:jc w:val="both"/>
        <w:rPr>
          <w:rFonts w:ascii="Times New Roman" w:hAnsi="Times New Roman" w:cs="Times New Roman"/>
          <w:sz w:val="24"/>
          <w:szCs w:val="24"/>
          <w:lang w:val="sr-Cyrl-RS"/>
        </w:rPr>
      </w:pPr>
    </w:p>
    <w:p w14:paraId="5D9294BE" w14:textId="0FC3D58C" w:rsidR="00290F41" w:rsidRPr="00AD60B6" w:rsidRDefault="00EC5D47" w:rsidP="00E17297">
      <w:pPr>
        <w:ind w:firstLine="720"/>
        <w:jc w:val="both"/>
        <w:rPr>
          <w:rFonts w:ascii="Times New Roman" w:hAnsi="Times New Roman" w:cs="Times New Roman"/>
          <w:sz w:val="24"/>
          <w:szCs w:val="24"/>
          <w:lang w:val="sr-Cyrl-RS"/>
        </w:rPr>
      </w:pPr>
      <w:r w:rsidRPr="00AD60B6">
        <w:rPr>
          <w:rFonts w:ascii="Times New Roman" w:hAnsi="Times New Roman" w:cs="Times New Roman"/>
          <w:sz w:val="24"/>
          <w:szCs w:val="24"/>
          <w:lang w:val="sr-Cyrl-RS"/>
        </w:rPr>
        <w:t>Како би се боље разумела структура предмета и очекивани исходи, потребно је спровести детаљнију анализу предмета, према његовим карактеристикама (ко су оштећене стране, у којим делатностима, који су разлози решавања на други начин, итд.)</w:t>
      </w:r>
      <w:r w:rsidR="002306A5">
        <w:rPr>
          <w:rFonts w:ascii="Times New Roman" w:hAnsi="Times New Roman" w:cs="Times New Roman"/>
          <w:sz w:val="24"/>
          <w:szCs w:val="24"/>
          <w:lang w:val="sr-Cyrl-RS"/>
        </w:rPr>
        <w:t>.</w:t>
      </w:r>
    </w:p>
    <w:p w14:paraId="0DE869CC" w14:textId="668E9D75" w:rsidR="00EC5D47" w:rsidRPr="001305AA" w:rsidRDefault="001305AA" w:rsidP="001305AA">
      <w:pPr>
        <w:ind w:firstLine="720"/>
        <w:jc w:val="both"/>
        <w:rPr>
          <w:rFonts w:ascii="Times New Roman" w:hAnsi="Times New Roman" w:cs="Times New Roman"/>
          <w:b/>
          <w:sz w:val="24"/>
          <w:szCs w:val="24"/>
          <w:lang w:val="sr-Cyrl-RS"/>
        </w:rPr>
      </w:pPr>
      <w:bookmarkStart w:id="19" w:name="_Toc505533876"/>
      <w:bookmarkStart w:id="20" w:name="_Toc505603791"/>
      <w:bookmarkStart w:id="21" w:name="_Toc505604181"/>
      <w:bookmarkStart w:id="22" w:name="_Toc126746526"/>
      <w:r w:rsidRPr="001305AA">
        <w:rPr>
          <w:rFonts w:ascii="Times New Roman" w:hAnsi="Times New Roman" w:cs="Times New Roman"/>
          <w:b/>
          <w:sz w:val="24"/>
          <w:szCs w:val="24"/>
          <w:lang w:val="sr-Cyrl-RS"/>
        </w:rPr>
        <w:t xml:space="preserve">3.4. </w:t>
      </w:r>
      <w:r w:rsidR="00EC5D47" w:rsidRPr="001305AA">
        <w:rPr>
          <w:rFonts w:ascii="Times New Roman" w:hAnsi="Times New Roman" w:cs="Times New Roman"/>
          <w:b/>
          <w:sz w:val="24"/>
          <w:szCs w:val="24"/>
          <w:lang w:val="sr-Cyrl-RS"/>
        </w:rPr>
        <w:t>Анализа организације послова за безбедност и здравље на раду</w:t>
      </w:r>
      <w:bookmarkEnd w:id="19"/>
      <w:bookmarkEnd w:id="20"/>
      <w:bookmarkEnd w:id="21"/>
      <w:bookmarkEnd w:id="22"/>
    </w:p>
    <w:p w14:paraId="282F6C9C" w14:textId="66B697B4" w:rsidR="00EC5D47" w:rsidRPr="00BC686C" w:rsidRDefault="00EC5D47" w:rsidP="001305AA">
      <w:pPr>
        <w:ind w:firstLine="720"/>
        <w:jc w:val="both"/>
        <w:rPr>
          <w:rFonts w:ascii="Times New Roman" w:hAnsi="Times New Roman" w:cs="Times New Roman"/>
          <w:sz w:val="24"/>
          <w:szCs w:val="24"/>
          <w:lang w:val="sr-Cyrl-RS"/>
        </w:rPr>
      </w:pPr>
      <w:r w:rsidRPr="00AD60B6">
        <w:rPr>
          <w:rFonts w:ascii="Times New Roman" w:hAnsi="Times New Roman" w:cs="Times New Roman"/>
          <w:color w:val="000000"/>
          <w:sz w:val="24"/>
          <w:szCs w:val="24"/>
          <w:lang w:val="sr-Cyrl-RS"/>
        </w:rPr>
        <w:t xml:space="preserve">Послови безбедности и здравља на раду обављају се на три прописана начина: 1) од стране </w:t>
      </w:r>
      <w:r w:rsidRPr="00290F41">
        <w:rPr>
          <w:rFonts w:ascii="Times New Roman" w:hAnsi="Times New Roman" w:cs="Times New Roman"/>
          <w:sz w:val="24"/>
          <w:szCs w:val="24"/>
          <w:lang w:val="sr-Cyrl-RS"/>
        </w:rPr>
        <w:t xml:space="preserve">самог послодавца; 2) од стране лица из реда запослених код послодавца; 3) од стране ангажованог правног лица или предузетника са лиценцом. </w:t>
      </w:r>
      <w:r w:rsidRPr="00290F41">
        <w:rPr>
          <w:rFonts w:ascii="Times New Roman" w:hAnsi="Times New Roman" w:cs="Times New Roman"/>
          <w:sz w:val="24"/>
          <w:szCs w:val="24"/>
        </w:rPr>
        <w:t xml:space="preserve">У </w:t>
      </w:r>
      <w:r w:rsidR="00290F41" w:rsidRPr="00290F41">
        <w:rPr>
          <w:rFonts w:ascii="Times New Roman" w:hAnsi="Times New Roman" w:cs="Times New Roman"/>
          <w:sz w:val="24"/>
          <w:szCs w:val="24"/>
          <w:lang w:val="sr-Cyrl-RS"/>
        </w:rPr>
        <w:t xml:space="preserve">складу са Законом и </w:t>
      </w:r>
      <w:r w:rsidRPr="00BC686C">
        <w:rPr>
          <w:rFonts w:ascii="Times New Roman" w:hAnsi="Times New Roman" w:cs="Times New Roman"/>
          <w:sz w:val="24"/>
          <w:szCs w:val="24"/>
          <w:lang w:val="sr-Cyrl-RS"/>
        </w:rPr>
        <w:t>Правилником о условима за издавање лиценци за обављање послова у области безбедности и здравља на раду („Служб</w:t>
      </w:r>
      <w:r w:rsidR="00BF657E" w:rsidRPr="00BC686C">
        <w:rPr>
          <w:rFonts w:ascii="Times New Roman" w:hAnsi="Times New Roman" w:cs="Times New Roman"/>
          <w:sz w:val="24"/>
          <w:szCs w:val="24"/>
          <w:lang w:val="sr-Cyrl-RS"/>
        </w:rPr>
        <w:t>ени гласник РС”, бр.</w:t>
      </w:r>
      <w:r w:rsidRPr="00BC686C">
        <w:rPr>
          <w:rFonts w:ascii="Times New Roman" w:hAnsi="Times New Roman" w:cs="Times New Roman"/>
          <w:sz w:val="24"/>
          <w:szCs w:val="24"/>
          <w:lang w:val="sr-Cyrl-RS"/>
        </w:rPr>
        <w:t xml:space="preserve"> 16/18</w:t>
      </w:r>
      <w:r w:rsidR="00BF657E" w:rsidRPr="00BC686C">
        <w:rPr>
          <w:rFonts w:ascii="Times New Roman" w:hAnsi="Times New Roman" w:cs="Times New Roman"/>
          <w:sz w:val="24"/>
          <w:szCs w:val="24"/>
          <w:lang w:val="sr-Latn-RS"/>
        </w:rPr>
        <w:t xml:space="preserve"> </w:t>
      </w:r>
      <w:r w:rsidR="00BF657E" w:rsidRPr="00BC686C">
        <w:rPr>
          <w:rFonts w:ascii="Times New Roman" w:hAnsi="Times New Roman" w:cs="Times New Roman"/>
          <w:sz w:val="24"/>
          <w:szCs w:val="24"/>
          <w:lang w:val="sr-Cyrl-RS"/>
        </w:rPr>
        <w:t>и 5/22</w:t>
      </w:r>
      <w:r w:rsidRPr="00BC686C">
        <w:rPr>
          <w:rFonts w:ascii="Times New Roman" w:hAnsi="Times New Roman" w:cs="Times New Roman"/>
          <w:sz w:val="24"/>
          <w:szCs w:val="24"/>
          <w:lang w:val="sr-Cyrl-RS"/>
        </w:rPr>
        <w:t xml:space="preserve">) у периоду од </w:t>
      </w:r>
      <w:r w:rsidRPr="00BC686C">
        <w:rPr>
          <w:rFonts w:ascii="Times New Roman" w:hAnsi="Times New Roman" w:cs="Times New Roman"/>
          <w:sz w:val="24"/>
          <w:szCs w:val="24"/>
        </w:rPr>
        <w:t>2018</w:t>
      </w:r>
      <w:r w:rsidR="00BF657E" w:rsidRPr="00BC686C">
        <w:rPr>
          <w:rFonts w:ascii="Times New Roman" w:hAnsi="Times New Roman" w:cs="Times New Roman"/>
          <w:sz w:val="24"/>
          <w:szCs w:val="24"/>
        </w:rPr>
        <w:t>.</w:t>
      </w:r>
      <w:r w:rsidRPr="00BC686C">
        <w:rPr>
          <w:rFonts w:ascii="Times New Roman" w:hAnsi="Times New Roman" w:cs="Times New Roman"/>
          <w:sz w:val="24"/>
          <w:szCs w:val="24"/>
        </w:rPr>
        <w:t xml:space="preserve"> </w:t>
      </w:r>
      <w:proofErr w:type="gramStart"/>
      <w:r w:rsidRPr="00BC686C">
        <w:rPr>
          <w:rFonts w:ascii="Times New Roman" w:hAnsi="Times New Roman" w:cs="Times New Roman"/>
          <w:sz w:val="24"/>
          <w:szCs w:val="24"/>
        </w:rPr>
        <w:t>до</w:t>
      </w:r>
      <w:proofErr w:type="gramEnd"/>
      <w:r w:rsidRPr="00BC686C">
        <w:rPr>
          <w:rFonts w:ascii="Times New Roman" w:hAnsi="Times New Roman" w:cs="Times New Roman"/>
          <w:sz w:val="24"/>
          <w:szCs w:val="24"/>
        </w:rPr>
        <w:t xml:space="preserve"> 2022</w:t>
      </w:r>
      <w:r w:rsidR="00BF657E" w:rsidRPr="00BC686C">
        <w:rPr>
          <w:rFonts w:ascii="Times New Roman" w:hAnsi="Times New Roman" w:cs="Times New Roman"/>
          <w:sz w:val="24"/>
          <w:szCs w:val="24"/>
        </w:rPr>
        <w:t>.</w:t>
      </w:r>
      <w:r w:rsidRPr="00BC686C">
        <w:rPr>
          <w:rFonts w:ascii="Times New Roman" w:hAnsi="Times New Roman" w:cs="Times New Roman"/>
          <w:sz w:val="24"/>
          <w:szCs w:val="24"/>
        </w:rPr>
        <w:t xml:space="preserve"> годин</w:t>
      </w:r>
      <w:r w:rsidRPr="00BC686C">
        <w:rPr>
          <w:rFonts w:ascii="Times New Roman" w:hAnsi="Times New Roman" w:cs="Times New Roman"/>
          <w:sz w:val="24"/>
          <w:szCs w:val="24"/>
          <w:lang w:val="sr-Cyrl-RS"/>
        </w:rPr>
        <w:t>е</w:t>
      </w:r>
      <w:r w:rsidRPr="00BC686C">
        <w:rPr>
          <w:rFonts w:ascii="Times New Roman" w:hAnsi="Times New Roman" w:cs="Times New Roman"/>
          <w:sz w:val="24"/>
          <w:szCs w:val="24"/>
        </w:rPr>
        <w:t xml:space="preserve"> било је </w:t>
      </w:r>
      <w:r w:rsidRPr="00BC686C">
        <w:rPr>
          <w:rFonts w:ascii="Times New Roman" w:hAnsi="Times New Roman" w:cs="Times New Roman"/>
          <w:sz w:val="24"/>
          <w:szCs w:val="24"/>
          <w:lang w:val="sr-Cyrl-RS"/>
        </w:rPr>
        <w:t xml:space="preserve">укупно </w:t>
      </w:r>
      <w:r w:rsidRPr="00BC686C">
        <w:rPr>
          <w:rFonts w:ascii="Times New Roman" w:hAnsi="Times New Roman" w:cs="Times New Roman"/>
          <w:sz w:val="24"/>
          <w:szCs w:val="24"/>
        </w:rPr>
        <w:t>издато</w:t>
      </w:r>
      <w:r w:rsidRPr="00BC686C">
        <w:rPr>
          <w:rFonts w:ascii="Times New Roman" w:hAnsi="Times New Roman" w:cs="Times New Roman"/>
          <w:sz w:val="24"/>
          <w:szCs w:val="24"/>
          <w:lang w:val="sr-Cyrl-RS"/>
        </w:rPr>
        <w:t>/обновљено 471</w:t>
      </w:r>
      <w:r w:rsidRPr="00BC686C">
        <w:rPr>
          <w:rFonts w:ascii="Times New Roman" w:hAnsi="Times New Roman" w:cs="Times New Roman"/>
          <w:sz w:val="24"/>
          <w:szCs w:val="24"/>
        </w:rPr>
        <w:t xml:space="preserve"> лиценц</w:t>
      </w:r>
      <w:r w:rsidR="00290F41" w:rsidRPr="00BC686C">
        <w:rPr>
          <w:rFonts w:ascii="Times New Roman" w:hAnsi="Times New Roman" w:cs="Times New Roman"/>
          <w:sz w:val="24"/>
          <w:szCs w:val="24"/>
          <w:lang w:val="sr-Cyrl-RS"/>
        </w:rPr>
        <w:t>a</w:t>
      </w:r>
      <w:r w:rsidRPr="00BC686C">
        <w:rPr>
          <w:rFonts w:ascii="Times New Roman" w:hAnsi="Times New Roman" w:cs="Times New Roman"/>
          <w:sz w:val="24"/>
          <w:szCs w:val="24"/>
          <w:lang w:val="sr-Cyrl-RS"/>
        </w:rPr>
        <w:t>.</w:t>
      </w:r>
    </w:p>
    <w:p w14:paraId="3E666AAC" w14:textId="45FE9972" w:rsidR="00EC5D47" w:rsidRPr="00AD60B6" w:rsidRDefault="00EC5D47" w:rsidP="001305AA">
      <w:pPr>
        <w:ind w:firstLine="720"/>
        <w:jc w:val="both"/>
        <w:rPr>
          <w:rFonts w:ascii="Times New Roman" w:hAnsi="Times New Roman" w:cs="Times New Roman"/>
          <w:color w:val="000000"/>
          <w:sz w:val="24"/>
          <w:szCs w:val="24"/>
          <w:lang w:val="en-GB"/>
        </w:rPr>
      </w:pPr>
      <w:r w:rsidRPr="00BC686C">
        <w:rPr>
          <w:rFonts w:ascii="Times New Roman" w:hAnsi="Times New Roman" w:cs="Times New Roman"/>
          <w:sz w:val="24"/>
          <w:szCs w:val="24"/>
          <w:lang w:val="sr-Cyrl-RS"/>
        </w:rPr>
        <w:t xml:space="preserve">Сходно законским овлашћењима Управа је у у период од </w:t>
      </w:r>
      <w:r w:rsidRPr="00BC686C">
        <w:rPr>
          <w:rFonts w:ascii="Times New Roman" w:hAnsi="Times New Roman" w:cs="Times New Roman"/>
          <w:sz w:val="24"/>
          <w:szCs w:val="24"/>
        </w:rPr>
        <w:t>2018</w:t>
      </w:r>
      <w:r w:rsidR="00290F41" w:rsidRPr="00BC686C">
        <w:rPr>
          <w:rFonts w:ascii="Times New Roman" w:hAnsi="Times New Roman" w:cs="Times New Roman"/>
          <w:sz w:val="24"/>
          <w:szCs w:val="24"/>
        </w:rPr>
        <w:t>.</w:t>
      </w:r>
      <w:r w:rsidRPr="00BC686C">
        <w:rPr>
          <w:rFonts w:ascii="Times New Roman" w:hAnsi="Times New Roman" w:cs="Times New Roman"/>
          <w:sz w:val="24"/>
          <w:szCs w:val="24"/>
        </w:rPr>
        <w:t xml:space="preserve"> </w:t>
      </w:r>
      <w:proofErr w:type="gramStart"/>
      <w:r w:rsidRPr="00BC686C">
        <w:rPr>
          <w:rFonts w:ascii="Times New Roman" w:hAnsi="Times New Roman" w:cs="Times New Roman"/>
          <w:sz w:val="24"/>
          <w:szCs w:val="24"/>
        </w:rPr>
        <w:t>до</w:t>
      </w:r>
      <w:proofErr w:type="gramEnd"/>
      <w:r w:rsidRPr="00BC686C">
        <w:rPr>
          <w:rFonts w:ascii="Times New Roman" w:hAnsi="Times New Roman" w:cs="Times New Roman"/>
          <w:sz w:val="24"/>
          <w:szCs w:val="24"/>
        </w:rPr>
        <w:t xml:space="preserve"> 2022</w:t>
      </w:r>
      <w:r w:rsidR="00290F41" w:rsidRPr="00290F41">
        <w:rPr>
          <w:rFonts w:ascii="Times New Roman" w:hAnsi="Times New Roman" w:cs="Times New Roman"/>
          <w:sz w:val="24"/>
          <w:szCs w:val="24"/>
        </w:rPr>
        <w:t>.</w:t>
      </w:r>
      <w:r w:rsidRPr="00290F41">
        <w:rPr>
          <w:rFonts w:ascii="Times New Roman" w:hAnsi="Times New Roman" w:cs="Times New Roman"/>
          <w:sz w:val="24"/>
          <w:szCs w:val="24"/>
        </w:rPr>
        <w:t xml:space="preserve"> годин</w:t>
      </w:r>
      <w:r w:rsidRPr="00290F41">
        <w:rPr>
          <w:rFonts w:ascii="Times New Roman" w:hAnsi="Times New Roman" w:cs="Times New Roman"/>
          <w:sz w:val="24"/>
          <w:szCs w:val="24"/>
          <w:lang w:val="sr-Cyrl-RS"/>
        </w:rPr>
        <w:t xml:space="preserve">е извршила укупно 154 надзора над радом правних лица и предузетника са лиценцом за обављање послова из области безбедности </w:t>
      </w:r>
      <w:r w:rsidRPr="00AD60B6">
        <w:rPr>
          <w:rFonts w:ascii="Times New Roman" w:hAnsi="Times New Roman" w:cs="Times New Roman"/>
          <w:color w:val="000000"/>
          <w:sz w:val="24"/>
          <w:szCs w:val="24"/>
          <w:lang w:val="sr-Cyrl-RS"/>
        </w:rPr>
        <w:t>и здравља на раду. У наведеном периоду одузето је 16 лиценци а престало је да важи 14 лиценци.</w:t>
      </w:r>
    </w:p>
    <w:p w14:paraId="7A1725B1" w14:textId="77777777" w:rsidR="00EC5D47" w:rsidRPr="00AD60B6" w:rsidRDefault="00EC5D47" w:rsidP="001305AA">
      <w:pPr>
        <w:ind w:firstLine="720"/>
        <w:jc w:val="both"/>
        <w:rPr>
          <w:rFonts w:ascii="Times New Roman" w:hAnsi="Times New Roman" w:cs="Times New Roman"/>
          <w:color w:val="000000"/>
          <w:sz w:val="24"/>
          <w:szCs w:val="24"/>
          <w:lang w:val="sr-Cyrl-RS"/>
        </w:rPr>
      </w:pPr>
      <w:r w:rsidRPr="00AD60B6">
        <w:rPr>
          <w:rFonts w:ascii="Times New Roman" w:hAnsi="Times New Roman" w:cs="Times New Roman"/>
          <w:bCs/>
          <w:color w:val="000000"/>
          <w:sz w:val="24"/>
          <w:szCs w:val="24"/>
          <w:lang w:val="sr-Cyrl-RS"/>
        </w:rPr>
        <w:t>У протеклом периоду забележено је повећање учешћа ангажованих правних лица и предузетника са лиценцом као и смањење субјеката који нису уредили питање организације.</w:t>
      </w:r>
      <w:r w:rsidRPr="00AD60B6">
        <w:rPr>
          <w:rFonts w:ascii="Times New Roman" w:hAnsi="Times New Roman" w:cs="Times New Roman"/>
          <w:color w:val="000000"/>
          <w:sz w:val="24"/>
          <w:szCs w:val="24"/>
          <w:lang w:val="sr-Cyrl-RS"/>
        </w:rPr>
        <w:t xml:space="preserve"> Нешто преко половине субјеката ангажовало је трећа лица која поседују лиценцу.</w:t>
      </w:r>
    </w:p>
    <w:p w14:paraId="650DF601" w14:textId="6443AADD" w:rsidR="00EC5D47" w:rsidRPr="00290F41" w:rsidRDefault="00EC5D47" w:rsidP="00BC4C04">
      <w:pPr>
        <w:ind w:firstLine="720"/>
        <w:jc w:val="both"/>
        <w:rPr>
          <w:rFonts w:ascii="Times New Roman" w:hAnsi="Times New Roman" w:cs="Times New Roman"/>
          <w:b/>
          <w:i/>
          <w:sz w:val="24"/>
          <w:szCs w:val="24"/>
          <w:lang w:val="sr-Cyrl-RS"/>
        </w:rPr>
      </w:pPr>
      <w:r w:rsidRPr="00290F41">
        <w:rPr>
          <w:rFonts w:ascii="Times New Roman" w:hAnsi="Times New Roman" w:cs="Times New Roman"/>
          <w:b/>
          <w:i/>
          <w:sz w:val="24"/>
          <w:szCs w:val="24"/>
          <w:lang w:val="sr-Cyrl-RS"/>
        </w:rPr>
        <w:t xml:space="preserve">Графикон </w:t>
      </w:r>
      <w:r w:rsidR="00BC4C04" w:rsidRPr="00290F41">
        <w:rPr>
          <w:rFonts w:ascii="Times New Roman" w:hAnsi="Times New Roman" w:cs="Times New Roman"/>
          <w:b/>
          <w:i/>
          <w:sz w:val="24"/>
          <w:szCs w:val="24"/>
          <w:lang w:val="sr-Latn-RS"/>
        </w:rPr>
        <w:t>4:</w:t>
      </w:r>
      <w:r w:rsidRPr="00290F41">
        <w:rPr>
          <w:rFonts w:ascii="Times New Roman" w:hAnsi="Times New Roman" w:cs="Times New Roman"/>
          <w:b/>
          <w:i/>
          <w:sz w:val="24"/>
          <w:szCs w:val="24"/>
          <w:lang w:val="sr-Cyrl-RS"/>
        </w:rPr>
        <w:t xml:space="preserve"> Организација послова безбедности на раду</w:t>
      </w:r>
    </w:p>
    <w:p w14:paraId="63A36432" w14:textId="77777777" w:rsidR="00EC5D47" w:rsidRPr="00AD60B6" w:rsidRDefault="00EC5D47" w:rsidP="00EC5D47">
      <w:pPr>
        <w:jc w:val="both"/>
        <w:rPr>
          <w:rFonts w:ascii="Times New Roman" w:hAnsi="Times New Roman" w:cs="Times New Roman"/>
          <w:color w:val="000000"/>
          <w:sz w:val="24"/>
          <w:szCs w:val="24"/>
          <w:lang w:val="sr-Cyrl-RS"/>
        </w:rPr>
      </w:pPr>
      <w:r w:rsidRPr="00AD60B6">
        <w:rPr>
          <w:rFonts w:ascii="Times New Roman" w:hAnsi="Times New Roman" w:cs="Times New Roman"/>
          <w:noProof/>
          <w:sz w:val="24"/>
          <w:szCs w:val="24"/>
        </w:rPr>
        <w:drawing>
          <wp:inline distT="0" distB="0" distL="0" distR="0" wp14:anchorId="1D162EB7" wp14:editId="770AEFF4">
            <wp:extent cx="5732145" cy="2362200"/>
            <wp:effectExtent l="0" t="0" r="1905" b="0"/>
            <wp:docPr id="2" name="Chart 2">
              <a:extLst xmlns:a="http://schemas.openxmlformats.org/drawingml/2006/main">
                <a:ext uri="{FF2B5EF4-FFF2-40B4-BE49-F238E27FC236}">
                  <a16:creationId xmlns:a16="http://schemas.microsoft.com/office/drawing/2014/main" id="{EA166518-4D43-4639-8C54-62059E5A6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676A112" w14:textId="26412D2D" w:rsidR="00F55B4B" w:rsidRPr="005566E4" w:rsidRDefault="00EC5D47" w:rsidP="005566E4">
      <w:pPr>
        <w:jc w:val="both"/>
        <w:rPr>
          <w:rFonts w:ascii="Times New Roman" w:hAnsi="Times New Roman" w:cs="Times New Roman"/>
          <w:i/>
          <w:color w:val="000000"/>
          <w:sz w:val="24"/>
          <w:szCs w:val="24"/>
          <w:lang w:val="sr-Cyrl-RS"/>
        </w:rPr>
      </w:pPr>
      <w:r w:rsidRPr="00BC4C04">
        <w:rPr>
          <w:rFonts w:ascii="Times New Roman" w:hAnsi="Times New Roman" w:cs="Times New Roman"/>
          <w:i/>
          <w:color w:val="000000"/>
          <w:sz w:val="24"/>
          <w:szCs w:val="24"/>
          <w:lang w:val="sr-Cyrl-RS"/>
        </w:rPr>
        <w:t>Извор: Извештаји Инспектората за рад</w:t>
      </w:r>
    </w:p>
    <w:p w14:paraId="7072FEF4" w14:textId="4BD92ABA" w:rsidR="00EC5D47" w:rsidRPr="00AD60B6" w:rsidRDefault="00EC5D47" w:rsidP="00F55B4B">
      <w:pPr>
        <w:ind w:firstLine="720"/>
        <w:jc w:val="both"/>
        <w:rPr>
          <w:rFonts w:ascii="Times New Roman" w:hAnsi="Times New Roman" w:cs="Times New Roman"/>
          <w:color w:val="000000"/>
          <w:sz w:val="24"/>
          <w:szCs w:val="24"/>
          <w:lang w:val="sr-Cyrl-RS"/>
        </w:rPr>
      </w:pPr>
      <w:r w:rsidRPr="00AD60B6">
        <w:rPr>
          <w:rFonts w:ascii="Times New Roman" w:hAnsi="Times New Roman" w:cs="Times New Roman"/>
          <w:color w:val="000000"/>
          <w:sz w:val="24"/>
          <w:szCs w:val="24"/>
          <w:lang w:val="sr-Cyrl-RS"/>
        </w:rPr>
        <w:lastRenderedPageBreak/>
        <w:t>У пракси је</w:t>
      </w:r>
      <w:r w:rsidR="00F55B4B">
        <w:rPr>
          <w:rFonts w:ascii="Times New Roman" w:hAnsi="Times New Roman" w:cs="Times New Roman"/>
          <w:color w:val="000000"/>
          <w:sz w:val="24"/>
          <w:szCs w:val="24"/>
          <w:lang w:val="sr-Cyrl-RS"/>
        </w:rPr>
        <w:t xml:space="preserve"> </w:t>
      </w:r>
      <w:r w:rsidRPr="00AD60B6">
        <w:rPr>
          <w:rFonts w:ascii="Times New Roman" w:hAnsi="Times New Roman" w:cs="Times New Roman"/>
          <w:color w:val="000000"/>
          <w:sz w:val="24"/>
          <w:szCs w:val="24"/>
          <w:lang w:val="sr-Cyrl-RS"/>
        </w:rPr>
        <w:t xml:space="preserve">уочено да је квалитетније обављање послова безбедности и здравља на раду код оних послодавца код којих су лица за безбедност и здравље на раду из реда запослених код послодавца. </w:t>
      </w:r>
    </w:p>
    <w:p w14:paraId="06ABC2D7" w14:textId="77777777" w:rsidR="00EC5D47" w:rsidRPr="00AD60B6" w:rsidRDefault="00EC5D47" w:rsidP="001305AA">
      <w:pPr>
        <w:ind w:firstLine="720"/>
        <w:jc w:val="both"/>
        <w:rPr>
          <w:rFonts w:ascii="Times New Roman" w:hAnsi="Times New Roman" w:cs="Times New Roman"/>
          <w:color w:val="000000"/>
          <w:sz w:val="24"/>
          <w:szCs w:val="24"/>
          <w:lang w:val="sr-Cyrl-RS"/>
        </w:rPr>
      </w:pPr>
      <w:r w:rsidRPr="00AD60B6">
        <w:rPr>
          <w:rFonts w:ascii="Times New Roman" w:hAnsi="Times New Roman" w:cs="Times New Roman"/>
          <w:color w:val="000000"/>
          <w:sz w:val="24"/>
          <w:szCs w:val="24"/>
          <w:lang w:val="sr-Cyrl-RS"/>
        </w:rPr>
        <w:t>Квалитет акта о процени ризика, односно његов садржај и форма, је различит и зависи од тога да ли је процену ризика извршио сам послодавац који нема положен стручни испит о практичној оспособљености за обављање послова безбедности и здравља на раду (ако има до 20 запослених нема обавезу полагања стручног испита), да ли је поступак процене ризика извршио запослени код послодавца који има положен стручни испит или је послодавац за вршење процене ризика ангажовао правно лице, односно предузетника са лиценцом за обављање послова безбедности и здравља на раду.</w:t>
      </w:r>
    </w:p>
    <w:p w14:paraId="065E70AD" w14:textId="77777777" w:rsidR="00EC5D47" w:rsidRPr="00AD60B6" w:rsidRDefault="00EC5D47" w:rsidP="001305AA">
      <w:pPr>
        <w:ind w:firstLine="720"/>
        <w:jc w:val="both"/>
        <w:rPr>
          <w:rFonts w:ascii="Times New Roman" w:hAnsi="Times New Roman" w:cs="Times New Roman"/>
          <w:color w:val="000000"/>
          <w:sz w:val="24"/>
          <w:szCs w:val="24"/>
          <w:lang w:val="sr-Cyrl-RS"/>
        </w:rPr>
      </w:pPr>
      <w:r w:rsidRPr="00AD60B6">
        <w:rPr>
          <w:rFonts w:ascii="Times New Roman" w:hAnsi="Times New Roman" w:cs="Times New Roman"/>
          <w:color w:val="000000"/>
          <w:sz w:val="24"/>
          <w:szCs w:val="24"/>
          <w:lang w:val="sr-Cyrl-RS"/>
        </w:rPr>
        <w:t xml:space="preserve">Такође, </w:t>
      </w:r>
      <w:r w:rsidRPr="00AD60B6">
        <w:rPr>
          <w:rFonts w:ascii="Times New Roman" w:hAnsi="Times New Roman" w:cs="Times New Roman"/>
          <w:bCs/>
          <w:color w:val="000000"/>
          <w:sz w:val="24"/>
          <w:szCs w:val="24"/>
          <w:lang w:val="sr-Cyrl-RS"/>
        </w:rPr>
        <w:t xml:space="preserve">уобичајена је појава да је једно правно лице или предузетник са лиценцом за обављање послова безбедности и </w:t>
      </w:r>
      <w:r w:rsidRPr="00AD60B6">
        <w:rPr>
          <w:rFonts w:ascii="Times New Roman" w:hAnsi="Times New Roman" w:cs="Times New Roman"/>
          <w:bCs/>
          <w:color w:val="000000" w:themeColor="text1"/>
          <w:sz w:val="24"/>
          <w:szCs w:val="24"/>
          <w:lang w:val="sr-Cyrl-RS"/>
        </w:rPr>
        <w:t>здравља на раду ангажован код много послодаваца</w:t>
      </w:r>
      <w:r w:rsidRPr="00AD60B6">
        <w:rPr>
          <w:rFonts w:ascii="Times New Roman" w:hAnsi="Times New Roman" w:cs="Times New Roman"/>
          <w:color w:val="000000" w:themeColor="text1"/>
          <w:sz w:val="24"/>
          <w:szCs w:val="24"/>
          <w:lang w:val="sr-Cyrl-RS"/>
        </w:rPr>
        <w:t xml:space="preserve">, односно да је један њихов запослени као лице за </w:t>
      </w:r>
      <w:r w:rsidRPr="00AD60B6">
        <w:rPr>
          <w:rFonts w:ascii="Times New Roman" w:hAnsi="Times New Roman" w:cs="Times New Roman"/>
          <w:color w:val="000000"/>
          <w:sz w:val="24"/>
          <w:szCs w:val="24"/>
          <w:lang w:val="sr-Cyrl-RS"/>
        </w:rPr>
        <w:t xml:space="preserve">безбедност и здравље на раду одређен код већег броја послодаваца, што за последицу има неквалитетно обављање или необављање послова. </w:t>
      </w:r>
    </w:p>
    <w:p w14:paraId="701543A8" w14:textId="77777777" w:rsidR="00EC5D47" w:rsidRPr="00AD60B6" w:rsidRDefault="00EC5D47" w:rsidP="001305AA">
      <w:pPr>
        <w:ind w:firstLine="720"/>
        <w:jc w:val="both"/>
        <w:rPr>
          <w:rFonts w:ascii="Times New Roman" w:hAnsi="Times New Roman" w:cs="Times New Roman"/>
          <w:color w:val="000000"/>
          <w:sz w:val="24"/>
          <w:szCs w:val="24"/>
          <w:lang w:val="sr-Cyrl-RS"/>
        </w:rPr>
      </w:pPr>
      <w:r w:rsidRPr="00AD60B6">
        <w:rPr>
          <w:rFonts w:ascii="Times New Roman" w:hAnsi="Times New Roman" w:cs="Times New Roman"/>
          <w:color w:val="000000"/>
          <w:sz w:val="24"/>
          <w:szCs w:val="24"/>
          <w:lang w:val="sr-Cyrl-RS"/>
        </w:rPr>
        <w:t>Послодавци често након раскида уговора о ангажовању правног лица или предузетника са лиценцом за обављање послова безбедности и здравља на раду не организују послове безбедности и здравља на раду, нити одређују лице за безбедност и здравље на раду.</w:t>
      </w:r>
    </w:p>
    <w:p w14:paraId="7AD187AD" w14:textId="7392ED28" w:rsidR="00EC5D47" w:rsidRPr="00125B70" w:rsidRDefault="00125B70" w:rsidP="00125B70">
      <w:pPr>
        <w:ind w:firstLine="720"/>
        <w:jc w:val="both"/>
        <w:rPr>
          <w:rFonts w:ascii="Times New Roman" w:hAnsi="Times New Roman" w:cs="Times New Roman"/>
          <w:b/>
          <w:sz w:val="24"/>
          <w:szCs w:val="24"/>
          <w:lang w:val="sr-Cyrl-RS"/>
        </w:rPr>
      </w:pPr>
      <w:bookmarkStart w:id="23" w:name="_Toc126746527"/>
      <w:r w:rsidRPr="00125B70">
        <w:rPr>
          <w:rFonts w:ascii="Times New Roman" w:hAnsi="Times New Roman" w:cs="Times New Roman"/>
          <w:b/>
          <w:sz w:val="24"/>
          <w:szCs w:val="24"/>
          <w:lang w:val="sr-Cyrl-RS"/>
        </w:rPr>
        <w:t xml:space="preserve">3.5. </w:t>
      </w:r>
      <w:r w:rsidR="00EC5D47" w:rsidRPr="00125B70">
        <w:rPr>
          <w:rFonts w:ascii="Times New Roman" w:hAnsi="Times New Roman" w:cs="Times New Roman"/>
          <w:b/>
          <w:sz w:val="24"/>
          <w:szCs w:val="24"/>
          <w:lang w:val="sr-Cyrl-RS"/>
        </w:rPr>
        <w:t>Анализа уређења права, обавеза и одговорности у области безбедности и здравља</w:t>
      </w:r>
      <w:bookmarkEnd w:id="23"/>
      <w:r w:rsidR="00EC5D47" w:rsidRPr="00125B70">
        <w:rPr>
          <w:rFonts w:ascii="Times New Roman" w:hAnsi="Times New Roman" w:cs="Times New Roman"/>
          <w:b/>
          <w:sz w:val="24"/>
          <w:szCs w:val="24"/>
          <w:lang w:val="sr-Cyrl-RS"/>
        </w:rPr>
        <w:t xml:space="preserve"> </w:t>
      </w:r>
    </w:p>
    <w:p w14:paraId="534EFD98" w14:textId="77777777" w:rsidR="00EC5D47" w:rsidRPr="006B7E89" w:rsidRDefault="00EC5D47" w:rsidP="00125B70">
      <w:pPr>
        <w:ind w:firstLine="720"/>
        <w:jc w:val="both"/>
        <w:rPr>
          <w:rFonts w:ascii="Times New Roman" w:hAnsi="Times New Roman" w:cs="Times New Roman"/>
          <w:bCs/>
          <w:sz w:val="24"/>
          <w:szCs w:val="24"/>
        </w:rPr>
      </w:pPr>
      <w:r w:rsidRPr="00AD60B6">
        <w:rPr>
          <w:rFonts w:ascii="Times New Roman" w:hAnsi="Times New Roman" w:cs="Times New Roman"/>
          <w:color w:val="000000"/>
          <w:sz w:val="24"/>
          <w:szCs w:val="24"/>
          <w:lang w:val="sr-Cyrl-RS"/>
        </w:rPr>
        <w:t xml:space="preserve">Права, обавезе и одговорности у вези са безбедношћу и здрављем на раду, могу се ближе уредити колективним уговором код послодавца, општим актом послодавца или уговором о раду. Најчешћи начин уређења права, обавеза и одговорности у области безбедности и здравља на раду у протеклом периоду је путем општег акта, односно путем Правилника о безбедности и здрављу на раду.  У пракси се субјекти опредељују за овај приступ услед: 1) недовољно прихваћеног става да се безбедност и здравље на раду, као право из радног односа, може уредити и Правилником о раду; 2) релативно малог броја послодаваца код којих је организован синдикат, 3) непостојања воље послодавца и синдиката да се о овим правима, обавезама и одговорностима </w:t>
      </w:r>
      <w:r w:rsidRPr="006B7E89">
        <w:rPr>
          <w:rFonts w:ascii="Times New Roman" w:hAnsi="Times New Roman" w:cs="Times New Roman"/>
          <w:sz w:val="24"/>
          <w:szCs w:val="24"/>
          <w:lang w:val="sr-Cyrl-RS"/>
        </w:rPr>
        <w:t xml:space="preserve">преговара, као и због ограниченог времена важења колективног уговора код послодавца, 4) </w:t>
      </w:r>
      <w:r w:rsidRPr="006B7E89">
        <w:rPr>
          <w:rFonts w:ascii="Times New Roman" w:hAnsi="Times New Roman" w:cs="Times New Roman"/>
          <w:bCs/>
          <w:sz w:val="24"/>
          <w:szCs w:val="24"/>
          <w:lang w:val="sr-Cyrl-RS"/>
        </w:rPr>
        <w:t>релативно малог броја послодаваца код којих је организован одбор за безбедност и здравље на раду и/или је именован представник запослених.</w:t>
      </w:r>
    </w:p>
    <w:p w14:paraId="186392E7" w14:textId="5AF6FB3B" w:rsidR="00EC5D47" w:rsidRPr="00AD60B6" w:rsidRDefault="00EC5D47" w:rsidP="00125B70">
      <w:pPr>
        <w:spacing w:line="288" w:lineRule="auto"/>
        <w:ind w:firstLine="720"/>
        <w:jc w:val="both"/>
        <w:rPr>
          <w:rFonts w:ascii="Times New Roman" w:hAnsi="Times New Roman" w:cs="Times New Roman"/>
          <w:color w:val="000000"/>
          <w:sz w:val="24"/>
          <w:szCs w:val="24"/>
          <w:lang w:val="sr-Cyrl-RS"/>
        </w:rPr>
      </w:pPr>
      <w:r w:rsidRPr="00AD60B6">
        <w:rPr>
          <w:rFonts w:ascii="Times New Roman" w:hAnsi="Times New Roman" w:cs="Times New Roman"/>
          <w:color w:val="000000"/>
          <w:sz w:val="24"/>
          <w:szCs w:val="24"/>
          <w:lang w:val="sr-Cyrl-RS"/>
        </w:rPr>
        <w:t>У поступцима надзора најчешће утврђени недостаци, односно неправилности у примени института нормативног уређења безбедности и здравља на раду, били су да послодавац ни на који начин није утврдио права, обавезе и одговорности у области безбедности и здравља на раду, и да послодавац, који је уредио права, обавезе и одговорности у области безбедности и здравља на раду, није утврдио посебна права, обавезе и мере у вези са безбедношћу и здрављем на раду младих, жена које раде на радном месту са повећаним ризиком, особа са инвалидитет</w:t>
      </w:r>
      <w:r w:rsidR="00F0491A">
        <w:rPr>
          <w:rFonts w:ascii="Times New Roman" w:hAnsi="Times New Roman" w:cs="Times New Roman"/>
          <w:color w:val="000000"/>
          <w:sz w:val="24"/>
          <w:szCs w:val="24"/>
          <w:lang w:val="sr-Cyrl-RS"/>
        </w:rPr>
        <w:t>ом и професионално оболелих (члан</w:t>
      </w:r>
      <w:r w:rsidRPr="00AD60B6">
        <w:rPr>
          <w:rFonts w:ascii="Times New Roman" w:hAnsi="Times New Roman" w:cs="Times New Roman"/>
          <w:color w:val="000000"/>
          <w:sz w:val="24"/>
          <w:szCs w:val="24"/>
          <w:lang w:val="sr-Cyrl-RS"/>
        </w:rPr>
        <w:t xml:space="preserve"> 6. Закона о безбедности и здрављу на раду).</w:t>
      </w:r>
    </w:p>
    <w:p w14:paraId="3F0763DC" w14:textId="5E58DB58" w:rsidR="00EC5D47" w:rsidRPr="00A64474" w:rsidRDefault="00EC5D47" w:rsidP="00BC4C04">
      <w:pPr>
        <w:spacing w:line="288" w:lineRule="auto"/>
        <w:ind w:firstLine="720"/>
        <w:jc w:val="both"/>
        <w:rPr>
          <w:rFonts w:ascii="Times New Roman" w:hAnsi="Times New Roman" w:cs="Times New Roman"/>
          <w:b/>
          <w:i/>
          <w:sz w:val="24"/>
          <w:szCs w:val="24"/>
          <w:lang w:val="sr-Cyrl-RS"/>
        </w:rPr>
      </w:pPr>
      <w:r w:rsidRPr="00A64474">
        <w:rPr>
          <w:rFonts w:ascii="Times New Roman" w:hAnsi="Times New Roman" w:cs="Times New Roman"/>
          <w:b/>
          <w:i/>
          <w:sz w:val="24"/>
          <w:szCs w:val="24"/>
          <w:lang w:val="sr-Cyrl-RS"/>
        </w:rPr>
        <w:lastRenderedPageBreak/>
        <w:t xml:space="preserve">Графикон </w:t>
      </w:r>
      <w:r w:rsidRPr="00A64474">
        <w:rPr>
          <w:rFonts w:ascii="Times New Roman" w:hAnsi="Times New Roman" w:cs="Times New Roman"/>
          <w:b/>
          <w:i/>
          <w:sz w:val="24"/>
          <w:szCs w:val="24"/>
          <w:lang w:val="sr-Cyrl-RS"/>
        </w:rPr>
        <w:fldChar w:fldCharType="begin"/>
      </w:r>
      <w:r w:rsidRPr="00A64474">
        <w:rPr>
          <w:rFonts w:ascii="Times New Roman" w:hAnsi="Times New Roman" w:cs="Times New Roman"/>
          <w:b/>
          <w:i/>
          <w:sz w:val="24"/>
          <w:szCs w:val="24"/>
          <w:lang w:val="sr-Cyrl-RS"/>
        </w:rPr>
        <w:instrText xml:space="preserve"> SEQ Графикон \* ARABIC </w:instrText>
      </w:r>
      <w:r w:rsidRPr="00A64474">
        <w:rPr>
          <w:rFonts w:ascii="Times New Roman" w:hAnsi="Times New Roman" w:cs="Times New Roman"/>
          <w:b/>
          <w:i/>
          <w:sz w:val="24"/>
          <w:szCs w:val="24"/>
          <w:lang w:val="sr-Cyrl-RS"/>
        </w:rPr>
        <w:fldChar w:fldCharType="separate"/>
      </w:r>
      <w:r w:rsidRPr="00A64474">
        <w:rPr>
          <w:rFonts w:ascii="Times New Roman" w:hAnsi="Times New Roman" w:cs="Times New Roman"/>
          <w:b/>
          <w:i/>
          <w:noProof/>
          <w:sz w:val="24"/>
          <w:szCs w:val="24"/>
          <w:lang w:val="sr-Cyrl-RS"/>
        </w:rPr>
        <w:t>5</w:t>
      </w:r>
      <w:r w:rsidRPr="00A64474">
        <w:rPr>
          <w:rFonts w:ascii="Times New Roman" w:hAnsi="Times New Roman" w:cs="Times New Roman"/>
          <w:b/>
          <w:i/>
          <w:sz w:val="24"/>
          <w:szCs w:val="24"/>
          <w:lang w:val="sr-Cyrl-RS"/>
        </w:rPr>
        <w:fldChar w:fldCharType="end"/>
      </w:r>
      <w:r w:rsidR="00BC4C04" w:rsidRPr="00A64474">
        <w:rPr>
          <w:rFonts w:ascii="Times New Roman" w:hAnsi="Times New Roman" w:cs="Times New Roman"/>
          <w:b/>
          <w:i/>
          <w:sz w:val="24"/>
          <w:szCs w:val="24"/>
          <w:lang w:val="sr-Latn-RS"/>
        </w:rPr>
        <w:t>:</w:t>
      </w:r>
      <w:r w:rsidRPr="00A64474">
        <w:rPr>
          <w:rFonts w:ascii="Times New Roman" w:hAnsi="Times New Roman" w:cs="Times New Roman"/>
          <w:b/>
          <w:i/>
          <w:sz w:val="24"/>
          <w:szCs w:val="24"/>
          <w:lang w:val="sr-Cyrl-RS"/>
        </w:rPr>
        <w:t xml:space="preserve"> Уређења права, обавеза и одговорности у области безбедности и здравља</w:t>
      </w:r>
    </w:p>
    <w:p w14:paraId="198ED4C1" w14:textId="77777777" w:rsidR="00EC5D47" w:rsidRPr="00AD60B6" w:rsidRDefault="00EC5D47" w:rsidP="00EC5D47">
      <w:pPr>
        <w:spacing w:line="288" w:lineRule="auto"/>
        <w:jc w:val="both"/>
        <w:rPr>
          <w:rFonts w:ascii="Times New Roman" w:hAnsi="Times New Roman" w:cs="Times New Roman"/>
          <w:color w:val="000000"/>
          <w:sz w:val="24"/>
          <w:szCs w:val="24"/>
          <w:lang w:val="sr-Cyrl-RS"/>
        </w:rPr>
      </w:pPr>
      <w:r w:rsidRPr="00AD60B6">
        <w:rPr>
          <w:rFonts w:ascii="Times New Roman" w:hAnsi="Times New Roman" w:cs="Times New Roman"/>
          <w:noProof/>
          <w:sz w:val="24"/>
          <w:szCs w:val="24"/>
        </w:rPr>
        <w:drawing>
          <wp:inline distT="0" distB="0" distL="0" distR="0" wp14:anchorId="79A45CCC" wp14:editId="3188F360">
            <wp:extent cx="5732145" cy="2362200"/>
            <wp:effectExtent l="0" t="0" r="1905" b="0"/>
            <wp:docPr id="3" name="Chart 3">
              <a:extLst xmlns:a="http://schemas.openxmlformats.org/drawingml/2006/main">
                <a:ext uri="{FF2B5EF4-FFF2-40B4-BE49-F238E27FC236}">
                  <a16:creationId xmlns:a16="http://schemas.microsoft.com/office/drawing/2014/main" id="{C729F54F-82A3-408C-B708-30ECDB0003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849DD3" w14:textId="77777777" w:rsidR="00EC5D47" w:rsidRPr="00EA0EA6" w:rsidRDefault="00EC5D47" w:rsidP="00EA0EA6">
      <w:pPr>
        <w:spacing w:after="150"/>
        <w:ind w:firstLine="720"/>
        <w:jc w:val="both"/>
        <w:rPr>
          <w:rFonts w:ascii="Times New Roman" w:hAnsi="Times New Roman" w:cs="Times New Roman"/>
          <w:color w:val="000000"/>
          <w:sz w:val="24"/>
          <w:szCs w:val="24"/>
          <w:lang w:val="sr-Cyrl-RS"/>
        </w:rPr>
      </w:pPr>
      <w:r w:rsidRPr="00AD60B6">
        <w:rPr>
          <w:rFonts w:ascii="Times New Roman" w:hAnsi="Times New Roman" w:cs="Times New Roman"/>
          <w:bCs/>
          <w:color w:val="000000"/>
          <w:sz w:val="24"/>
          <w:szCs w:val="24"/>
          <w:lang w:val="sr-Cyrl-RS"/>
        </w:rPr>
        <w:t>У периоду спровођења претходне стратегије дошло је до значајног смањења субјекат</w:t>
      </w:r>
      <w:r w:rsidRPr="00AD60B6">
        <w:rPr>
          <w:rFonts w:ascii="Times New Roman" w:hAnsi="Times New Roman" w:cs="Times New Roman"/>
          <w:bCs/>
          <w:sz w:val="24"/>
          <w:szCs w:val="24"/>
          <w:lang w:val="sr-Cyrl-RS"/>
        </w:rPr>
        <w:t>а</w:t>
      </w:r>
      <w:r w:rsidRPr="00AD60B6">
        <w:rPr>
          <w:rFonts w:ascii="Times New Roman" w:hAnsi="Times New Roman" w:cs="Times New Roman"/>
          <w:bCs/>
          <w:color w:val="000000"/>
          <w:sz w:val="24"/>
          <w:szCs w:val="24"/>
          <w:lang w:val="sr-Cyrl-RS"/>
        </w:rPr>
        <w:t xml:space="preserve"> који нису уредили питање права, обавеза и одговорности у области безбедности и здравља на раду.</w:t>
      </w:r>
      <w:r w:rsidRPr="00AD60B6">
        <w:rPr>
          <w:rFonts w:ascii="Times New Roman" w:hAnsi="Times New Roman" w:cs="Times New Roman"/>
          <w:color w:val="000000"/>
          <w:sz w:val="24"/>
          <w:szCs w:val="24"/>
          <w:lang w:val="sr-Cyrl-RS"/>
        </w:rPr>
        <w:t xml:space="preserve"> Према извештају Инспектората за рад, на основу спроведених надзора током 2021. године, утврђено је да је 7% послодаваца који имају до десет запослених, права, обавезе и одговорности у области безбедности и здравља на раду утврдило уговором о раду. Права, обавезе и одговорности у области безбедности и здравља на раду је 77% послодаваца, код којих је извршен инспекцијски надзор у 2021. години, уредило општим актом, односно Правилником о безбедности и здрављу на раду, док је 6% послодаваца колективним уговором уредило права, обавезе и одговорности. Ипак у 2021. години и даље </w:t>
      </w:r>
      <w:r w:rsidRPr="00AD60B6">
        <w:rPr>
          <w:rFonts w:ascii="Times New Roman" w:hAnsi="Times New Roman" w:cs="Times New Roman"/>
          <w:bCs/>
          <w:color w:val="000000"/>
          <w:sz w:val="24"/>
          <w:szCs w:val="24"/>
          <w:lang w:val="sr-Cyrl-RS"/>
        </w:rPr>
        <w:t>око 10% послодаваца уопште није уредило права, обавезе и одговорности у области безбедности и здравља на раду.</w:t>
      </w:r>
      <w:r w:rsidRPr="00AD60B6">
        <w:rPr>
          <w:rFonts w:ascii="Times New Roman" w:hAnsi="Times New Roman" w:cs="Times New Roman"/>
          <w:b/>
          <w:bCs/>
          <w:color w:val="000000"/>
          <w:sz w:val="24"/>
          <w:szCs w:val="24"/>
        </w:rPr>
        <w:t xml:space="preserve"> </w:t>
      </w:r>
      <w:r w:rsidRPr="00AD60B6">
        <w:rPr>
          <w:rFonts w:ascii="Times New Roman" w:hAnsi="Times New Roman" w:cs="Times New Roman"/>
          <w:color w:val="000000"/>
          <w:sz w:val="24"/>
          <w:szCs w:val="24"/>
          <w:lang w:val="sr-Cyrl-RS"/>
        </w:rPr>
        <w:t>Просек за ЕУ у 2019. години показао је да је 91%</w:t>
      </w:r>
      <w:r w:rsidRPr="00AD60B6">
        <w:rPr>
          <w:rFonts w:ascii="Times New Roman" w:hAnsi="Times New Roman" w:cs="Times New Roman"/>
          <w:color w:val="000000"/>
          <w:sz w:val="24"/>
          <w:szCs w:val="24"/>
        </w:rPr>
        <w:t xml:space="preserve"> предузећа поседовало неки документ којим уређује обавезе у </w:t>
      </w:r>
      <w:r w:rsidRPr="00EA0EA6">
        <w:rPr>
          <w:rFonts w:ascii="Times New Roman" w:hAnsi="Times New Roman" w:cs="Times New Roman"/>
          <w:color w:val="000000"/>
          <w:sz w:val="24"/>
          <w:szCs w:val="24"/>
          <w:lang w:val="sr-Cyrl-RS"/>
        </w:rPr>
        <w:t>области безбедности и здравља на раду.</w:t>
      </w:r>
      <w:r w:rsidRPr="00EA0EA6">
        <w:rPr>
          <w:rFonts w:ascii="Times New Roman" w:hAnsi="Times New Roman" w:cs="Times New Roman"/>
          <w:color w:val="000000"/>
          <w:sz w:val="24"/>
          <w:szCs w:val="24"/>
          <w:lang w:val="sr-Cyrl-RS"/>
        </w:rPr>
        <w:footnoteReference w:id="21"/>
      </w:r>
      <w:r w:rsidRPr="00EA0EA6">
        <w:rPr>
          <w:rFonts w:ascii="Times New Roman" w:hAnsi="Times New Roman" w:cs="Times New Roman"/>
          <w:color w:val="000000"/>
          <w:sz w:val="24"/>
          <w:szCs w:val="24"/>
          <w:lang w:val="sr-Cyrl-RS"/>
        </w:rPr>
        <w:t xml:space="preserve"> У том контексту Србија се налази близу европског просека.</w:t>
      </w:r>
    </w:p>
    <w:p w14:paraId="39ED794A" w14:textId="195C5BAA" w:rsidR="00EC5D47" w:rsidRPr="00EA0EA6" w:rsidRDefault="00EC5D47" w:rsidP="00EA0EA6">
      <w:pPr>
        <w:spacing w:after="150"/>
        <w:ind w:firstLine="720"/>
        <w:jc w:val="both"/>
        <w:rPr>
          <w:rFonts w:ascii="Times New Roman" w:hAnsi="Times New Roman" w:cs="Times New Roman"/>
          <w:b/>
          <w:color w:val="000000"/>
          <w:sz w:val="24"/>
          <w:szCs w:val="24"/>
          <w:lang w:val="sr-Cyrl-RS"/>
        </w:rPr>
      </w:pPr>
      <w:bookmarkStart w:id="24" w:name="_Toc126746528"/>
      <w:r w:rsidRPr="00EA0EA6">
        <w:rPr>
          <w:rFonts w:ascii="Times New Roman" w:hAnsi="Times New Roman" w:cs="Times New Roman"/>
          <w:b/>
          <w:color w:val="000000"/>
          <w:sz w:val="24"/>
          <w:szCs w:val="24"/>
          <w:lang w:val="sr-Cyrl-RS"/>
        </w:rPr>
        <w:t>3.6. Анализа надзора</w:t>
      </w:r>
      <w:bookmarkEnd w:id="24"/>
    </w:p>
    <w:p w14:paraId="6652EFAF" w14:textId="77777777" w:rsidR="00EC5D47" w:rsidRPr="00AD60B6" w:rsidRDefault="00EC5D47" w:rsidP="00125B70">
      <w:pPr>
        <w:spacing w:after="150"/>
        <w:ind w:firstLine="720"/>
        <w:jc w:val="both"/>
        <w:rPr>
          <w:rFonts w:ascii="Times New Roman" w:hAnsi="Times New Roman" w:cs="Times New Roman"/>
          <w:color w:val="000000"/>
          <w:sz w:val="24"/>
          <w:szCs w:val="24"/>
          <w:lang w:val="sr-Cyrl-RS"/>
        </w:rPr>
      </w:pPr>
      <w:bookmarkStart w:id="25" w:name="_Hlk126748712"/>
      <w:r w:rsidRPr="00AD60B6">
        <w:rPr>
          <w:rFonts w:ascii="Times New Roman" w:hAnsi="Times New Roman" w:cs="Times New Roman"/>
          <w:color w:val="000000"/>
          <w:sz w:val="24"/>
          <w:szCs w:val="24"/>
          <w:lang w:val="sr-Cyrl-RS"/>
        </w:rPr>
        <w:t xml:space="preserve">У периоду спровођења Стратегије безбедности и здравља на раду у Републици Србији за период од 2013. до 2017. године, Инспекторат за рад је извршио 74.434 инспекцијских надзора у области безбедности и здравља на раду. </w:t>
      </w:r>
    </w:p>
    <w:p w14:paraId="16C20AAE" w14:textId="6C4C50FF" w:rsidR="00EC5D47" w:rsidRPr="00B861C0" w:rsidRDefault="00EC5D47" w:rsidP="00125B70">
      <w:pPr>
        <w:spacing w:after="150"/>
        <w:ind w:firstLine="720"/>
        <w:jc w:val="both"/>
        <w:rPr>
          <w:rFonts w:ascii="Times New Roman" w:hAnsi="Times New Roman" w:cs="Times New Roman"/>
          <w:color w:val="000000"/>
          <w:sz w:val="24"/>
          <w:szCs w:val="24"/>
          <w:lang w:val="sr-Latn-RS"/>
        </w:rPr>
      </w:pPr>
      <w:r w:rsidRPr="00AD60B6">
        <w:rPr>
          <w:rFonts w:ascii="Times New Roman" w:hAnsi="Times New Roman" w:cs="Times New Roman"/>
          <w:color w:val="000000"/>
          <w:sz w:val="24"/>
          <w:szCs w:val="24"/>
          <w:lang w:val="sr-Cyrl-RS"/>
        </w:rPr>
        <w:t xml:space="preserve">Инспекторат </w:t>
      </w:r>
      <w:r w:rsidRPr="00AD60B6">
        <w:rPr>
          <w:rFonts w:ascii="Times New Roman" w:hAnsi="Times New Roman" w:cs="Times New Roman"/>
          <w:sz w:val="24"/>
          <w:szCs w:val="24"/>
          <w:lang w:val="sr-Cyrl-RS"/>
        </w:rPr>
        <w:t xml:space="preserve">за рад </w:t>
      </w:r>
      <w:r w:rsidRPr="00AD60B6">
        <w:rPr>
          <w:rFonts w:ascii="Times New Roman" w:hAnsi="Times New Roman" w:cs="Times New Roman"/>
          <w:color w:val="000000"/>
          <w:sz w:val="24"/>
          <w:szCs w:val="24"/>
          <w:lang w:val="sr-Cyrl-RS"/>
        </w:rPr>
        <w:t>је значајно повећао број извршених инспекцијских надзора у области безбедности и здравља на раду. Укупан број надзора у 2021. години је повећан за 5% у односу на 2020 .годину, када је извршено 30.897 надзора, док је у односу на 2019.годину, када је извршен 25.191 надзор, број изврш</w:t>
      </w:r>
      <w:r w:rsidR="00B861C0">
        <w:rPr>
          <w:rFonts w:ascii="Times New Roman" w:hAnsi="Times New Roman" w:cs="Times New Roman"/>
          <w:color w:val="000000"/>
          <w:sz w:val="24"/>
          <w:szCs w:val="24"/>
          <w:lang w:val="sr-Cyrl-RS"/>
        </w:rPr>
        <w:t>ених надзора повећан чак за 31%</w:t>
      </w:r>
      <w:r w:rsidR="00B861C0">
        <w:rPr>
          <w:rFonts w:ascii="Times New Roman" w:hAnsi="Times New Roman" w:cs="Times New Roman"/>
          <w:color w:val="000000"/>
          <w:sz w:val="24"/>
          <w:szCs w:val="24"/>
          <w:lang w:val="sr-Latn-RS"/>
        </w:rPr>
        <w:t>.</w:t>
      </w:r>
    </w:p>
    <w:p w14:paraId="6BCF9082" w14:textId="77777777" w:rsidR="001A6EA6" w:rsidRDefault="001A6EA6" w:rsidP="003E55AB">
      <w:pPr>
        <w:spacing w:after="150"/>
        <w:ind w:firstLine="720"/>
        <w:jc w:val="both"/>
        <w:rPr>
          <w:rFonts w:ascii="Times New Roman" w:hAnsi="Times New Roman" w:cs="Times New Roman"/>
          <w:b/>
          <w:i/>
          <w:sz w:val="24"/>
          <w:szCs w:val="24"/>
          <w:lang w:val="sr-Cyrl-RS" w:eastAsia="en-GB"/>
        </w:rPr>
      </w:pPr>
    </w:p>
    <w:p w14:paraId="5AAA20F6" w14:textId="77777777" w:rsidR="001A6EA6" w:rsidRDefault="001A6EA6" w:rsidP="003E55AB">
      <w:pPr>
        <w:spacing w:after="150"/>
        <w:ind w:firstLine="720"/>
        <w:jc w:val="both"/>
        <w:rPr>
          <w:rFonts w:ascii="Times New Roman" w:hAnsi="Times New Roman" w:cs="Times New Roman"/>
          <w:b/>
          <w:i/>
          <w:sz w:val="24"/>
          <w:szCs w:val="24"/>
          <w:lang w:val="sr-Cyrl-RS" w:eastAsia="en-GB"/>
        </w:rPr>
      </w:pPr>
    </w:p>
    <w:p w14:paraId="2D208396" w14:textId="11D95D0C" w:rsidR="00EC5D47" w:rsidRPr="003E55AB" w:rsidRDefault="00A024BE" w:rsidP="003E55AB">
      <w:pPr>
        <w:spacing w:after="150"/>
        <w:ind w:firstLine="720"/>
        <w:jc w:val="both"/>
        <w:rPr>
          <w:rFonts w:ascii="Times New Roman" w:hAnsi="Times New Roman" w:cs="Times New Roman"/>
          <w:b/>
          <w:i/>
          <w:sz w:val="24"/>
          <w:szCs w:val="24"/>
          <w:lang w:val="sr-Cyrl-RS"/>
        </w:rPr>
      </w:pPr>
      <w:r>
        <w:rPr>
          <w:rFonts w:ascii="Times New Roman" w:hAnsi="Times New Roman" w:cs="Times New Roman"/>
          <w:b/>
          <w:i/>
          <w:sz w:val="24"/>
          <w:szCs w:val="24"/>
          <w:lang w:val="sr-Cyrl-RS" w:eastAsia="en-GB"/>
        </w:rPr>
        <w:lastRenderedPageBreak/>
        <w:t>Табела 5</w:t>
      </w:r>
      <w:r w:rsidR="003E55AB" w:rsidRPr="003E55AB">
        <w:rPr>
          <w:rFonts w:ascii="Times New Roman" w:hAnsi="Times New Roman" w:cs="Times New Roman"/>
          <w:b/>
          <w:i/>
          <w:sz w:val="24"/>
          <w:szCs w:val="24"/>
          <w:lang w:val="sr-Cyrl-RS" w:eastAsia="en-GB"/>
        </w:rPr>
        <w:t>. Инспекцијски надзори</w:t>
      </w:r>
    </w:p>
    <w:tbl>
      <w:tblPr>
        <w:tblW w:w="9026" w:type="dxa"/>
        <w:jc w:val="center"/>
        <w:tblLook w:val="04A0" w:firstRow="1" w:lastRow="0" w:firstColumn="1" w:lastColumn="0" w:noHBand="0" w:noVBand="1"/>
      </w:tblPr>
      <w:tblGrid>
        <w:gridCol w:w="3230"/>
        <w:gridCol w:w="936"/>
        <w:gridCol w:w="936"/>
        <w:gridCol w:w="936"/>
        <w:gridCol w:w="996"/>
        <w:gridCol w:w="1056"/>
        <w:gridCol w:w="936"/>
      </w:tblGrid>
      <w:tr w:rsidR="00EC5D47" w:rsidRPr="00AD60B6" w14:paraId="12CFA67C" w14:textId="77777777" w:rsidTr="003E55AB">
        <w:trPr>
          <w:trHeight w:val="300"/>
          <w:jc w:val="center"/>
        </w:trPr>
        <w:tc>
          <w:tcPr>
            <w:tcW w:w="0" w:type="auto"/>
            <w:tcBorders>
              <w:top w:val="nil"/>
              <w:left w:val="nil"/>
              <w:bottom w:val="nil"/>
              <w:right w:val="nil"/>
            </w:tcBorders>
            <w:noWrap/>
            <w:vAlign w:val="bottom"/>
            <w:hideMark/>
          </w:tcPr>
          <w:p w14:paraId="71E5B148" w14:textId="77777777" w:rsidR="00EC5D47" w:rsidRPr="00AD60B6" w:rsidRDefault="00EC5D47" w:rsidP="00125B70">
            <w:pPr>
              <w:spacing w:after="0" w:line="240" w:lineRule="auto"/>
              <w:jc w:val="center"/>
              <w:rPr>
                <w:rFonts w:ascii="Times New Roman" w:hAnsi="Times New Roman" w:cs="Times New Roman"/>
                <w:sz w:val="24"/>
                <w:szCs w:val="24"/>
                <w:lang w:val="en-GB" w:eastAsia="en-GB"/>
              </w:rPr>
            </w:pPr>
          </w:p>
        </w:tc>
        <w:tc>
          <w:tcPr>
            <w:tcW w:w="932" w:type="dxa"/>
            <w:tcBorders>
              <w:top w:val="single" w:sz="4" w:space="0" w:color="auto"/>
              <w:left w:val="single" w:sz="4" w:space="0" w:color="auto"/>
              <w:bottom w:val="single" w:sz="4" w:space="0" w:color="auto"/>
              <w:right w:val="single" w:sz="4" w:space="0" w:color="auto"/>
            </w:tcBorders>
            <w:noWrap/>
            <w:vAlign w:val="center"/>
            <w:hideMark/>
          </w:tcPr>
          <w:p w14:paraId="13CF1C3B" w14:textId="77777777" w:rsidR="00EC5D47" w:rsidRPr="00AD60B6" w:rsidRDefault="00EC5D47" w:rsidP="00125B70">
            <w:pPr>
              <w:spacing w:after="0" w:line="240" w:lineRule="auto"/>
              <w:jc w:val="right"/>
              <w:rPr>
                <w:rFonts w:ascii="Times New Roman" w:hAnsi="Times New Roman" w:cs="Times New Roman"/>
                <w:b/>
                <w:bCs/>
                <w:sz w:val="24"/>
                <w:szCs w:val="24"/>
                <w:lang w:val="en-GB" w:eastAsia="en-GB"/>
              </w:rPr>
            </w:pPr>
            <w:r w:rsidRPr="00AD60B6">
              <w:rPr>
                <w:rFonts w:ascii="Times New Roman" w:hAnsi="Times New Roman" w:cs="Times New Roman"/>
                <w:b/>
                <w:bCs/>
                <w:sz w:val="24"/>
                <w:szCs w:val="24"/>
                <w:lang w:val="en-GB" w:eastAsia="en-GB"/>
              </w:rPr>
              <w:t>2017</w:t>
            </w:r>
          </w:p>
        </w:tc>
        <w:tc>
          <w:tcPr>
            <w:tcW w:w="932" w:type="dxa"/>
            <w:tcBorders>
              <w:top w:val="single" w:sz="4" w:space="0" w:color="auto"/>
              <w:left w:val="nil"/>
              <w:bottom w:val="single" w:sz="4" w:space="0" w:color="auto"/>
              <w:right w:val="single" w:sz="4" w:space="0" w:color="auto"/>
            </w:tcBorders>
            <w:noWrap/>
            <w:vAlign w:val="center"/>
            <w:hideMark/>
          </w:tcPr>
          <w:p w14:paraId="0B7ACDB1" w14:textId="77777777" w:rsidR="00EC5D47" w:rsidRPr="00AD60B6" w:rsidRDefault="00EC5D47" w:rsidP="00125B70">
            <w:pPr>
              <w:spacing w:after="0" w:line="240" w:lineRule="auto"/>
              <w:jc w:val="right"/>
              <w:rPr>
                <w:rFonts w:ascii="Times New Roman" w:hAnsi="Times New Roman" w:cs="Times New Roman"/>
                <w:b/>
                <w:bCs/>
                <w:sz w:val="24"/>
                <w:szCs w:val="24"/>
                <w:lang w:val="en-GB" w:eastAsia="en-GB"/>
              </w:rPr>
            </w:pPr>
            <w:r w:rsidRPr="00AD60B6">
              <w:rPr>
                <w:rFonts w:ascii="Times New Roman" w:hAnsi="Times New Roman" w:cs="Times New Roman"/>
                <w:b/>
                <w:bCs/>
                <w:sz w:val="24"/>
                <w:szCs w:val="24"/>
                <w:lang w:val="en-GB" w:eastAsia="en-GB"/>
              </w:rPr>
              <w:t>2018</w:t>
            </w:r>
          </w:p>
        </w:tc>
        <w:tc>
          <w:tcPr>
            <w:tcW w:w="932" w:type="dxa"/>
            <w:tcBorders>
              <w:top w:val="single" w:sz="4" w:space="0" w:color="auto"/>
              <w:left w:val="nil"/>
              <w:bottom w:val="single" w:sz="4" w:space="0" w:color="auto"/>
              <w:right w:val="single" w:sz="4" w:space="0" w:color="auto"/>
            </w:tcBorders>
            <w:noWrap/>
            <w:vAlign w:val="center"/>
            <w:hideMark/>
          </w:tcPr>
          <w:p w14:paraId="0131B301" w14:textId="77777777" w:rsidR="00EC5D47" w:rsidRPr="00AD60B6" w:rsidRDefault="00EC5D47" w:rsidP="00125B70">
            <w:pPr>
              <w:spacing w:after="0" w:line="240" w:lineRule="auto"/>
              <w:jc w:val="right"/>
              <w:rPr>
                <w:rFonts w:ascii="Times New Roman" w:hAnsi="Times New Roman" w:cs="Times New Roman"/>
                <w:b/>
                <w:bCs/>
                <w:sz w:val="24"/>
                <w:szCs w:val="24"/>
                <w:lang w:val="en-GB" w:eastAsia="en-GB"/>
              </w:rPr>
            </w:pPr>
            <w:r w:rsidRPr="00AD60B6">
              <w:rPr>
                <w:rFonts w:ascii="Times New Roman" w:hAnsi="Times New Roman" w:cs="Times New Roman"/>
                <w:b/>
                <w:bCs/>
                <w:sz w:val="24"/>
                <w:szCs w:val="24"/>
                <w:lang w:val="en-GB" w:eastAsia="en-GB"/>
              </w:rPr>
              <w:t>2019</w:t>
            </w:r>
          </w:p>
        </w:tc>
        <w:tc>
          <w:tcPr>
            <w:tcW w:w="987" w:type="dxa"/>
            <w:tcBorders>
              <w:top w:val="single" w:sz="4" w:space="0" w:color="auto"/>
              <w:left w:val="nil"/>
              <w:bottom w:val="single" w:sz="4" w:space="0" w:color="auto"/>
              <w:right w:val="single" w:sz="4" w:space="0" w:color="auto"/>
            </w:tcBorders>
            <w:noWrap/>
            <w:vAlign w:val="center"/>
            <w:hideMark/>
          </w:tcPr>
          <w:p w14:paraId="6AACED93" w14:textId="77777777" w:rsidR="00EC5D47" w:rsidRPr="00AD60B6" w:rsidRDefault="00EC5D47" w:rsidP="00125B70">
            <w:pPr>
              <w:spacing w:after="0" w:line="240" w:lineRule="auto"/>
              <w:jc w:val="right"/>
              <w:rPr>
                <w:rFonts w:ascii="Times New Roman" w:hAnsi="Times New Roman" w:cs="Times New Roman"/>
                <w:b/>
                <w:bCs/>
                <w:sz w:val="24"/>
                <w:szCs w:val="24"/>
                <w:lang w:val="en-GB" w:eastAsia="en-GB"/>
              </w:rPr>
            </w:pPr>
            <w:r w:rsidRPr="00AD60B6">
              <w:rPr>
                <w:rFonts w:ascii="Times New Roman" w:hAnsi="Times New Roman" w:cs="Times New Roman"/>
                <w:b/>
                <w:bCs/>
                <w:sz w:val="24"/>
                <w:szCs w:val="24"/>
                <w:lang w:val="en-GB" w:eastAsia="en-GB"/>
              </w:rPr>
              <w:t>2020</w:t>
            </w:r>
          </w:p>
        </w:tc>
        <w:tc>
          <w:tcPr>
            <w:tcW w:w="1042" w:type="dxa"/>
            <w:tcBorders>
              <w:top w:val="single" w:sz="4" w:space="0" w:color="auto"/>
              <w:left w:val="nil"/>
              <w:bottom w:val="single" w:sz="4" w:space="0" w:color="auto"/>
              <w:right w:val="single" w:sz="4" w:space="0" w:color="auto"/>
            </w:tcBorders>
            <w:noWrap/>
            <w:vAlign w:val="center"/>
            <w:hideMark/>
          </w:tcPr>
          <w:p w14:paraId="072313CC" w14:textId="77777777" w:rsidR="00EC5D47" w:rsidRPr="00AD60B6" w:rsidRDefault="00EC5D47" w:rsidP="00125B70">
            <w:pPr>
              <w:spacing w:after="0" w:line="240" w:lineRule="auto"/>
              <w:jc w:val="right"/>
              <w:rPr>
                <w:rFonts w:ascii="Times New Roman" w:hAnsi="Times New Roman" w:cs="Times New Roman"/>
                <w:b/>
                <w:bCs/>
                <w:sz w:val="24"/>
                <w:szCs w:val="24"/>
                <w:lang w:val="en-GB" w:eastAsia="en-GB"/>
              </w:rPr>
            </w:pPr>
            <w:r w:rsidRPr="00AD60B6">
              <w:rPr>
                <w:rFonts w:ascii="Times New Roman" w:hAnsi="Times New Roman" w:cs="Times New Roman"/>
                <w:b/>
                <w:bCs/>
                <w:sz w:val="24"/>
                <w:szCs w:val="24"/>
                <w:lang w:val="en-GB" w:eastAsia="en-GB"/>
              </w:rPr>
              <w:t>2021</w:t>
            </w:r>
          </w:p>
        </w:tc>
        <w:tc>
          <w:tcPr>
            <w:tcW w:w="932" w:type="dxa"/>
            <w:tcBorders>
              <w:top w:val="single" w:sz="4" w:space="0" w:color="auto"/>
              <w:left w:val="nil"/>
              <w:bottom w:val="single" w:sz="4" w:space="0" w:color="auto"/>
              <w:right w:val="single" w:sz="4" w:space="0" w:color="auto"/>
            </w:tcBorders>
            <w:vAlign w:val="center"/>
          </w:tcPr>
          <w:p w14:paraId="67BB2D8F" w14:textId="77777777" w:rsidR="00EC5D47" w:rsidRPr="00AD60B6" w:rsidRDefault="00EC5D47" w:rsidP="00125B70">
            <w:pPr>
              <w:spacing w:after="0" w:line="240" w:lineRule="auto"/>
              <w:jc w:val="right"/>
              <w:rPr>
                <w:rFonts w:ascii="Times New Roman" w:hAnsi="Times New Roman" w:cs="Times New Roman"/>
                <w:b/>
                <w:bCs/>
                <w:sz w:val="24"/>
                <w:szCs w:val="24"/>
                <w:lang w:val="en-GB" w:eastAsia="en-GB"/>
              </w:rPr>
            </w:pPr>
            <w:r w:rsidRPr="00AD60B6">
              <w:rPr>
                <w:rFonts w:ascii="Times New Roman" w:hAnsi="Times New Roman" w:cs="Times New Roman"/>
                <w:b/>
                <w:bCs/>
                <w:sz w:val="24"/>
                <w:szCs w:val="24"/>
                <w:lang w:val="en-GB" w:eastAsia="en-GB"/>
              </w:rPr>
              <w:t>2022</w:t>
            </w:r>
          </w:p>
        </w:tc>
      </w:tr>
      <w:tr w:rsidR="00EC5D47" w:rsidRPr="00AD60B6" w14:paraId="66A45FE1" w14:textId="77777777" w:rsidTr="003E55AB">
        <w:trPr>
          <w:trHeight w:val="720"/>
          <w:jc w:val="center"/>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hideMark/>
          </w:tcPr>
          <w:p w14:paraId="4332AD3A"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Укупан број инспекцијских надзора (редовни, контролни, надзори по захтеву странке, преглед пословног простора, надзори у вези професионалних обољења и надзори поводом повреда на раду)</w:t>
            </w:r>
          </w:p>
        </w:tc>
        <w:tc>
          <w:tcPr>
            <w:tcW w:w="932" w:type="dxa"/>
            <w:tcBorders>
              <w:top w:val="nil"/>
              <w:left w:val="nil"/>
              <w:bottom w:val="single" w:sz="4" w:space="0" w:color="auto"/>
              <w:right w:val="single" w:sz="4" w:space="0" w:color="auto"/>
            </w:tcBorders>
            <w:shd w:val="clear" w:color="000000" w:fill="C0C0C0"/>
            <w:noWrap/>
            <w:vAlign w:val="center"/>
            <w:hideMark/>
          </w:tcPr>
          <w:p w14:paraId="0A2C5D2B" w14:textId="077559CF"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53</w:t>
            </w:r>
            <w:r w:rsidR="00EC5D47" w:rsidRPr="00AD60B6">
              <w:rPr>
                <w:rFonts w:ascii="Times New Roman" w:hAnsi="Times New Roman" w:cs="Times New Roman"/>
                <w:bCs/>
                <w:sz w:val="24"/>
                <w:szCs w:val="24"/>
                <w:lang w:val="en-GB" w:eastAsia="en-GB"/>
              </w:rPr>
              <w:t>424</w:t>
            </w:r>
          </w:p>
        </w:tc>
        <w:tc>
          <w:tcPr>
            <w:tcW w:w="932" w:type="dxa"/>
            <w:tcBorders>
              <w:top w:val="nil"/>
              <w:left w:val="nil"/>
              <w:bottom w:val="single" w:sz="4" w:space="0" w:color="auto"/>
              <w:right w:val="single" w:sz="4" w:space="0" w:color="auto"/>
            </w:tcBorders>
            <w:shd w:val="clear" w:color="000000" w:fill="C0C0C0"/>
            <w:noWrap/>
            <w:vAlign w:val="center"/>
            <w:hideMark/>
          </w:tcPr>
          <w:p w14:paraId="62FEFEF4" w14:textId="22DF8812"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70</w:t>
            </w:r>
            <w:r w:rsidR="00EC5D47" w:rsidRPr="00AD60B6">
              <w:rPr>
                <w:rFonts w:ascii="Times New Roman" w:hAnsi="Times New Roman" w:cs="Times New Roman"/>
                <w:bCs/>
                <w:sz w:val="24"/>
                <w:szCs w:val="24"/>
                <w:lang w:val="en-GB" w:eastAsia="en-GB"/>
              </w:rPr>
              <w:t>122</w:t>
            </w:r>
          </w:p>
        </w:tc>
        <w:tc>
          <w:tcPr>
            <w:tcW w:w="932" w:type="dxa"/>
            <w:tcBorders>
              <w:top w:val="nil"/>
              <w:left w:val="nil"/>
              <w:bottom w:val="single" w:sz="4" w:space="0" w:color="auto"/>
              <w:right w:val="single" w:sz="4" w:space="0" w:color="auto"/>
            </w:tcBorders>
            <w:shd w:val="clear" w:color="000000" w:fill="C0C0C0"/>
            <w:noWrap/>
            <w:vAlign w:val="center"/>
            <w:hideMark/>
          </w:tcPr>
          <w:p w14:paraId="6B87C9A7" w14:textId="7A428C75"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77</w:t>
            </w:r>
            <w:r w:rsidR="00EC5D47" w:rsidRPr="00AD60B6">
              <w:rPr>
                <w:rFonts w:ascii="Times New Roman" w:hAnsi="Times New Roman" w:cs="Times New Roman"/>
                <w:bCs/>
                <w:sz w:val="24"/>
                <w:szCs w:val="24"/>
                <w:lang w:val="en-GB" w:eastAsia="en-GB"/>
              </w:rPr>
              <w:t>806</w:t>
            </w:r>
          </w:p>
        </w:tc>
        <w:tc>
          <w:tcPr>
            <w:tcW w:w="987" w:type="dxa"/>
            <w:tcBorders>
              <w:top w:val="nil"/>
              <w:left w:val="nil"/>
              <w:bottom w:val="single" w:sz="4" w:space="0" w:color="auto"/>
              <w:right w:val="single" w:sz="4" w:space="0" w:color="auto"/>
            </w:tcBorders>
            <w:shd w:val="clear" w:color="000000" w:fill="C0C0C0"/>
            <w:noWrap/>
            <w:vAlign w:val="center"/>
            <w:hideMark/>
          </w:tcPr>
          <w:p w14:paraId="535004E7" w14:textId="539ACEC3"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62</w:t>
            </w:r>
            <w:r w:rsidR="00EC5D47" w:rsidRPr="00AD60B6">
              <w:rPr>
                <w:rFonts w:ascii="Times New Roman" w:hAnsi="Times New Roman" w:cs="Times New Roman"/>
                <w:bCs/>
                <w:sz w:val="24"/>
                <w:szCs w:val="24"/>
                <w:lang w:val="en-GB" w:eastAsia="en-GB"/>
              </w:rPr>
              <w:t>475</w:t>
            </w:r>
          </w:p>
        </w:tc>
        <w:tc>
          <w:tcPr>
            <w:tcW w:w="1042" w:type="dxa"/>
            <w:tcBorders>
              <w:top w:val="nil"/>
              <w:left w:val="nil"/>
              <w:bottom w:val="single" w:sz="4" w:space="0" w:color="auto"/>
              <w:right w:val="single" w:sz="4" w:space="0" w:color="auto"/>
            </w:tcBorders>
            <w:shd w:val="clear" w:color="000000" w:fill="C0C0C0"/>
            <w:noWrap/>
            <w:vAlign w:val="center"/>
            <w:hideMark/>
          </w:tcPr>
          <w:p w14:paraId="3FD8E7DC" w14:textId="6586F6DC" w:rsidR="00EC5D47" w:rsidRPr="00AD60B6" w:rsidRDefault="003E55AB" w:rsidP="00125B70">
            <w:pPr>
              <w:spacing w:after="0" w:line="240" w:lineRule="auto"/>
              <w:jc w:val="right"/>
              <w:rPr>
                <w:rFonts w:ascii="Times New Roman" w:hAnsi="Times New Roman" w:cs="Times New Roman"/>
                <w:bCs/>
                <w:sz w:val="24"/>
                <w:szCs w:val="24"/>
                <w:lang w:val="sr-Cyrl-RS" w:eastAsia="en-GB"/>
              </w:rPr>
            </w:pPr>
            <w:r>
              <w:rPr>
                <w:rFonts w:ascii="Times New Roman" w:hAnsi="Times New Roman" w:cs="Times New Roman"/>
                <w:bCs/>
                <w:sz w:val="24"/>
                <w:szCs w:val="24"/>
                <w:lang w:val="en-GB" w:eastAsia="en-GB"/>
              </w:rPr>
              <w:t>63</w:t>
            </w:r>
            <w:r w:rsidR="00EC5D47" w:rsidRPr="00AD60B6">
              <w:rPr>
                <w:rFonts w:ascii="Times New Roman" w:hAnsi="Times New Roman" w:cs="Times New Roman"/>
                <w:bCs/>
                <w:sz w:val="24"/>
                <w:szCs w:val="24"/>
                <w:lang w:val="en-GB" w:eastAsia="en-GB"/>
              </w:rPr>
              <w:t>67</w:t>
            </w:r>
            <w:r w:rsidR="00EC5D47" w:rsidRPr="00AD60B6">
              <w:rPr>
                <w:rFonts w:ascii="Times New Roman" w:hAnsi="Times New Roman" w:cs="Times New Roman"/>
                <w:bCs/>
                <w:sz w:val="24"/>
                <w:szCs w:val="24"/>
                <w:lang w:val="sr-Cyrl-RS" w:eastAsia="en-GB"/>
              </w:rPr>
              <w:t>0</w:t>
            </w:r>
          </w:p>
        </w:tc>
        <w:tc>
          <w:tcPr>
            <w:tcW w:w="932" w:type="dxa"/>
            <w:tcBorders>
              <w:top w:val="nil"/>
              <w:left w:val="nil"/>
              <w:bottom w:val="single" w:sz="4" w:space="0" w:color="auto"/>
              <w:right w:val="single" w:sz="4" w:space="0" w:color="auto"/>
            </w:tcBorders>
            <w:shd w:val="clear" w:color="000000" w:fill="C0C0C0"/>
            <w:vAlign w:val="center"/>
          </w:tcPr>
          <w:p w14:paraId="7F43C9DF" w14:textId="7338F753"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65</w:t>
            </w:r>
            <w:r w:rsidR="00EC5D47" w:rsidRPr="00AD60B6">
              <w:rPr>
                <w:rFonts w:ascii="Times New Roman" w:hAnsi="Times New Roman" w:cs="Times New Roman"/>
                <w:bCs/>
                <w:sz w:val="24"/>
                <w:szCs w:val="24"/>
                <w:lang w:val="en-GB" w:eastAsia="en-GB"/>
              </w:rPr>
              <w:t>043</w:t>
            </w:r>
          </w:p>
        </w:tc>
      </w:tr>
      <w:tr w:rsidR="00EC5D47" w:rsidRPr="00AD60B6" w14:paraId="78CF5C6A" w14:textId="77777777" w:rsidTr="003E55AB">
        <w:trPr>
          <w:trHeight w:val="720"/>
          <w:jc w:val="center"/>
        </w:trPr>
        <w:tc>
          <w:tcPr>
            <w:tcW w:w="0" w:type="auto"/>
            <w:tcBorders>
              <w:top w:val="single" w:sz="4" w:space="0" w:color="auto"/>
              <w:left w:val="single" w:sz="4" w:space="0" w:color="auto"/>
              <w:bottom w:val="single" w:sz="4" w:space="0" w:color="auto"/>
              <w:right w:val="single" w:sz="4" w:space="0" w:color="auto"/>
            </w:tcBorders>
            <w:shd w:val="clear" w:color="000000" w:fill="C0C0C0"/>
            <w:vAlign w:val="center"/>
          </w:tcPr>
          <w:p w14:paraId="4AFF1BEC" w14:textId="77777777" w:rsidR="00EC5D47" w:rsidRPr="00AD60B6" w:rsidRDefault="00EC5D47" w:rsidP="00125B70">
            <w:pPr>
              <w:spacing w:after="0" w:line="240" w:lineRule="auto"/>
              <w:rPr>
                <w:rFonts w:ascii="Times New Roman" w:hAnsi="Times New Roman" w:cs="Times New Roman"/>
                <w:bCs/>
                <w:sz w:val="24"/>
                <w:szCs w:val="24"/>
                <w:lang w:val="sr-Cyrl-BA" w:eastAsia="en-GB"/>
              </w:rPr>
            </w:pPr>
            <w:r w:rsidRPr="00AD60B6">
              <w:rPr>
                <w:rFonts w:ascii="Times New Roman" w:hAnsi="Times New Roman" w:cs="Times New Roman"/>
                <w:bCs/>
                <w:sz w:val="24"/>
                <w:szCs w:val="24"/>
                <w:lang w:val="sr-Cyrl-BA" w:eastAsia="en-GB"/>
              </w:rPr>
              <w:t>Број лица која су обухваћена надзором</w:t>
            </w:r>
          </w:p>
        </w:tc>
        <w:tc>
          <w:tcPr>
            <w:tcW w:w="932" w:type="dxa"/>
            <w:tcBorders>
              <w:top w:val="nil"/>
              <w:left w:val="nil"/>
              <w:bottom w:val="single" w:sz="4" w:space="0" w:color="auto"/>
              <w:right w:val="single" w:sz="4" w:space="0" w:color="auto"/>
            </w:tcBorders>
            <w:shd w:val="clear" w:color="000000" w:fill="C0C0C0"/>
            <w:noWrap/>
            <w:vAlign w:val="center"/>
          </w:tcPr>
          <w:p w14:paraId="37DEF6C4" w14:textId="435B43ED"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510</w:t>
            </w:r>
            <w:r w:rsidR="00EC5D47" w:rsidRPr="00AD60B6">
              <w:rPr>
                <w:rFonts w:ascii="Times New Roman" w:hAnsi="Times New Roman" w:cs="Times New Roman"/>
                <w:bCs/>
                <w:sz w:val="24"/>
                <w:szCs w:val="24"/>
                <w:lang w:val="en-GB" w:eastAsia="en-GB"/>
              </w:rPr>
              <w:t>725</w:t>
            </w:r>
          </w:p>
        </w:tc>
        <w:tc>
          <w:tcPr>
            <w:tcW w:w="932" w:type="dxa"/>
            <w:tcBorders>
              <w:top w:val="nil"/>
              <w:left w:val="nil"/>
              <w:bottom w:val="single" w:sz="4" w:space="0" w:color="auto"/>
              <w:right w:val="single" w:sz="4" w:space="0" w:color="auto"/>
            </w:tcBorders>
            <w:shd w:val="clear" w:color="000000" w:fill="C0C0C0"/>
            <w:noWrap/>
            <w:vAlign w:val="center"/>
          </w:tcPr>
          <w:p w14:paraId="7FAD825C" w14:textId="3F991282"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629</w:t>
            </w:r>
            <w:r w:rsidR="00EC5D47" w:rsidRPr="00AD60B6">
              <w:rPr>
                <w:rFonts w:ascii="Times New Roman" w:hAnsi="Times New Roman" w:cs="Times New Roman"/>
                <w:bCs/>
                <w:sz w:val="24"/>
                <w:szCs w:val="24"/>
                <w:lang w:val="en-GB" w:eastAsia="en-GB"/>
              </w:rPr>
              <w:t>834</w:t>
            </w:r>
          </w:p>
        </w:tc>
        <w:tc>
          <w:tcPr>
            <w:tcW w:w="932" w:type="dxa"/>
            <w:tcBorders>
              <w:top w:val="nil"/>
              <w:left w:val="nil"/>
              <w:bottom w:val="single" w:sz="4" w:space="0" w:color="auto"/>
              <w:right w:val="single" w:sz="4" w:space="0" w:color="auto"/>
            </w:tcBorders>
            <w:shd w:val="clear" w:color="000000" w:fill="C0C0C0"/>
            <w:noWrap/>
            <w:vAlign w:val="center"/>
          </w:tcPr>
          <w:p w14:paraId="3E6EF65D" w14:textId="3710BD79"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658</w:t>
            </w:r>
            <w:r w:rsidR="00EC5D47" w:rsidRPr="00AD60B6">
              <w:rPr>
                <w:rFonts w:ascii="Times New Roman" w:hAnsi="Times New Roman" w:cs="Times New Roman"/>
                <w:bCs/>
                <w:sz w:val="24"/>
                <w:szCs w:val="24"/>
                <w:lang w:val="en-GB" w:eastAsia="en-GB"/>
              </w:rPr>
              <w:t>744</w:t>
            </w:r>
          </w:p>
        </w:tc>
        <w:tc>
          <w:tcPr>
            <w:tcW w:w="987" w:type="dxa"/>
            <w:tcBorders>
              <w:top w:val="nil"/>
              <w:left w:val="nil"/>
              <w:bottom w:val="single" w:sz="4" w:space="0" w:color="auto"/>
              <w:right w:val="single" w:sz="4" w:space="0" w:color="auto"/>
            </w:tcBorders>
            <w:shd w:val="clear" w:color="000000" w:fill="C0C0C0"/>
            <w:noWrap/>
            <w:vAlign w:val="center"/>
          </w:tcPr>
          <w:p w14:paraId="41EE19D6" w14:textId="1E6327F5"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546</w:t>
            </w:r>
            <w:r w:rsidR="00EC5D47" w:rsidRPr="00AD60B6">
              <w:rPr>
                <w:rFonts w:ascii="Times New Roman" w:hAnsi="Times New Roman" w:cs="Times New Roman"/>
                <w:bCs/>
                <w:sz w:val="24"/>
                <w:szCs w:val="24"/>
                <w:lang w:val="en-GB" w:eastAsia="en-GB"/>
              </w:rPr>
              <w:t>702</w:t>
            </w:r>
          </w:p>
        </w:tc>
        <w:tc>
          <w:tcPr>
            <w:tcW w:w="1042" w:type="dxa"/>
            <w:tcBorders>
              <w:top w:val="nil"/>
              <w:left w:val="nil"/>
              <w:bottom w:val="single" w:sz="4" w:space="0" w:color="auto"/>
              <w:right w:val="single" w:sz="4" w:space="0" w:color="auto"/>
            </w:tcBorders>
            <w:shd w:val="clear" w:color="000000" w:fill="C0C0C0"/>
            <w:noWrap/>
            <w:vAlign w:val="center"/>
          </w:tcPr>
          <w:p w14:paraId="66620E97" w14:textId="257EDE86"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426</w:t>
            </w:r>
            <w:r w:rsidR="00EC5D47" w:rsidRPr="00AD60B6">
              <w:rPr>
                <w:rFonts w:ascii="Times New Roman" w:hAnsi="Times New Roman" w:cs="Times New Roman"/>
                <w:bCs/>
                <w:sz w:val="24"/>
                <w:szCs w:val="24"/>
                <w:lang w:val="en-GB" w:eastAsia="en-GB"/>
              </w:rPr>
              <w:t>023</w:t>
            </w:r>
          </w:p>
        </w:tc>
        <w:tc>
          <w:tcPr>
            <w:tcW w:w="932" w:type="dxa"/>
            <w:tcBorders>
              <w:top w:val="nil"/>
              <w:left w:val="nil"/>
              <w:bottom w:val="single" w:sz="4" w:space="0" w:color="auto"/>
              <w:right w:val="single" w:sz="4" w:space="0" w:color="auto"/>
            </w:tcBorders>
            <w:shd w:val="clear" w:color="000000" w:fill="C0C0C0"/>
            <w:vAlign w:val="center"/>
          </w:tcPr>
          <w:p w14:paraId="5AD6AD9E" w14:textId="562B0ABB"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406</w:t>
            </w:r>
            <w:r w:rsidR="00EC5D47" w:rsidRPr="00AD60B6">
              <w:rPr>
                <w:rFonts w:ascii="Times New Roman" w:hAnsi="Times New Roman" w:cs="Times New Roman"/>
                <w:bCs/>
                <w:sz w:val="24"/>
                <w:szCs w:val="24"/>
                <w:lang w:val="en-GB" w:eastAsia="en-GB"/>
              </w:rPr>
              <w:t>865</w:t>
            </w:r>
          </w:p>
        </w:tc>
      </w:tr>
      <w:tr w:rsidR="00EC5D47" w:rsidRPr="00AD60B6" w14:paraId="5A749B1F" w14:textId="77777777" w:rsidTr="003E55AB">
        <w:trPr>
          <w:trHeight w:val="300"/>
          <w:jc w:val="center"/>
        </w:trPr>
        <w:tc>
          <w:tcPr>
            <w:tcW w:w="0" w:type="auto"/>
            <w:tcBorders>
              <w:top w:val="nil"/>
              <w:left w:val="single" w:sz="4" w:space="0" w:color="auto"/>
              <w:bottom w:val="single" w:sz="4" w:space="0" w:color="auto"/>
              <w:right w:val="single" w:sz="4" w:space="0" w:color="auto"/>
            </w:tcBorders>
            <w:shd w:val="clear" w:color="000000" w:fill="C0C0C0"/>
            <w:vAlign w:val="center"/>
            <w:hideMark/>
          </w:tcPr>
          <w:p w14:paraId="46193C6D" w14:textId="77777777" w:rsidR="00EC5D47" w:rsidRPr="00AD60B6" w:rsidRDefault="00EC5D47" w:rsidP="00125B70">
            <w:pPr>
              <w:spacing w:after="0" w:line="240" w:lineRule="auto"/>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en-GB" w:eastAsia="en-GB"/>
              </w:rPr>
              <w:t xml:space="preserve">Број инспекцијских надзора </w:t>
            </w:r>
            <w:r w:rsidRPr="00AD60B6">
              <w:rPr>
                <w:rFonts w:ascii="Times New Roman" w:hAnsi="Times New Roman" w:cs="Times New Roman"/>
                <w:bCs/>
                <w:sz w:val="24"/>
                <w:szCs w:val="24"/>
                <w:lang w:val="sr-Cyrl-RS" w:eastAsia="en-GB"/>
              </w:rPr>
              <w:t>у области БЗР</w:t>
            </w:r>
          </w:p>
        </w:tc>
        <w:tc>
          <w:tcPr>
            <w:tcW w:w="932" w:type="dxa"/>
            <w:tcBorders>
              <w:top w:val="nil"/>
              <w:left w:val="nil"/>
              <w:bottom w:val="single" w:sz="4" w:space="0" w:color="auto"/>
              <w:right w:val="single" w:sz="4" w:space="0" w:color="auto"/>
            </w:tcBorders>
            <w:shd w:val="clear" w:color="000000" w:fill="C0C0C0"/>
            <w:noWrap/>
            <w:vAlign w:val="center"/>
            <w:hideMark/>
          </w:tcPr>
          <w:p w14:paraId="51300D6B" w14:textId="148F72B9"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sr-Cyrl-RS" w:eastAsia="en-GB"/>
              </w:rPr>
              <w:t>19</w:t>
            </w:r>
            <w:r w:rsidR="00EC5D47" w:rsidRPr="00AD60B6">
              <w:rPr>
                <w:rFonts w:ascii="Times New Roman" w:hAnsi="Times New Roman" w:cs="Times New Roman"/>
                <w:bCs/>
                <w:sz w:val="24"/>
                <w:szCs w:val="24"/>
                <w:lang w:val="sr-Cyrl-RS" w:eastAsia="en-GB"/>
              </w:rPr>
              <w:t>335</w:t>
            </w:r>
            <w:r w:rsidR="00EC5D47" w:rsidRPr="00AD60B6">
              <w:rPr>
                <w:rFonts w:ascii="Times New Roman" w:hAnsi="Times New Roman" w:cs="Times New Roman"/>
                <w:bCs/>
                <w:sz w:val="24"/>
                <w:szCs w:val="24"/>
                <w:lang w:val="en-GB" w:eastAsia="en-GB"/>
              </w:rPr>
              <w:t> </w:t>
            </w:r>
          </w:p>
        </w:tc>
        <w:tc>
          <w:tcPr>
            <w:tcW w:w="932" w:type="dxa"/>
            <w:tcBorders>
              <w:top w:val="nil"/>
              <w:left w:val="nil"/>
              <w:bottom w:val="single" w:sz="4" w:space="0" w:color="auto"/>
              <w:right w:val="single" w:sz="4" w:space="0" w:color="auto"/>
            </w:tcBorders>
            <w:shd w:val="clear" w:color="000000" w:fill="C0C0C0"/>
            <w:noWrap/>
            <w:vAlign w:val="center"/>
            <w:hideMark/>
          </w:tcPr>
          <w:p w14:paraId="3B7FAA52" w14:textId="41493272"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sr-Cyrl-RS" w:eastAsia="en-GB"/>
              </w:rPr>
              <w:t>26</w:t>
            </w:r>
            <w:r w:rsidR="00EC5D47" w:rsidRPr="00AD60B6">
              <w:rPr>
                <w:rFonts w:ascii="Times New Roman" w:hAnsi="Times New Roman" w:cs="Times New Roman"/>
                <w:bCs/>
                <w:sz w:val="24"/>
                <w:szCs w:val="24"/>
                <w:lang w:val="sr-Cyrl-RS" w:eastAsia="en-GB"/>
              </w:rPr>
              <w:t>515</w:t>
            </w:r>
            <w:r w:rsidR="00EC5D47" w:rsidRPr="00AD60B6">
              <w:rPr>
                <w:rFonts w:ascii="Times New Roman" w:hAnsi="Times New Roman" w:cs="Times New Roman"/>
                <w:bCs/>
                <w:sz w:val="24"/>
                <w:szCs w:val="24"/>
                <w:lang w:val="en-GB" w:eastAsia="en-GB"/>
              </w:rPr>
              <w:t> </w:t>
            </w:r>
          </w:p>
        </w:tc>
        <w:tc>
          <w:tcPr>
            <w:tcW w:w="932" w:type="dxa"/>
            <w:tcBorders>
              <w:top w:val="nil"/>
              <w:left w:val="nil"/>
              <w:bottom w:val="single" w:sz="4" w:space="0" w:color="auto"/>
              <w:right w:val="single" w:sz="4" w:space="0" w:color="auto"/>
            </w:tcBorders>
            <w:shd w:val="clear" w:color="000000" w:fill="C0C0C0"/>
            <w:noWrap/>
            <w:vAlign w:val="center"/>
            <w:hideMark/>
          </w:tcPr>
          <w:p w14:paraId="2BB5ED92" w14:textId="323219F0"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sr-Cyrl-RS" w:eastAsia="en-GB"/>
              </w:rPr>
              <w:t>34</w:t>
            </w:r>
            <w:r w:rsidR="00EC5D47" w:rsidRPr="00AD60B6">
              <w:rPr>
                <w:rFonts w:ascii="Times New Roman" w:hAnsi="Times New Roman" w:cs="Times New Roman"/>
                <w:bCs/>
                <w:sz w:val="24"/>
                <w:szCs w:val="24"/>
                <w:lang w:val="sr-Cyrl-RS" w:eastAsia="en-GB"/>
              </w:rPr>
              <w:t>932</w:t>
            </w:r>
            <w:r w:rsidR="00EC5D47" w:rsidRPr="00AD60B6">
              <w:rPr>
                <w:rFonts w:ascii="Times New Roman" w:hAnsi="Times New Roman" w:cs="Times New Roman"/>
                <w:bCs/>
                <w:sz w:val="24"/>
                <w:szCs w:val="24"/>
                <w:lang w:val="en-GB" w:eastAsia="en-GB"/>
              </w:rPr>
              <w:t>  </w:t>
            </w:r>
          </w:p>
        </w:tc>
        <w:tc>
          <w:tcPr>
            <w:tcW w:w="987" w:type="dxa"/>
            <w:tcBorders>
              <w:top w:val="nil"/>
              <w:left w:val="nil"/>
              <w:bottom w:val="single" w:sz="4" w:space="0" w:color="auto"/>
              <w:right w:val="single" w:sz="4" w:space="0" w:color="auto"/>
            </w:tcBorders>
            <w:shd w:val="clear" w:color="000000" w:fill="C0C0C0"/>
            <w:noWrap/>
            <w:vAlign w:val="center"/>
            <w:hideMark/>
          </w:tcPr>
          <w:p w14:paraId="7D67D573" w14:textId="4A4D00DD" w:rsidR="00EC5D47" w:rsidRPr="00AD60B6" w:rsidRDefault="003E55AB" w:rsidP="00125B70">
            <w:pPr>
              <w:spacing w:after="0" w:line="240" w:lineRule="auto"/>
              <w:jc w:val="right"/>
              <w:rPr>
                <w:rFonts w:ascii="Times New Roman" w:hAnsi="Times New Roman" w:cs="Times New Roman"/>
                <w:bCs/>
                <w:sz w:val="24"/>
                <w:szCs w:val="24"/>
                <w:lang w:val="sr-Cyrl-RS" w:eastAsia="en-GB"/>
              </w:rPr>
            </w:pPr>
            <w:r>
              <w:rPr>
                <w:rFonts w:ascii="Times New Roman" w:hAnsi="Times New Roman" w:cs="Times New Roman"/>
                <w:bCs/>
                <w:sz w:val="24"/>
                <w:szCs w:val="24"/>
                <w:lang w:val="sr-Cyrl-RS" w:eastAsia="en-GB"/>
              </w:rPr>
              <w:t>31</w:t>
            </w:r>
            <w:r w:rsidR="00EC5D47" w:rsidRPr="00AD60B6">
              <w:rPr>
                <w:rFonts w:ascii="Times New Roman" w:hAnsi="Times New Roman" w:cs="Times New Roman"/>
                <w:bCs/>
                <w:sz w:val="24"/>
                <w:szCs w:val="24"/>
                <w:lang w:val="sr-Cyrl-RS" w:eastAsia="en-GB"/>
              </w:rPr>
              <w:t>243</w:t>
            </w:r>
          </w:p>
        </w:tc>
        <w:tc>
          <w:tcPr>
            <w:tcW w:w="1042" w:type="dxa"/>
            <w:tcBorders>
              <w:top w:val="nil"/>
              <w:left w:val="nil"/>
              <w:bottom w:val="single" w:sz="4" w:space="0" w:color="auto"/>
              <w:right w:val="single" w:sz="4" w:space="0" w:color="auto"/>
            </w:tcBorders>
            <w:shd w:val="clear" w:color="000000" w:fill="C0C0C0"/>
            <w:noWrap/>
            <w:vAlign w:val="center"/>
            <w:hideMark/>
          </w:tcPr>
          <w:p w14:paraId="13748DB3" w14:textId="7D73CD07" w:rsidR="00EC5D47" w:rsidRPr="00AD60B6" w:rsidRDefault="003E55AB" w:rsidP="00125B70">
            <w:pPr>
              <w:spacing w:after="0" w:line="240" w:lineRule="auto"/>
              <w:jc w:val="right"/>
              <w:rPr>
                <w:rFonts w:ascii="Times New Roman" w:hAnsi="Times New Roman" w:cs="Times New Roman"/>
                <w:bCs/>
                <w:sz w:val="24"/>
                <w:szCs w:val="24"/>
                <w:lang w:val="sr-Cyrl-RS" w:eastAsia="en-GB"/>
              </w:rPr>
            </w:pPr>
            <w:r>
              <w:rPr>
                <w:rFonts w:ascii="Times New Roman" w:hAnsi="Times New Roman" w:cs="Times New Roman"/>
                <w:bCs/>
                <w:sz w:val="24"/>
                <w:szCs w:val="24"/>
                <w:lang w:val="sr-Cyrl-RS" w:eastAsia="en-GB"/>
              </w:rPr>
              <w:t>32</w:t>
            </w:r>
            <w:r w:rsidR="00EC5D47" w:rsidRPr="00AD60B6">
              <w:rPr>
                <w:rFonts w:ascii="Times New Roman" w:hAnsi="Times New Roman" w:cs="Times New Roman"/>
                <w:bCs/>
                <w:sz w:val="24"/>
                <w:szCs w:val="24"/>
                <w:lang w:val="sr-Cyrl-RS" w:eastAsia="en-GB"/>
              </w:rPr>
              <w:t>920</w:t>
            </w:r>
          </w:p>
        </w:tc>
        <w:tc>
          <w:tcPr>
            <w:tcW w:w="932" w:type="dxa"/>
            <w:tcBorders>
              <w:top w:val="nil"/>
              <w:left w:val="nil"/>
              <w:bottom w:val="single" w:sz="4" w:space="0" w:color="auto"/>
              <w:right w:val="single" w:sz="4" w:space="0" w:color="auto"/>
            </w:tcBorders>
            <w:shd w:val="clear" w:color="000000" w:fill="C0C0C0"/>
            <w:vAlign w:val="center"/>
          </w:tcPr>
          <w:p w14:paraId="796CB54F" w14:textId="6F35B71A" w:rsidR="00EC5D47" w:rsidRPr="00AD60B6" w:rsidRDefault="003E55AB" w:rsidP="00125B70">
            <w:pPr>
              <w:spacing w:after="0" w:line="240" w:lineRule="auto"/>
              <w:jc w:val="right"/>
              <w:rPr>
                <w:rFonts w:ascii="Times New Roman" w:hAnsi="Times New Roman" w:cs="Times New Roman"/>
                <w:bCs/>
                <w:sz w:val="24"/>
                <w:szCs w:val="24"/>
                <w:lang w:val="sr-Cyrl-RS" w:eastAsia="en-GB"/>
              </w:rPr>
            </w:pPr>
            <w:r>
              <w:rPr>
                <w:rFonts w:ascii="Times New Roman" w:hAnsi="Times New Roman" w:cs="Times New Roman"/>
                <w:bCs/>
                <w:sz w:val="24"/>
                <w:szCs w:val="24"/>
                <w:lang w:val="sr-Cyrl-RS" w:eastAsia="en-GB"/>
              </w:rPr>
              <w:t>32</w:t>
            </w:r>
            <w:r w:rsidR="00EC5D47" w:rsidRPr="00AD60B6">
              <w:rPr>
                <w:rFonts w:ascii="Times New Roman" w:hAnsi="Times New Roman" w:cs="Times New Roman"/>
                <w:bCs/>
                <w:sz w:val="24"/>
                <w:szCs w:val="24"/>
                <w:lang w:val="sr-Cyrl-RS" w:eastAsia="en-GB"/>
              </w:rPr>
              <w:t>414</w:t>
            </w:r>
          </w:p>
        </w:tc>
      </w:tr>
      <w:tr w:rsidR="00EC5D47" w:rsidRPr="00AD60B6" w14:paraId="279227EE" w14:textId="77777777" w:rsidTr="003E55AB">
        <w:trPr>
          <w:trHeight w:val="315"/>
          <w:jc w:val="center"/>
        </w:trPr>
        <w:tc>
          <w:tcPr>
            <w:tcW w:w="0" w:type="auto"/>
            <w:tcBorders>
              <w:top w:val="nil"/>
              <w:left w:val="single" w:sz="4" w:space="0" w:color="auto"/>
              <w:bottom w:val="single" w:sz="4" w:space="0" w:color="auto"/>
              <w:right w:val="single" w:sz="4" w:space="0" w:color="auto"/>
            </w:tcBorders>
            <w:vAlign w:val="center"/>
          </w:tcPr>
          <w:p w14:paraId="466FE52E" w14:textId="77777777" w:rsidR="00EC5D47" w:rsidRPr="00AD60B6" w:rsidRDefault="00EC5D47" w:rsidP="00125B70">
            <w:pPr>
              <w:spacing w:after="0" w:line="240" w:lineRule="auto"/>
              <w:rPr>
                <w:rFonts w:ascii="Times New Roman" w:hAnsi="Times New Roman" w:cs="Times New Roman"/>
                <w:bCs/>
                <w:sz w:val="24"/>
                <w:szCs w:val="24"/>
                <w:lang w:val="sr-Cyrl-BA" w:eastAsia="en-GB"/>
              </w:rPr>
            </w:pPr>
            <w:r w:rsidRPr="00AD60B6">
              <w:rPr>
                <w:rFonts w:ascii="Times New Roman" w:hAnsi="Times New Roman" w:cs="Times New Roman"/>
                <w:bCs/>
                <w:sz w:val="24"/>
                <w:szCs w:val="24"/>
                <w:lang w:val="sr-Cyrl-BA" w:eastAsia="en-GB"/>
              </w:rPr>
              <w:t>Број службених саветодавних посета у области БЗР</w:t>
            </w:r>
          </w:p>
        </w:tc>
        <w:tc>
          <w:tcPr>
            <w:tcW w:w="932" w:type="dxa"/>
            <w:tcBorders>
              <w:top w:val="nil"/>
              <w:left w:val="nil"/>
              <w:bottom w:val="single" w:sz="4" w:space="0" w:color="auto"/>
              <w:right w:val="single" w:sz="4" w:space="0" w:color="auto"/>
            </w:tcBorders>
            <w:noWrap/>
            <w:vAlign w:val="center"/>
          </w:tcPr>
          <w:p w14:paraId="4DB7E549" w14:textId="77777777" w:rsidR="00EC5D47" w:rsidRPr="00AD60B6" w:rsidRDefault="00EC5D47" w:rsidP="00125B70">
            <w:pPr>
              <w:spacing w:after="0" w:line="240" w:lineRule="auto"/>
              <w:jc w:val="right"/>
              <w:rPr>
                <w:rFonts w:ascii="Times New Roman" w:hAnsi="Times New Roman" w:cs="Times New Roman"/>
                <w:bCs/>
                <w:sz w:val="24"/>
                <w:szCs w:val="24"/>
                <w:lang w:val="sr-Latn-RS" w:eastAsia="en-GB"/>
              </w:rPr>
            </w:pPr>
          </w:p>
        </w:tc>
        <w:tc>
          <w:tcPr>
            <w:tcW w:w="932" w:type="dxa"/>
            <w:tcBorders>
              <w:top w:val="nil"/>
              <w:left w:val="nil"/>
              <w:bottom w:val="single" w:sz="4" w:space="0" w:color="auto"/>
              <w:right w:val="single" w:sz="4" w:space="0" w:color="auto"/>
            </w:tcBorders>
            <w:noWrap/>
            <w:vAlign w:val="center"/>
          </w:tcPr>
          <w:p w14:paraId="22E3F79D"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60</w:t>
            </w:r>
          </w:p>
        </w:tc>
        <w:tc>
          <w:tcPr>
            <w:tcW w:w="932" w:type="dxa"/>
            <w:tcBorders>
              <w:top w:val="nil"/>
              <w:left w:val="nil"/>
              <w:bottom w:val="single" w:sz="4" w:space="0" w:color="auto"/>
              <w:right w:val="single" w:sz="4" w:space="0" w:color="auto"/>
            </w:tcBorders>
            <w:noWrap/>
            <w:vAlign w:val="center"/>
          </w:tcPr>
          <w:p w14:paraId="1E9F1090" w14:textId="77777777" w:rsidR="00EC5D47" w:rsidRPr="00AD60B6" w:rsidRDefault="00EC5D47" w:rsidP="00125B70">
            <w:pPr>
              <w:spacing w:after="0" w:line="240" w:lineRule="auto"/>
              <w:jc w:val="right"/>
              <w:rPr>
                <w:rFonts w:ascii="Times New Roman" w:hAnsi="Times New Roman" w:cs="Times New Roman"/>
                <w:bCs/>
                <w:sz w:val="24"/>
                <w:szCs w:val="24"/>
                <w:lang w:val="sr-Latn-RS" w:eastAsia="en-GB"/>
              </w:rPr>
            </w:pPr>
            <w:r w:rsidRPr="00AD60B6">
              <w:rPr>
                <w:rFonts w:ascii="Times New Roman" w:hAnsi="Times New Roman" w:cs="Times New Roman"/>
                <w:bCs/>
                <w:sz w:val="24"/>
                <w:szCs w:val="24"/>
                <w:lang w:val="sr-Latn-RS" w:eastAsia="en-GB"/>
              </w:rPr>
              <w:t>97</w:t>
            </w:r>
          </w:p>
        </w:tc>
        <w:tc>
          <w:tcPr>
            <w:tcW w:w="987" w:type="dxa"/>
            <w:tcBorders>
              <w:top w:val="nil"/>
              <w:left w:val="nil"/>
              <w:bottom w:val="single" w:sz="4" w:space="0" w:color="auto"/>
              <w:right w:val="single" w:sz="4" w:space="0" w:color="auto"/>
            </w:tcBorders>
            <w:noWrap/>
            <w:vAlign w:val="center"/>
          </w:tcPr>
          <w:p w14:paraId="574B2593"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66</w:t>
            </w:r>
          </w:p>
        </w:tc>
        <w:tc>
          <w:tcPr>
            <w:tcW w:w="1042" w:type="dxa"/>
            <w:tcBorders>
              <w:top w:val="nil"/>
              <w:left w:val="nil"/>
              <w:bottom w:val="single" w:sz="4" w:space="0" w:color="auto"/>
              <w:right w:val="single" w:sz="4" w:space="0" w:color="auto"/>
            </w:tcBorders>
            <w:noWrap/>
            <w:vAlign w:val="center"/>
          </w:tcPr>
          <w:p w14:paraId="78ED5A41"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50</w:t>
            </w:r>
          </w:p>
        </w:tc>
        <w:tc>
          <w:tcPr>
            <w:tcW w:w="932" w:type="dxa"/>
            <w:tcBorders>
              <w:top w:val="nil"/>
              <w:left w:val="nil"/>
              <w:bottom w:val="single" w:sz="4" w:space="0" w:color="auto"/>
              <w:right w:val="single" w:sz="4" w:space="0" w:color="auto"/>
            </w:tcBorders>
            <w:vAlign w:val="center"/>
          </w:tcPr>
          <w:p w14:paraId="44AC785C"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39</w:t>
            </w:r>
          </w:p>
        </w:tc>
      </w:tr>
      <w:tr w:rsidR="00EC5D47" w:rsidRPr="00AD60B6" w14:paraId="5CADF9DF" w14:textId="77777777" w:rsidTr="003E55AB">
        <w:trPr>
          <w:trHeight w:val="315"/>
          <w:jc w:val="center"/>
        </w:trPr>
        <w:tc>
          <w:tcPr>
            <w:tcW w:w="0" w:type="auto"/>
            <w:tcBorders>
              <w:top w:val="nil"/>
              <w:left w:val="single" w:sz="4" w:space="0" w:color="auto"/>
              <w:bottom w:val="single" w:sz="4" w:space="0" w:color="auto"/>
              <w:right w:val="single" w:sz="4" w:space="0" w:color="auto"/>
            </w:tcBorders>
            <w:vAlign w:val="center"/>
            <w:hideMark/>
          </w:tcPr>
          <w:p w14:paraId="2D12AC61"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Број извршених редовних инспекцијских надзора</w:t>
            </w:r>
          </w:p>
        </w:tc>
        <w:tc>
          <w:tcPr>
            <w:tcW w:w="932" w:type="dxa"/>
            <w:tcBorders>
              <w:top w:val="nil"/>
              <w:left w:val="nil"/>
              <w:bottom w:val="single" w:sz="4" w:space="0" w:color="auto"/>
              <w:right w:val="single" w:sz="4" w:space="0" w:color="auto"/>
            </w:tcBorders>
            <w:noWrap/>
            <w:vAlign w:val="center"/>
            <w:hideMark/>
          </w:tcPr>
          <w:p w14:paraId="406BD3B0"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9941</w:t>
            </w:r>
          </w:p>
        </w:tc>
        <w:tc>
          <w:tcPr>
            <w:tcW w:w="932" w:type="dxa"/>
            <w:tcBorders>
              <w:top w:val="nil"/>
              <w:left w:val="nil"/>
              <w:bottom w:val="single" w:sz="4" w:space="0" w:color="auto"/>
              <w:right w:val="single" w:sz="4" w:space="0" w:color="auto"/>
            </w:tcBorders>
            <w:noWrap/>
            <w:vAlign w:val="center"/>
            <w:hideMark/>
          </w:tcPr>
          <w:p w14:paraId="03A4E799"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3144</w:t>
            </w:r>
          </w:p>
        </w:tc>
        <w:tc>
          <w:tcPr>
            <w:tcW w:w="932" w:type="dxa"/>
            <w:tcBorders>
              <w:top w:val="nil"/>
              <w:left w:val="nil"/>
              <w:bottom w:val="single" w:sz="4" w:space="0" w:color="auto"/>
              <w:right w:val="single" w:sz="4" w:space="0" w:color="auto"/>
            </w:tcBorders>
            <w:noWrap/>
            <w:vAlign w:val="center"/>
            <w:hideMark/>
          </w:tcPr>
          <w:p w14:paraId="68559832"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1230 </w:t>
            </w:r>
          </w:p>
        </w:tc>
        <w:tc>
          <w:tcPr>
            <w:tcW w:w="987" w:type="dxa"/>
            <w:tcBorders>
              <w:top w:val="nil"/>
              <w:left w:val="nil"/>
              <w:bottom w:val="single" w:sz="4" w:space="0" w:color="auto"/>
              <w:right w:val="single" w:sz="4" w:space="0" w:color="auto"/>
            </w:tcBorders>
            <w:noWrap/>
            <w:vAlign w:val="center"/>
            <w:hideMark/>
          </w:tcPr>
          <w:p w14:paraId="36BC982C"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1070</w:t>
            </w:r>
          </w:p>
        </w:tc>
        <w:tc>
          <w:tcPr>
            <w:tcW w:w="1042" w:type="dxa"/>
            <w:tcBorders>
              <w:top w:val="nil"/>
              <w:left w:val="nil"/>
              <w:bottom w:val="single" w:sz="4" w:space="0" w:color="auto"/>
              <w:right w:val="single" w:sz="4" w:space="0" w:color="auto"/>
            </w:tcBorders>
            <w:noWrap/>
            <w:vAlign w:val="center"/>
            <w:hideMark/>
          </w:tcPr>
          <w:p w14:paraId="7C2699EF"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1074</w:t>
            </w:r>
          </w:p>
        </w:tc>
        <w:tc>
          <w:tcPr>
            <w:tcW w:w="932" w:type="dxa"/>
            <w:tcBorders>
              <w:top w:val="nil"/>
              <w:left w:val="nil"/>
              <w:bottom w:val="single" w:sz="4" w:space="0" w:color="auto"/>
              <w:right w:val="single" w:sz="4" w:space="0" w:color="auto"/>
            </w:tcBorders>
            <w:vAlign w:val="center"/>
          </w:tcPr>
          <w:p w14:paraId="6FEC70BD" w14:textId="489360ED"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3</w:t>
            </w:r>
            <w:r w:rsidR="00EC5D47" w:rsidRPr="00AD60B6">
              <w:rPr>
                <w:rFonts w:ascii="Times New Roman" w:hAnsi="Times New Roman" w:cs="Times New Roman"/>
                <w:bCs/>
                <w:sz w:val="24"/>
                <w:szCs w:val="24"/>
                <w:lang w:val="en-GB" w:eastAsia="en-GB"/>
              </w:rPr>
              <w:t xml:space="preserve">547 </w:t>
            </w:r>
          </w:p>
        </w:tc>
      </w:tr>
      <w:tr w:rsidR="00EC5D47" w:rsidRPr="00AD60B6" w14:paraId="2B3DFE99"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1957B98E"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Број извршених контролних инспекцијских надзора</w:t>
            </w:r>
          </w:p>
        </w:tc>
        <w:tc>
          <w:tcPr>
            <w:tcW w:w="932" w:type="dxa"/>
            <w:tcBorders>
              <w:top w:val="nil"/>
              <w:left w:val="nil"/>
              <w:bottom w:val="single" w:sz="4" w:space="0" w:color="auto"/>
              <w:right w:val="single" w:sz="4" w:space="0" w:color="auto"/>
            </w:tcBorders>
            <w:noWrap/>
            <w:vAlign w:val="center"/>
            <w:hideMark/>
          </w:tcPr>
          <w:p w14:paraId="55763262"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2405</w:t>
            </w:r>
          </w:p>
        </w:tc>
        <w:tc>
          <w:tcPr>
            <w:tcW w:w="932" w:type="dxa"/>
            <w:tcBorders>
              <w:top w:val="nil"/>
              <w:left w:val="nil"/>
              <w:bottom w:val="single" w:sz="4" w:space="0" w:color="auto"/>
              <w:right w:val="single" w:sz="4" w:space="0" w:color="auto"/>
            </w:tcBorders>
            <w:noWrap/>
            <w:vAlign w:val="center"/>
            <w:hideMark/>
          </w:tcPr>
          <w:p w14:paraId="3277C37A"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RS" w:eastAsia="en-GB"/>
              </w:rPr>
              <w:t>3867</w:t>
            </w:r>
          </w:p>
        </w:tc>
        <w:tc>
          <w:tcPr>
            <w:tcW w:w="932" w:type="dxa"/>
            <w:tcBorders>
              <w:top w:val="nil"/>
              <w:left w:val="nil"/>
              <w:bottom w:val="single" w:sz="4" w:space="0" w:color="auto"/>
              <w:right w:val="single" w:sz="4" w:space="0" w:color="auto"/>
            </w:tcBorders>
            <w:noWrap/>
            <w:vAlign w:val="center"/>
            <w:hideMark/>
          </w:tcPr>
          <w:p w14:paraId="3792EC0C" w14:textId="4F9EA42D"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1</w:t>
            </w:r>
            <w:r w:rsidR="00EC5D47" w:rsidRPr="00AD60B6">
              <w:rPr>
                <w:rFonts w:ascii="Times New Roman" w:hAnsi="Times New Roman" w:cs="Times New Roman"/>
                <w:bCs/>
                <w:sz w:val="24"/>
                <w:szCs w:val="24"/>
                <w:lang w:val="en-GB" w:eastAsia="en-GB"/>
              </w:rPr>
              <w:t>690 </w:t>
            </w:r>
          </w:p>
        </w:tc>
        <w:tc>
          <w:tcPr>
            <w:tcW w:w="987" w:type="dxa"/>
            <w:tcBorders>
              <w:top w:val="nil"/>
              <w:left w:val="nil"/>
              <w:bottom w:val="single" w:sz="4" w:space="0" w:color="auto"/>
              <w:right w:val="single" w:sz="4" w:space="0" w:color="auto"/>
            </w:tcBorders>
            <w:noWrap/>
            <w:vAlign w:val="center"/>
            <w:hideMark/>
          </w:tcPr>
          <w:p w14:paraId="1A766233"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2624</w:t>
            </w:r>
          </w:p>
        </w:tc>
        <w:tc>
          <w:tcPr>
            <w:tcW w:w="1042" w:type="dxa"/>
            <w:tcBorders>
              <w:top w:val="nil"/>
              <w:left w:val="nil"/>
              <w:bottom w:val="single" w:sz="4" w:space="0" w:color="auto"/>
              <w:right w:val="single" w:sz="4" w:space="0" w:color="auto"/>
            </w:tcBorders>
            <w:noWrap/>
            <w:vAlign w:val="center"/>
            <w:hideMark/>
          </w:tcPr>
          <w:p w14:paraId="4AA21033"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1505</w:t>
            </w:r>
          </w:p>
        </w:tc>
        <w:tc>
          <w:tcPr>
            <w:tcW w:w="932" w:type="dxa"/>
            <w:tcBorders>
              <w:top w:val="nil"/>
              <w:left w:val="nil"/>
              <w:bottom w:val="single" w:sz="4" w:space="0" w:color="auto"/>
              <w:right w:val="single" w:sz="4" w:space="0" w:color="auto"/>
            </w:tcBorders>
            <w:vAlign w:val="center"/>
          </w:tcPr>
          <w:p w14:paraId="46544DEB"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1330</w:t>
            </w:r>
          </w:p>
        </w:tc>
      </w:tr>
      <w:tr w:rsidR="00EC5D47" w:rsidRPr="00AD60B6" w14:paraId="55D47517"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045CFF57"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Број допунских надзора</w:t>
            </w:r>
          </w:p>
        </w:tc>
        <w:tc>
          <w:tcPr>
            <w:tcW w:w="932" w:type="dxa"/>
            <w:tcBorders>
              <w:top w:val="nil"/>
              <w:left w:val="nil"/>
              <w:bottom w:val="single" w:sz="4" w:space="0" w:color="auto"/>
              <w:right w:val="single" w:sz="4" w:space="0" w:color="auto"/>
            </w:tcBorders>
            <w:noWrap/>
            <w:vAlign w:val="center"/>
            <w:hideMark/>
          </w:tcPr>
          <w:p w14:paraId="7EBC5237"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932" w:type="dxa"/>
            <w:tcBorders>
              <w:top w:val="nil"/>
              <w:left w:val="nil"/>
              <w:bottom w:val="single" w:sz="4" w:space="0" w:color="auto"/>
              <w:right w:val="single" w:sz="4" w:space="0" w:color="auto"/>
            </w:tcBorders>
            <w:noWrap/>
            <w:vAlign w:val="center"/>
            <w:hideMark/>
          </w:tcPr>
          <w:p w14:paraId="19AB0F3B"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932" w:type="dxa"/>
            <w:tcBorders>
              <w:top w:val="nil"/>
              <w:left w:val="nil"/>
              <w:bottom w:val="single" w:sz="4" w:space="0" w:color="auto"/>
              <w:right w:val="single" w:sz="4" w:space="0" w:color="auto"/>
            </w:tcBorders>
            <w:noWrap/>
            <w:vAlign w:val="center"/>
            <w:hideMark/>
          </w:tcPr>
          <w:p w14:paraId="5273F8AA"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59 </w:t>
            </w:r>
          </w:p>
        </w:tc>
        <w:tc>
          <w:tcPr>
            <w:tcW w:w="987" w:type="dxa"/>
            <w:tcBorders>
              <w:top w:val="nil"/>
              <w:left w:val="nil"/>
              <w:bottom w:val="single" w:sz="4" w:space="0" w:color="auto"/>
              <w:right w:val="single" w:sz="4" w:space="0" w:color="auto"/>
            </w:tcBorders>
            <w:noWrap/>
            <w:vAlign w:val="center"/>
            <w:hideMark/>
          </w:tcPr>
          <w:p w14:paraId="46176E5E"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70 </w:t>
            </w:r>
          </w:p>
        </w:tc>
        <w:tc>
          <w:tcPr>
            <w:tcW w:w="1042" w:type="dxa"/>
            <w:tcBorders>
              <w:top w:val="nil"/>
              <w:left w:val="nil"/>
              <w:bottom w:val="single" w:sz="4" w:space="0" w:color="auto"/>
              <w:right w:val="single" w:sz="4" w:space="0" w:color="auto"/>
            </w:tcBorders>
            <w:noWrap/>
            <w:vAlign w:val="center"/>
            <w:hideMark/>
          </w:tcPr>
          <w:p w14:paraId="0BF1F979"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200</w:t>
            </w:r>
          </w:p>
        </w:tc>
        <w:tc>
          <w:tcPr>
            <w:tcW w:w="932" w:type="dxa"/>
            <w:tcBorders>
              <w:top w:val="nil"/>
              <w:left w:val="nil"/>
              <w:bottom w:val="single" w:sz="4" w:space="0" w:color="auto"/>
              <w:right w:val="single" w:sz="4" w:space="0" w:color="auto"/>
            </w:tcBorders>
            <w:vAlign w:val="center"/>
          </w:tcPr>
          <w:p w14:paraId="5CFC4AF5"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287</w:t>
            </w:r>
          </w:p>
        </w:tc>
      </w:tr>
      <w:tr w:rsidR="00EC5D47" w:rsidRPr="00AD60B6" w14:paraId="19882C35"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529CD643"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Број надзора по затхеву запосленог</w:t>
            </w:r>
          </w:p>
        </w:tc>
        <w:tc>
          <w:tcPr>
            <w:tcW w:w="932" w:type="dxa"/>
            <w:tcBorders>
              <w:top w:val="nil"/>
              <w:left w:val="nil"/>
              <w:bottom w:val="single" w:sz="4" w:space="0" w:color="auto"/>
              <w:right w:val="single" w:sz="4" w:space="0" w:color="auto"/>
            </w:tcBorders>
            <w:noWrap/>
            <w:vAlign w:val="center"/>
            <w:hideMark/>
          </w:tcPr>
          <w:p w14:paraId="65D4992F"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637 </w:t>
            </w:r>
          </w:p>
        </w:tc>
        <w:tc>
          <w:tcPr>
            <w:tcW w:w="932" w:type="dxa"/>
            <w:tcBorders>
              <w:top w:val="nil"/>
              <w:left w:val="nil"/>
              <w:bottom w:val="single" w:sz="4" w:space="0" w:color="auto"/>
              <w:right w:val="single" w:sz="4" w:space="0" w:color="auto"/>
            </w:tcBorders>
            <w:noWrap/>
            <w:vAlign w:val="center"/>
            <w:hideMark/>
          </w:tcPr>
          <w:p w14:paraId="28059FE7"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636 </w:t>
            </w:r>
          </w:p>
        </w:tc>
        <w:tc>
          <w:tcPr>
            <w:tcW w:w="932" w:type="dxa"/>
            <w:tcBorders>
              <w:top w:val="nil"/>
              <w:left w:val="nil"/>
              <w:bottom w:val="single" w:sz="4" w:space="0" w:color="auto"/>
              <w:right w:val="single" w:sz="4" w:space="0" w:color="auto"/>
            </w:tcBorders>
            <w:noWrap/>
            <w:vAlign w:val="center"/>
            <w:hideMark/>
          </w:tcPr>
          <w:p w14:paraId="7AD4361C"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333 </w:t>
            </w:r>
          </w:p>
        </w:tc>
        <w:tc>
          <w:tcPr>
            <w:tcW w:w="987" w:type="dxa"/>
            <w:tcBorders>
              <w:top w:val="nil"/>
              <w:left w:val="nil"/>
              <w:bottom w:val="single" w:sz="4" w:space="0" w:color="auto"/>
              <w:right w:val="single" w:sz="4" w:space="0" w:color="auto"/>
            </w:tcBorders>
            <w:noWrap/>
            <w:vAlign w:val="center"/>
            <w:hideMark/>
          </w:tcPr>
          <w:p w14:paraId="3A2CBE2B"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598</w:t>
            </w:r>
          </w:p>
        </w:tc>
        <w:tc>
          <w:tcPr>
            <w:tcW w:w="1042" w:type="dxa"/>
            <w:tcBorders>
              <w:top w:val="nil"/>
              <w:left w:val="nil"/>
              <w:bottom w:val="single" w:sz="4" w:space="0" w:color="auto"/>
              <w:right w:val="single" w:sz="4" w:space="0" w:color="auto"/>
            </w:tcBorders>
            <w:noWrap/>
            <w:vAlign w:val="center"/>
            <w:hideMark/>
          </w:tcPr>
          <w:p w14:paraId="618843F9"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598</w:t>
            </w:r>
          </w:p>
        </w:tc>
        <w:tc>
          <w:tcPr>
            <w:tcW w:w="932" w:type="dxa"/>
            <w:tcBorders>
              <w:top w:val="nil"/>
              <w:left w:val="nil"/>
              <w:bottom w:val="single" w:sz="4" w:space="0" w:color="auto"/>
              <w:right w:val="single" w:sz="4" w:space="0" w:color="auto"/>
            </w:tcBorders>
            <w:vAlign w:val="center"/>
          </w:tcPr>
          <w:p w14:paraId="43A484D1" w14:textId="77777777" w:rsidR="00EC5D47" w:rsidRPr="00AD60B6" w:rsidRDefault="00EC5D47" w:rsidP="00125B70">
            <w:pPr>
              <w:spacing w:after="0" w:line="240" w:lineRule="auto"/>
              <w:jc w:val="right"/>
              <w:rPr>
                <w:rFonts w:ascii="Times New Roman" w:hAnsi="Times New Roman" w:cs="Times New Roman"/>
                <w:bCs/>
                <w:sz w:val="24"/>
                <w:szCs w:val="24"/>
                <w:lang w:val="sr-Latn-RS" w:eastAsia="en-GB"/>
              </w:rPr>
            </w:pPr>
            <w:r w:rsidRPr="00AD60B6">
              <w:rPr>
                <w:rFonts w:ascii="Times New Roman" w:hAnsi="Times New Roman" w:cs="Times New Roman"/>
                <w:bCs/>
                <w:sz w:val="24"/>
                <w:szCs w:val="24"/>
                <w:lang w:val="sr-Latn-RS" w:eastAsia="en-GB"/>
              </w:rPr>
              <w:t>497</w:t>
            </w:r>
          </w:p>
        </w:tc>
      </w:tr>
      <w:tr w:rsidR="00EC5D47" w:rsidRPr="00AD60B6" w14:paraId="6AD52121" w14:textId="77777777" w:rsidTr="003E55AB">
        <w:trPr>
          <w:trHeight w:val="315"/>
          <w:jc w:val="center"/>
        </w:trPr>
        <w:tc>
          <w:tcPr>
            <w:tcW w:w="0" w:type="auto"/>
            <w:tcBorders>
              <w:top w:val="nil"/>
              <w:left w:val="single" w:sz="4" w:space="0" w:color="auto"/>
              <w:bottom w:val="single" w:sz="4" w:space="0" w:color="auto"/>
              <w:right w:val="single" w:sz="4" w:space="0" w:color="auto"/>
            </w:tcBorders>
            <w:vAlign w:val="center"/>
            <w:hideMark/>
          </w:tcPr>
          <w:p w14:paraId="18149E69"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Преглед пословног простора по захтеву странке</w:t>
            </w:r>
          </w:p>
        </w:tc>
        <w:tc>
          <w:tcPr>
            <w:tcW w:w="932" w:type="dxa"/>
            <w:tcBorders>
              <w:top w:val="nil"/>
              <w:left w:val="nil"/>
              <w:bottom w:val="single" w:sz="4" w:space="0" w:color="auto"/>
              <w:right w:val="single" w:sz="4" w:space="0" w:color="auto"/>
            </w:tcBorders>
            <w:noWrap/>
            <w:vAlign w:val="center"/>
            <w:hideMark/>
          </w:tcPr>
          <w:p w14:paraId="6A0DDB9D"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200</w:t>
            </w:r>
          </w:p>
        </w:tc>
        <w:tc>
          <w:tcPr>
            <w:tcW w:w="932" w:type="dxa"/>
            <w:tcBorders>
              <w:top w:val="nil"/>
              <w:left w:val="nil"/>
              <w:bottom w:val="single" w:sz="4" w:space="0" w:color="auto"/>
              <w:right w:val="single" w:sz="4" w:space="0" w:color="auto"/>
            </w:tcBorders>
            <w:noWrap/>
            <w:vAlign w:val="center"/>
            <w:hideMark/>
          </w:tcPr>
          <w:p w14:paraId="30AEFC17"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115</w:t>
            </w:r>
          </w:p>
        </w:tc>
        <w:tc>
          <w:tcPr>
            <w:tcW w:w="932" w:type="dxa"/>
            <w:tcBorders>
              <w:top w:val="nil"/>
              <w:left w:val="nil"/>
              <w:bottom w:val="single" w:sz="4" w:space="0" w:color="auto"/>
              <w:right w:val="single" w:sz="4" w:space="0" w:color="auto"/>
            </w:tcBorders>
            <w:noWrap/>
            <w:vAlign w:val="center"/>
            <w:hideMark/>
          </w:tcPr>
          <w:p w14:paraId="4409C0F8"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98 </w:t>
            </w:r>
          </w:p>
        </w:tc>
        <w:tc>
          <w:tcPr>
            <w:tcW w:w="987" w:type="dxa"/>
            <w:tcBorders>
              <w:top w:val="nil"/>
              <w:left w:val="nil"/>
              <w:bottom w:val="single" w:sz="4" w:space="0" w:color="auto"/>
              <w:right w:val="single" w:sz="4" w:space="0" w:color="auto"/>
            </w:tcBorders>
            <w:noWrap/>
            <w:vAlign w:val="center"/>
            <w:hideMark/>
          </w:tcPr>
          <w:p w14:paraId="453CAFED"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72</w:t>
            </w:r>
          </w:p>
        </w:tc>
        <w:tc>
          <w:tcPr>
            <w:tcW w:w="1042" w:type="dxa"/>
            <w:tcBorders>
              <w:top w:val="nil"/>
              <w:left w:val="nil"/>
              <w:bottom w:val="single" w:sz="4" w:space="0" w:color="auto"/>
              <w:right w:val="single" w:sz="4" w:space="0" w:color="auto"/>
            </w:tcBorders>
            <w:noWrap/>
            <w:vAlign w:val="center"/>
            <w:hideMark/>
          </w:tcPr>
          <w:p w14:paraId="4435FC07"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74 </w:t>
            </w:r>
          </w:p>
        </w:tc>
        <w:tc>
          <w:tcPr>
            <w:tcW w:w="932" w:type="dxa"/>
            <w:tcBorders>
              <w:top w:val="nil"/>
              <w:left w:val="nil"/>
              <w:bottom w:val="single" w:sz="4" w:space="0" w:color="auto"/>
              <w:right w:val="single" w:sz="4" w:space="0" w:color="auto"/>
            </w:tcBorders>
            <w:vAlign w:val="center"/>
          </w:tcPr>
          <w:p w14:paraId="661265B8"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57</w:t>
            </w:r>
          </w:p>
        </w:tc>
      </w:tr>
      <w:tr w:rsidR="00EC5D47" w:rsidRPr="00AD60B6" w14:paraId="5FE810EB" w14:textId="77777777" w:rsidTr="003E55AB">
        <w:trPr>
          <w:trHeight w:val="315"/>
          <w:jc w:val="center"/>
        </w:trPr>
        <w:tc>
          <w:tcPr>
            <w:tcW w:w="0" w:type="auto"/>
            <w:tcBorders>
              <w:top w:val="nil"/>
              <w:left w:val="single" w:sz="4" w:space="0" w:color="auto"/>
              <w:bottom w:val="single" w:sz="4" w:space="0" w:color="auto"/>
              <w:right w:val="single" w:sz="4" w:space="0" w:color="auto"/>
            </w:tcBorders>
            <w:vAlign w:val="center"/>
            <w:hideMark/>
          </w:tcPr>
          <w:p w14:paraId="0D64CE4D" w14:textId="77777777" w:rsidR="00EC5D47" w:rsidRPr="003E55AB" w:rsidRDefault="00EC5D47" w:rsidP="00125B70">
            <w:pPr>
              <w:spacing w:after="0" w:line="240" w:lineRule="auto"/>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Број надзора у вези професионалних обољења</w:t>
            </w:r>
          </w:p>
        </w:tc>
        <w:tc>
          <w:tcPr>
            <w:tcW w:w="932" w:type="dxa"/>
            <w:tcBorders>
              <w:top w:val="nil"/>
              <w:left w:val="nil"/>
              <w:bottom w:val="single" w:sz="4" w:space="0" w:color="auto"/>
              <w:right w:val="single" w:sz="4" w:space="0" w:color="auto"/>
            </w:tcBorders>
            <w:noWrap/>
            <w:vAlign w:val="center"/>
            <w:hideMark/>
          </w:tcPr>
          <w:p w14:paraId="6F4B153E"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0</w:t>
            </w:r>
          </w:p>
        </w:tc>
        <w:tc>
          <w:tcPr>
            <w:tcW w:w="932" w:type="dxa"/>
            <w:tcBorders>
              <w:top w:val="nil"/>
              <w:left w:val="nil"/>
              <w:bottom w:val="single" w:sz="4" w:space="0" w:color="auto"/>
              <w:right w:val="single" w:sz="4" w:space="0" w:color="auto"/>
            </w:tcBorders>
            <w:noWrap/>
            <w:vAlign w:val="center"/>
            <w:hideMark/>
          </w:tcPr>
          <w:p w14:paraId="2E7AF159"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1</w:t>
            </w:r>
          </w:p>
        </w:tc>
        <w:tc>
          <w:tcPr>
            <w:tcW w:w="932" w:type="dxa"/>
            <w:tcBorders>
              <w:top w:val="nil"/>
              <w:left w:val="nil"/>
              <w:bottom w:val="single" w:sz="4" w:space="0" w:color="auto"/>
              <w:right w:val="single" w:sz="4" w:space="0" w:color="auto"/>
            </w:tcBorders>
            <w:noWrap/>
            <w:vAlign w:val="center"/>
            <w:hideMark/>
          </w:tcPr>
          <w:p w14:paraId="3D89A6B1"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RS" w:eastAsia="en-GB"/>
              </w:rPr>
              <w:t>0</w:t>
            </w:r>
            <w:r w:rsidRPr="003E55AB">
              <w:rPr>
                <w:rFonts w:ascii="Times New Roman" w:hAnsi="Times New Roman" w:cs="Times New Roman"/>
                <w:bCs/>
                <w:sz w:val="24"/>
                <w:szCs w:val="24"/>
                <w:lang w:val="en-GB" w:eastAsia="en-GB"/>
              </w:rPr>
              <w:t> </w:t>
            </w:r>
          </w:p>
        </w:tc>
        <w:tc>
          <w:tcPr>
            <w:tcW w:w="987" w:type="dxa"/>
            <w:tcBorders>
              <w:top w:val="nil"/>
              <w:left w:val="nil"/>
              <w:bottom w:val="single" w:sz="4" w:space="0" w:color="auto"/>
              <w:right w:val="single" w:sz="4" w:space="0" w:color="auto"/>
            </w:tcBorders>
            <w:noWrap/>
            <w:vAlign w:val="center"/>
            <w:hideMark/>
          </w:tcPr>
          <w:p w14:paraId="64CCB974"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RS" w:eastAsia="en-GB"/>
              </w:rPr>
              <w:t>0</w:t>
            </w:r>
            <w:r w:rsidRPr="003E55AB">
              <w:rPr>
                <w:rFonts w:ascii="Times New Roman" w:hAnsi="Times New Roman" w:cs="Times New Roman"/>
                <w:bCs/>
                <w:sz w:val="24"/>
                <w:szCs w:val="24"/>
                <w:lang w:val="en-GB" w:eastAsia="en-GB"/>
              </w:rPr>
              <w:t> </w:t>
            </w:r>
          </w:p>
        </w:tc>
        <w:tc>
          <w:tcPr>
            <w:tcW w:w="1042" w:type="dxa"/>
            <w:tcBorders>
              <w:top w:val="nil"/>
              <w:left w:val="nil"/>
              <w:bottom w:val="single" w:sz="4" w:space="0" w:color="auto"/>
              <w:right w:val="single" w:sz="4" w:space="0" w:color="auto"/>
            </w:tcBorders>
            <w:noWrap/>
            <w:vAlign w:val="center"/>
            <w:hideMark/>
          </w:tcPr>
          <w:p w14:paraId="1CF37939"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RS" w:eastAsia="en-GB"/>
              </w:rPr>
              <w:t>0</w:t>
            </w:r>
            <w:r w:rsidRPr="003E55AB">
              <w:rPr>
                <w:rFonts w:ascii="Times New Roman" w:hAnsi="Times New Roman" w:cs="Times New Roman"/>
                <w:bCs/>
                <w:sz w:val="24"/>
                <w:szCs w:val="24"/>
                <w:lang w:val="en-GB" w:eastAsia="en-GB"/>
              </w:rPr>
              <w:t> </w:t>
            </w:r>
          </w:p>
        </w:tc>
        <w:tc>
          <w:tcPr>
            <w:tcW w:w="932" w:type="dxa"/>
            <w:tcBorders>
              <w:top w:val="nil"/>
              <w:left w:val="nil"/>
              <w:bottom w:val="single" w:sz="4" w:space="0" w:color="auto"/>
              <w:right w:val="single" w:sz="4" w:space="0" w:color="auto"/>
            </w:tcBorders>
            <w:vAlign w:val="center"/>
          </w:tcPr>
          <w:p w14:paraId="437E50A1" w14:textId="77777777" w:rsidR="00EC5D47" w:rsidRPr="003E55AB" w:rsidRDefault="00EC5D47" w:rsidP="00125B70">
            <w:pPr>
              <w:spacing w:after="0" w:line="240" w:lineRule="auto"/>
              <w:jc w:val="right"/>
              <w:rPr>
                <w:rFonts w:ascii="Times New Roman" w:hAnsi="Times New Roman" w:cs="Times New Roman"/>
                <w:bCs/>
                <w:sz w:val="24"/>
                <w:szCs w:val="24"/>
                <w:lang w:val="sr-Cyrl-RS" w:eastAsia="en-GB"/>
              </w:rPr>
            </w:pPr>
            <w:r w:rsidRPr="003E55AB">
              <w:rPr>
                <w:rFonts w:ascii="Times New Roman" w:hAnsi="Times New Roman" w:cs="Times New Roman"/>
                <w:bCs/>
                <w:sz w:val="24"/>
                <w:szCs w:val="24"/>
                <w:lang w:val="sr-Cyrl-RS" w:eastAsia="en-GB"/>
              </w:rPr>
              <w:t>0</w:t>
            </w:r>
          </w:p>
        </w:tc>
      </w:tr>
      <w:tr w:rsidR="00EC5D47" w:rsidRPr="00AD60B6" w14:paraId="2AD32177" w14:textId="77777777" w:rsidTr="003E55AB">
        <w:trPr>
          <w:trHeight w:val="315"/>
          <w:jc w:val="center"/>
        </w:trPr>
        <w:tc>
          <w:tcPr>
            <w:tcW w:w="0" w:type="auto"/>
            <w:tcBorders>
              <w:top w:val="nil"/>
              <w:left w:val="single" w:sz="4" w:space="0" w:color="auto"/>
              <w:bottom w:val="single" w:sz="4" w:space="0" w:color="auto"/>
              <w:right w:val="single" w:sz="4" w:space="0" w:color="auto"/>
            </w:tcBorders>
            <w:vAlign w:val="center"/>
            <w:hideMark/>
          </w:tcPr>
          <w:p w14:paraId="64DDFECE" w14:textId="77777777" w:rsidR="00EC5D47" w:rsidRPr="003E55AB" w:rsidRDefault="00EC5D47" w:rsidP="00125B70">
            <w:pPr>
              <w:spacing w:after="0" w:line="240" w:lineRule="auto"/>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Број надзора поводом повреда на раду</w:t>
            </w:r>
          </w:p>
        </w:tc>
        <w:tc>
          <w:tcPr>
            <w:tcW w:w="932" w:type="dxa"/>
            <w:tcBorders>
              <w:top w:val="nil"/>
              <w:left w:val="nil"/>
              <w:bottom w:val="single" w:sz="4" w:space="0" w:color="auto"/>
              <w:right w:val="single" w:sz="4" w:space="0" w:color="auto"/>
            </w:tcBorders>
            <w:noWrap/>
            <w:vAlign w:val="center"/>
            <w:hideMark/>
          </w:tcPr>
          <w:p w14:paraId="33851335" w14:textId="77777777" w:rsidR="00EC5D47" w:rsidRPr="003E55AB" w:rsidRDefault="00EC5D47" w:rsidP="00125B70">
            <w:pPr>
              <w:spacing w:after="0" w:line="240" w:lineRule="auto"/>
              <w:jc w:val="right"/>
              <w:rPr>
                <w:rFonts w:ascii="Times New Roman" w:hAnsi="Times New Roman" w:cs="Times New Roman"/>
                <w:bCs/>
                <w:strike/>
                <w:sz w:val="24"/>
                <w:szCs w:val="24"/>
                <w:lang w:val="en-GB" w:eastAsia="en-GB"/>
              </w:rPr>
            </w:pPr>
            <w:r w:rsidRPr="003E55AB">
              <w:rPr>
                <w:rFonts w:ascii="Times New Roman" w:hAnsi="Times New Roman" w:cs="Times New Roman"/>
                <w:bCs/>
                <w:sz w:val="24"/>
                <w:szCs w:val="24"/>
                <w:lang w:val="sr-Cyrl-BA" w:eastAsia="en-GB"/>
              </w:rPr>
              <w:t xml:space="preserve">919 </w:t>
            </w:r>
          </w:p>
        </w:tc>
        <w:tc>
          <w:tcPr>
            <w:tcW w:w="932" w:type="dxa"/>
            <w:tcBorders>
              <w:top w:val="nil"/>
              <w:left w:val="nil"/>
              <w:bottom w:val="single" w:sz="4" w:space="0" w:color="auto"/>
              <w:right w:val="single" w:sz="4" w:space="0" w:color="auto"/>
            </w:tcBorders>
            <w:noWrap/>
            <w:vAlign w:val="center"/>
            <w:hideMark/>
          </w:tcPr>
          <w:p w14:paraId="133EA116"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908</w:t>
            </w:r>
          </w:p>
        </w:tc>
        <w:tc>
          <w:tcPr>
            <w:tcW w:w="932" w:type="dxa"/>
            <w:tcBorders>
              <w:top w:val="nil"/>
              <w:left w:val="nil"/>
              <w:bottom w:val="single" w:sz="4" w:space="0" w:color="auto"/>
              <w:right w:val="single" w:sz="4" w:space="0" w:color="auto"/>
            </w:tcBorders>
            <w:noWrap/>
            <w:vAlign w:val="center"/>
            <w:hideMark/>
          </w:tcPr>
          <w:p w14:paraId="64B691BF"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Latn-RS" w:eastAsia="en-GB"/>
              </w:rPr>
              <w:t>984</w:t>
            </w:r>
          </w:p>
        </w:tc>
        <w:tc>
          <w:tcPr>
            <w:tcW w:w="987" w:type="dxa"/>
            <w:tcBorders>
              <w:top w:val="nil"/>
              <w:left w:val="nil"/>
              <w:bottom w:val="single" w:sz="4" w:space="0" w:color="auto"/>
              <w:right w:val="single" w:sz="4" w:space="0" w:color="auto"/>
            </w:tcBorders>
            <w:noWrap/>
            <w:vAlign w:val="center"/>
            <w:hideMark/>
          </w:tcPr>
          <w:p w14:paraId="4B023489"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Latn-RS" w:eastAsia="en-GB"/>
              </w:rPr>
              <w:t>891</w:t>
            </w:r>
          </w:p>
        </w:tc>
        <w:tc>
          <w:tcPr>
            <w:tcW w:w="1042" w:type="dxa"/>
            <w:tcBorders>
              <w:top w:val="nil"/>
              <w:left w:val="nil"/>
              <w:bottom w:val="single" w:sz="4" w:space="0" w:color="auto"/>
              <w:right w:val="single" w:sz="4" w:space="0" w:color="auto"/>
            </w:tcBorders>
            <w:noWrap/>
            <w:vAlign w:val="center"/>
            <w:hideMark/>
          </w:tcPr>
          <w:p w14:paraId="2EA6580B"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en-GB" w:eastAsia="en-GB"/>
              </w:rPr>
              <w:t>1096</w:t>
            </w:r>
          </w:p>
        </w:tc>
        <w:tc>
          <w:tcPr>
            <w:tcW w:w="932" w:type="dxa"/>
            <w:tcBorders>
              <w:top w:val="nil"/>
              <w:left w:val="nil"/>
              <w:bottom w:val="single" w:sz="4" w:space="0" w:color="auto"/>
              <w:right w:val="single" w:sz="4" w:space="0" w:color="auto"/>
            </w:tcBorders>
            <w:vAlign w:val="center"/>
          </w:tcPr>
          <w:p w14:paraId="3E8C6388" w14:textId="77777777" w:rsidR="00EC5D47" w:rsidRPr="003E55AB" w:rsidRDefault="00EC5D47" w:rsidP="00125B70">
            <w:pPr>
              <w:spacing w:after="0" w:line="240" w:lineRule="auto"/>
              <w:jc w:val="right"/>
              <w:rPr>
                <w:rFonts w:ascii="Times New Roman" w:hAnsi="Times New Roman" w:cs="Times New Roman"/>
                <w:bCs/>
                <w:sz w:val="24"/>
                <w:szCs w:val="24"/>
                <w:lang w:val="sr-Cyrl-RS" w:eastAsia="en-GB"/>
              </w:rPr>
            </w:pPr>
            <w:r w:rsidRPr="003E55AB">
              <w:rPr>
                <w:rFonts w:ascii="Times New Roman" w:hAnsi="Times New Roman" w:cs="Times New Roman"/>
                <w:bCs/>
                <w:sz w:val="24"/>
                <w:szCs w:val="24"/>
                <w:lang w:val="sr-Cyrl-RS" w:eastAsia="en-GB"/>
              </w:rPr>
              <w:t>982</w:t>
            </w:r>
          </w:p>
        </w:tc>
      </w:tr>
      <w:tr w:rsidR="00EC5D47" w:rsidRPr="00AD60B6" w14:paraId="50530668"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00B78988" w14:textId="77777777" w:rsidR="00EC5D47" w:rsidRPr="003E55AB" w:rsidRDefault="00EC5D47" w:rsidP="00125B70">
            <w:pPr>
              <w:spacing w:after="0" w:line="240" w:lineRule="auto"/>
              <w:ind w:firstLineChars="200" w:firstLine="480"/>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Смртне</w:t>
            </w:r>
          </w:p>
        </w:tc>
        <w:tc>
          <w:tcPr>
            <w:tcW w:w="932" w:type="dxa"/>
            <w:tcBorders>
              <w:top w:val="nil"/>
              <w:left w:val="nil"/>
              <w:bottom w:val="single" w:sz="4" w:space="0" w:color="auto"/>
              <w:right w:val="single" w:sz="4" w:space="0" w:color="auto"/>
            </w:tcBorders>
            <w:noWrap/>
            <w:vAlign w:val="center"/>
            <w:hideMark/>
          </w:tcPr>
          <w:p w14:paraId="1C23DBD5"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23</w:t>
            </w:r>
          </w:p>
        </w:tc>
        <w:tc>
          <w:tcPr>
            <w:tcW w:w="932" w:type="dxa"/>
            <w:tcBorders>
              <w:top w:val="nil"/>
              <w:left w:val="nil"/>
              <w:bottom w:val="single" w:sz="4" w:space="0" w:color="auto"/>
              <w:right w:val="single" w:sz="4" w:space="0" w:color="auto"/>
            </w:tcBorders>
            <w:noWrap/>
            <w:vAlign w:val="center"/>
            <w:hideMark/>
          </w:tcPr>
          <w:p w14:paraId="26B5416A"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24</w:t>
            </w:r>
          </w:p>
        </w:tc>
        <w:tc>
          <w:tcPr>
            <w:tcW w:w="932" w:type="dxa"/>
            <w:tcBorders>
              <w:top w:val="nil"/>
              <w:left w:val="nil"/>
              <w:bottom w:val="single" w:sz="4" w:space="0" w:color="auto"/>
              <w:right w:val="single" w:sz="4" w:space="0" w:color="auto"/>
            </w:tcBorders>
            <w:noWrap/>
            <w:vAlign w:val="center"/>
            <w:hideMark/>
          </w:tcPr>
          <w:p w14:paraId="129B45FB"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Latn-RS" w:eastAsia="en-GB"/>
              </w:rPr>
              <w:t>33</w:t>
            </w:r>
          </w:p>
        </w:tc>
        <w:tc>
          <w:tcPr>
            <w:tcW w:w="987" w:type="dxa"/>
            <w:tcBorders>
              <w:top w:val="nil"/>
              <w:left w:val="nil"/>
              <w:bottom w:val="single" w:sz="4" w:space="0" w:color="auto"/>
              <w:right w:val="single" w:sz="4" w:space="0" w:color="auto"/>
            </w:tcBorders>
            <w:noWrap/>
            <w:vAlign w:val="center"/>
            <w:hideMark/>
          </w:tcPr>
          <w:p w14:paraId="69D86E6F"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Latn-RS" w:eastAsia="en-GB"/>
              </w:rPr>
              <w:t>31</w:t>
            </w:r>
          </w:p>
        </w:tc>
        <w:tc>
          <w:tcPr>
            <w:tcW w:w="1042" w:type="dxa"/>
            <w:tcBorders>
              <w:top w:val="nil"/>
              <w:left w:val="nil"/>
              <w:bottom w:val="single" w:sz="4" w:space="0" w:color="auto"/>
              <w:right w:val="single" w:sz="4" w:space="0" w:color="auto"/>
            </w:tcBorders>
            <w:noWrap/>
            <w:vAlign w:val="center"/>
            <w:hideMark/>
          </w:tcPr>
          <w:p w14:paraId="2F117C05"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en-GB" w:eastAsia="en-GB"/>
              </w:rPr>
              <w:t>44</w:t>
            </w:r>
          </w:p>
        </w:tc>
        <w:tc>
          <w:tcPr>
            <w:tcW w:w="932" w:type="dxa"/>
            <w:tcBorders>
              <w:top w:val="nil"/>
              <w:left w:val="nil"/>
              <w:bottom w:val="single" w:sz="4" w:space="0" w:color="auto"/>
              <w:right w:val="single" w:sz="4" w:space="0" w:color="auto"/>
            </w:tcBorders>
            <w:vAlign w:val="center"/>
          </w:tcPr>
          <w:p w14:paraId="4CCF85F6" w14:textId="77777777" w:rsidR="00EC5D47" w:rsidRPr="003E55AB" w:rsidRDefault="00EC5D47" w:rsidP="00125B70">
            <w:pPr>
              <w:spacing w:after="0" w:line="240" w:lineRule="auto"/>
              <w:jc w:val="right"/>
              <w:rPr>
                <w:rFonts w:ascii="Times New Roman" w:hAnsi="Times New Roman" w:cs="Times New Roman"/>
                <w:bCs/>
                <w:sz w:val="24"/>
                <w:szCs w:val="24"/>
                <w:lang w:val="sr-Cyrl-RS" w:eastAsia="en-GB"/>
              </w:rPr>
            </w:pPr>
            <w:r w:rsidRPr="003E55AB">
              <w:rPr>
                <w:rFonts w:ascii="Times New Roman" w:hAnsi="Times New Roman" w:cs="Times New Roman"/>
                <w:bCs/>
                <w:sz w:val="24"/>
                <w:szCs w:val="24"/>
                <w:lang w:val="sr-Cyrl-RS" w:eastAsia="en-GB"/>
              </w:rPr>
              <w:t>26</w:t>
            </w:r>
          </w:p>
        </w:tc>
      </w:tr>
      <w:tr w:rsidR="00EC5D47" w:rsidRPr="00AD60B6" w14:paraId="7DE9FA8D"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1C29AE08" w14:textId="77777777" w:rsidR="00EC5D47" w:rsidRPr="003E55AB" w:rsidRDefault="00EC5D47" w:rsidP="00125B70">
            <w:pPr>
              <w:spacing w:after="0" w:line="240" w:lineRule="auto"/>
              <w:ind w:firstLineChars="200" w:firstLine="480"/>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Тешке са смртним исходом</w:t>
            </w:r>
          </w:p>
        </w:tc>
        <w:tc>
          <w:tcPr>
            <w:tcW w:w="932" w:type="dxa"/>
            <w:tcBorders>
              <w:top w:val="nil"/>
              <w:left w:val="nil"/>
              <w:bottom w:val="single" w:sz="4" w:space="0" w:color="auto"/>
              <w:right w:val="single" w:sz="4" w:space="0" w:color="auto"/>
            </w:tcBorders>
            <w:noWrap/>
            <w:vAlign w:val="center"/>
            <w:hideMark/>
          </w:tcPr>
          <w:p w14:paraId="0606321D"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16</w:t>
            </w:r>
          </w:p>
        </w:tc>
        <w:tc>
          <w:tcPr>
            <w:tcW w:w="932" w:type="dxa"/>
            <w:tcBorders>
              <w:top w:val="nil"/>
              <w:left w:val="nil"/>
              <w:bottom w:val="single" w:sz="4" w:space="0" w:color="auto"/>
              <w:right w:val="single" w:sz="4" w:space="0" w:color="auto"/>
            </w:tcBorders>
            <w:noWrap/>
            <w:vAlign w:val="center"/>
            <w:hideMark/>
          </w:tcPr>
          <w:p w14:paraId="36BD47C5"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Cyrl-BA" w:eastAsia="en-GB"/>
              </w:rPr>
              <w:t>29</w:t>
            </w:r>
          </w:p>
        </w:tc>
        <w:tc>
          <w:tcPr>
            <w:tcW w:w="932" w:type="dxa"/>
            <w:tcBorders>
              <w:top w:val="nil"/>
              <w:left w:val="nil"/>
              <w:bottom w:val="single" w:sz="4" w:space="0" w:color="auto"/>
              <w:right w:val="single" w:sz="4" w:space="0" w:color="auto"/>
            </w:tcBorders>
            <w:noWrap/>
            <w:vAlign w:val="center"/>
            <w:hideMark/>
          </w:tcPr>
          <w:p w14:paraId="1677241D"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Latn-RS" w:eastAsia="en-GB"/>
              </w:rPr>
              <w:t>16</w:t>
            </w:r>
          </w:p>
        </w:tc>
        <w:tc>
          <w:tcPr>
            <w:tcW w:w="987" w:type="dxa"/>
            <w:tcBorders>
              <w:top w:val="nil"/>
              <w:left w:val="nil"/>
              <w:bottom w:val="single" w:sz="4" w:space="0" w:color="auto"/>
              <w:right w:val="single" w:sz="4" w:space="0" w:color="auto"/>
            </w:tcBorders>
            <w:noWrap/>
            <w:vAlign w:val="center"/>
            <w:hideMark/>
          </w:tcPr>
          <w:p w14:paraId="73B13450"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sr-Latn-RS" w:eastAsia="en-GB"/>
              </w:rPr>
              <w:t>12</w:t>
            </w:r>
          </w:p>
        </w:tc>
        <w:tc>
          <w:tcPr>
            <w:tcW w:w="1042" w:type="dxa"/>
            <w:tcBorders>
              <w:top w:val="nil"/>
              <w:left w:val="nil"/>
              <w:bottom w:val="single" w:sz="4" w:space="0" w:color="auto"/>
              <w:right w:val="single" w:sz="4" w:space="0" w:color="auto"/>
            </w:tcBorders>
            <w:noWrap/>
            <w:vAlign w:val="center"/>
            <w:hideMark/>
          </w:tcPr>
          <w:p w14:paraId="7030E1B6" w14:textId="77777777" w:rsidR="00EC5D47" w:rsidRPr="003E55AB" w:rsidRDefault="00EC5D47" w:rsidP="00125B70">
            <w:pPr>
              <w:spacing w:after="0" w:line="240" w:lineRule="auto"/>
              <w:jc w:val="right"/>
              <w:rPr>
                <w:rFonts w:ascii="Times New Roman" w:hAnsi="Times New Roman" w:cs="Times New Roman"/>
                <w:bCs/>
                <w:sz w:val="24"/>
                <w:szCs w:val="24"/>
                <w:lang w:val="en-GB" w:eastAsia="en-GB"/>
              </w:rPr>
            </w:pPr>
            <w:r w:rsidRPr="003E55AB">
              <w:rPr>
                <w:rFonts w:ascii="Times New Roman" w:hAnsi="Times New Roman" w:cs="Times New Roman"/>
                <w:bCs/>
                <w:sz w:val="24"/>
                <w:szCs w:val="24"/>
                <w:lang w:val="en-GB" w:eastAsia="en-GB"/>
              </w:rPr>
              <w:t>17</w:t>
            </w:r>
          </w:p>
        </w:tc>
        <w:tc>
          <w:tcPr>
            <w:tcW w:w="932" w:type="dxa"/>
            <w:tcBorders>
              <w:top w:val="nil"/>
              <w:left w:val="nil"/>
              <w:bottom w:val="single" w:sz="4" w:space="0" w:color="auto"/>
              <w:right w:val="single" w:sz="4" w:space="0" w:color="auto"/>
            </w:tcBorders>
            <w:vAlign w:val="center"/>
          </w:tcPr>
          <w:p w14:paraId="1E4FFEAD" w14:textId="77777777" w:rsidR="00EC5D47" w:rsidRPr="003E55AB" w:rsidRDefault="00EC5D47" w:rsidP="00125B70">
            <w:pPr>
              <w:spacing w:after="0" w:line="240" w:lineRule="auto"/>
              <w:jc w:val="right"/>
              <w:rPr>
                <w:rFonts w:ascii="Times New Roman" w:hAnsi="Times New Roman" w:cs="Times New Roman"/>
                <w:bCs/>
                <w:sz w:val="24"/>
                <w:szCs w:val="24"/>
                <w:lang w:val="sr-Cyrl-RS" w:eastAsia="en-GB"/>
              </w:rPr>
            </w:pPr>
            <w:r w:rsidRPr="003E55AB">
              <w:rPr>
                <w:rFonts w:ascii="Times New Roman" w:hAnsi="Times New Roman" w:cs="Times New Roman"/>
                <w:bCs/>
                <w:sz w:val="24"/>
                <w:szCs w:val="24"/>
                <w:lang w:val="sr-Cyrl-RS" w:eastAsia="en-GB"/>
              </w:rPr>
              <w:t>21</w:t>
            </w:r>
          </w:p>
        </w:tc>
      </w:tr>
      <w:tr w:rsidR="00EC5D47" w:rsidRPr="00AD60B6" w14:paraId="4A500409"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143DECE9" w14:textId="77777777" w:rsidR="00EC5D47" w:rsidRPr="00AD60B6" w:rsidRDefault="00EC5D47" w:rsidP="00125B70">
            <w:pPr>
              <w:spacing w:after="0" w:line="240" w:lineRule="auto"/>
              <w:ind w:firstLineChars="200" w:firstLine="480"/>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Тешке</w:t>
            </w:r>
          </w:p>
        </w:tc>
        <w:tc>
          <w:tcPr>
            <w:tcW w:w="932" w:type="dxa"/>
            <w:tcBorders>
              <w:top w:val="nil"/>
              <w:left w:val="nil"/>
              <w:bottom w:val="single" w:sz="4" w:space="0" w:color="auto"/>
              <w:right w:val="single" w:sz="4" w:space="0" w:color="auto"/>
            </w:tcBorders>
            <w:noWrap/>
            <w:vAlign w:val="center"/>
            <w:hideMark/>
          </w:tcPr>
          <w:p w14:paraId="26B65986"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817</w:t>
            </w:r>
          </w:p>
        </w:tc>
        <w:tc>
          <w:tcPr>
            <w:tcW w:w="932" w:type="dxa"/>
            <w:tcBorders>
              <w:top w:val="nil"/>
              <w:left w:val="nil"/>
              <w:bottom w:val="single" w:sz="4" w:space="0" w:color="auto"/>
              <w:right w:val="single" w:sz="4" w:space="0" w:color="auto"/>
            </w:tcBorders>
            <w:noWrap/>
            <w:vAlign w:val="center"/>
            <w:hideMark/>
          </w:tcPr>
          <w:p w14:paraId="3C9529F8"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779</w:t>
            </w:r>
          </w:p>
        </w:tc>
        <w:tc>
          <w:tcPr>
            <w:tcW w:w="932" w:type="dxa"/>
            <w:tcBorders>
              <w:top w:val="nil"/>
              <w:left w:val="nil"/>
              <w:bottom w:val="single" w:sz="4" w:space="0" w:color="auto"/>
              <w:right w:val="single" w:sz="4" w:space="0" w:color="auto"/>
            </w:tcBorders>
            <w:noWrap/>
            <w:vAlign w:val="center"/>
            <w:hideMark/>
          </w:tcPr>
          <w:p w14:paraId="4177E317"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Latn-RS" w:eastAsia="en-GB"/>
              </w:rPr>
              <w:t>819</w:t>
            </w:r>
          </w:p>
        </w:tc>
        <w:tc>
          <w:tcPr>
            <w:tcW w:w="987" w:type="dxa"/>
            <w:tcBorders>
              <w:top w:val="nil"/>
              <w:left w:val="nil"/>
              <w:bottom w:val="single" w:sz="4" w:space="0" w:color="auto"/>
              <w:right w:val="single" w:sz="4" w:space="0" w:color="auto"/>
            </w:tcBorders>
            <w:noWrap/>
            <w:vAlign w:val="center"/>
            <w:hideMark/>
          </w:tcPr>
          <w:p w14:paraId="2F4FB496"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Latn-RS" w:eastAsia="en-GB"/>
              </w:rPr>
              <w:t>798</w:t>
            </w:r>
          </w:p>
        </w:tc>
        <w:tc>
          <w:tcPr>
            <w:tcW w:w="1042" w:type="dxa"/>
            <w:tcBorders>
              <w:top w:val="nil"/>
              <w:left w:val="nil"/>
              <w:bottom w:val="single" w:sz="4" w:space="0" w:color="auto"/>
              <w:right w:val="single" w:sz="4" w:space="0" w:color="auto"/>
            </w:tcBorders>
            <w:noWrap/>
            <w:vAlign w:val="center"/>
            <w:hideMark/>
          </w:tcPr>
          <w:p w14:paraId="1FCFA00F"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957</w:t>
            </w:r>
          </w:p>
        </w:tc>
        <w:tc>
          <w:tcPr>
            <w:tcW w:w="932" w:type="dxa"/>
            <w:tcBorders>
              <w:top w:val="nil"/>
              <w:left w:val="nil"/>
              <w:bottom w:val="single" w:sz="4" w:space="0" w:color="auto"/>
              <w:right w:val="single" w:sz="4" w:space="0" w:color="auto"/>
            </w:tcBorders>
            <w:vAlign w:val="center"/>
          </w:tcPr>
          <w:p w14:paraId="7B3C1073"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1029</w:t>
            </w:r>
          </w:p>
        </w:tc>
      </w:tr>
      <w:tr w:rsidR="00EC5D47" w:rsidRPr="00AD60B6" w14:paraId="7EFA7300" w14:textId="77777777" w:rsidTr="003E55AB">
        <w:trPr>
          <w:trHeight w:val="315"/>
          <w:jc w:val="center"/>
        </w:trPr>
        <w:tc>
          <w:tcPr>
            <w:tcW w:w="0" w:type="auto"/>
            <w:tcBorders>
              <w:top w:val="nil"/>
              <w:left w:val="single" w:sz="4" w:space="0" w:color="auto"/>
              <w:bottom w:val="single" w:sz="4" w:space="0" w:color="auto"/>
              <w:right w:val="single" w:sz="4" w:space="0" w:color="auto"/>
            </w:tcBorders>
            <w:vAlign w:val="center"/>
            <w:hideMark/>
          </w:tcPr>
          <w:p w14:paraId="7AB7BBA3" w14:textId="77777777" w:rsidR="00EC5D47" w:rsidRPr="00AD60B6" w:rsidRDefault="00EC5D47" w:rsidP="00125B70">
            <w:pPr>
              <w:spacing w:after="0" w:line="240" w:lineRule="auto"/>
              <w:ind w:firstLineChars="200" w:firstLine="480"/>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Колективне</w:t>
            </w:r>
          </w:p>
        </w:tc>
        <w:tc>
          <w:tcPr>
            <w:tcW w:w="932" w:type="dxa"/>
            <w:tcBorders>
              <w:top w:val="nil"/>
              <w:left w:val="nil"/>
              <w:bottom w:val="single" w:sz="4" w:space="0" w:color="auto"/>
              <w:right w:val="single" w:sz="4" w:space="0" w:color="auto"/>
            </w:tcBorders>
            <w:noWrap/>
            <w:vAlign w:val="center"/>
            <w:hideMark/>
          </w:tcPr>
          <w:p w14:paraId="75A64B68"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14</w:t>
            </w:r>
          </w:p>
        </w:tc>
        <w:tc>
          <w:tcPr>
            <w:tcW w:w="932" w:type="dxa"/>
            <w:tcBorders>
              <w:top w:val="nil"/>
              <w:left w:val="nil"/>
              <w:bottom w:val="single" w:sz="4" w:space="0" w:color="auto"/>
              <w:right w:val="single" w:sz="4" w:space="0" w:color="auto"/>
            </w:tcBorders>
            <w:noWrap/>
            <w:vAlign w:val="center"/>
            <w:hideMark/>
          </w:tcPr>
          <w:p w14:paraId="07A7C3E7"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15</w:t>
            </w:r>
          </w:p>
        </w:tc>
        <w:tc>
          <w:tcPr>
            <w:tcW w:w="932" w:type="dxa"/>
            <w:tcBorders>
              <w:top w:val="nil"/>
              <w:left w:val="nil"/>
              <w:bottom w:val="single" w:sz="4" w:space="0" w:color="auto"/>
              <w:right w:val="single" w:sz="4" w:space="0" w:color="auto"/>
            </w:tcBorders>
            <w:noWrap/>
            <w:vAlign w:val="center"/>
            <w:hideMark/>
          </w:tcPr>
          <w:p w14:paraId="4A1336C8"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Latn-RS" w:eastAsia="en-GB"/>
              </w:rPr>
              <w:t>23</w:t>
            </w:r>
          </w:p>
        </w:tc>
        <w:tc>
          <w:tcPr>
            <w:tcW w:w="987" w:type="dxa"/>
            <w:tcBorders>
              <w:top w:val="nil"/>
              <w:left w:val="nil"/>
              <w:bottom w:val="single" w:sz="4" w:space="0" w:color="auto"/>
              <w:right w:val="single" w:sz="4" w:space="0" w:color="auto"/>
            </w:tcBorders>
            <w:noWrap/>
            <w:vAlign w:val="center"/>
            <w:hideMark/>
          </w:tcPr>
          <w:p w14:paraId="5E296388"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Latn-RS" w:eastAsia="en-GB"/>
              </w:rPr>
              <w:t>15</w:t>
            </w:r>
          </w:p>
        </w:tc>
        <w:tc>
          <w:tcPr>
            <w:tcW w:w="1042" w:type="dxa"/>
            <w:tcBorders>
              <w:top w:val="nil"/>
              <w:left w:val="nil"/>
              <w:bottom w:val="single" w:sz="4" w:space="0" w:color="auto"/>
              <w:right w:val="single" w:sz="4" w:space="0" w:color="auto"/>
            </w:tcBorders>
            <w:noWrap/>
            <w:vAlign w:val="center"/>
            <w:hideMark/>
          </w:tcPr>
          <w:p w14:paraId="74DC402E"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19</w:t>
            </w:r>
          </w:p>
        </w:tc>
        <w:tc>
          <w:tcPr>
            <w:tcW w:w="932" w:type="dxa"/>
            <w:tcBorders>
              <w:top w:val="nil"/>
              <w:left w:val="nil"/>
              <w:bottom w:val="single" w:sz="4" w:space="0" w:color="auto"/>
              <w:right w:val="single" w:sz="4" w:space="0" w:color="auto"/>
            </w:tcBorders>
            <w:vAlign w:val="center"/>
          </w:tcPr>
          <w:p w14:paraId="40971481"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16</w:t>
            </w:r>
          </w:p>
        </w:tc>
      </w:tr>
      <w:tr w:rsidR="00EC5D47" w:rsidRPr="00AD60B6" w14:paraId="5CF6DB8F"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691AB48B" w14:textId="77777777" w:rsidR="00EC5D47" w:rsidRPr="00AD60B6" w:rsidRDefault="00EC5D47" w:rsidP="00125B70">
            <w:pPr>
              <w:spacing w:after="0" w:line="240" w:lineRule="auto"/>
              <w:ind w:firstLineChars="200" w:firstLine="480"/>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Лаке</w:t>
            </w:r>
          </w:p>
        </w:tc>
        <w:tc>
          <w:tcPr>
            <w:tcW w:w="932" w:type="dxa"/>
            <w:tcBorders>
              <w:top w:val="nil"/>
              <w:left w:val="nil"/>
              <w:bottom w:val="single" w:sz="4" w:space="0" w:color="auto"/>
              <w:right w:val="single" w:sz="4" w:space="0" w:color="auto"/>
            </w:tcBorders>
            <w:noWrap/>
            <w:vAlign w:val="center"/>
            <w:hideMark/>
          </w:tcPr>
          <w:p w14:paraId="408D27EA"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49</w:t>
            </w:r>
          </w:p>
        </w:tc>
        <w:tc>
          <w:tcPr>
            <w:tcW w:w="932" w:type="dxa"/>
            <w:tcBorders>
              <w:top w:val="nil"/>
              <w:left w:val="nil"/>
              <w:bottom w:val="single" w:sz="4" w:space="0" w:color="auto"/>
              <w:right w:val="single" w:sz="4" w:space="0" w:color="auto"/>
            </w:tcBorders>
            <w:noWrap/>
            <w:vAlign w:val="center"/>
            <w:hideMark/>
          </w:tcPr>
          <w:p w14:paraId="024119AC"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61</w:t>
            </w:r>
          </w:p>
        </w:tc>
        <w:tc>
          <w:tcPr>
            <w:tcW w:w="932" w:type="dxa"/>
            <w:tcBorders>
              <w:top w:val="nil"/>
              <w:left w:val="nil"/>
              <w:bottom w:val="single" w:sz="4" w:space="0" w:color="auto"/>
              <w:right w:val="single" w:sz="4" w:space="0" w:color="auto"/>
            </w:tcBorders>
            <w:noWrap/>
            <w:vAlign w:val="center"/>
            <w:hideMark/>
          </w:tcPr>
          <w:p w14:paraId="168290E9"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Latn-RS" w:eastAsia="en-GB"/>
              </w:rPr>
              <w:t>93</w:t>
            </w:r>
          </w:p>
        </w:tc>
        <w:tc>
          <w:tcPr>
            <w:tcW w:w="987" w:type="dxa"/>
            <w:tcBorders>
              <w:top w:val="nil"/>
              <w:left w:val="nil"/>
              <w:bottom w:val="single" w:sz="4" w:space="0" w:color="auto"/>
              <w:right w:val="single" w:sz="4" w:space="0" w:color="auto"/>
            </w:tcBorders>
            <w:noWrap/>
            <w:vAlign w:val="center"/>
            <w:hideMark/>
          </w:tcPr>
          <w:p w14:paraId="29FE01AE"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Latn-RS" w:eastAsia="en-GB"/>
              </w:rPr>
              <w:t>35</w:t>
            </w:r>
          </w:p>
        </w:tc>
        <w:tc>
          <w:tcPr>
            <w:tcW w:w="1042" w:type="dxa"/>
            <w:tcBorders>
              <w:top w:val="nil"/>
              <w:left w:val="nil"/>
              <w:bottom w:val="single" w:sz="4" w:space="0" w:color="auto"/>
              <w:right w:val="single" w:sz="4" w:space="0" w:color="auto"/>
            </w:tcBorders>
            <w:noWrap/>
            <w:vAlign w:val="center"/>
            <w:hideMark/>
          </w:tcPr>
          <w:p w14:paraId="10934230"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59</w:t>
            </w:r>
          </w:p>
        </w:tc>
        <w:tc>
          <w:tcPr>
            <w:tcW w:w="932" w:type="dxa"/>
            <w:tcBorders>
              <w:top w:val="nil"/>
              <w:left w:val="nil"/>
              <w:bottom w:val="single" w:sz="4" w:space="0" w:color="auto"/>
              <w:right w:val="single" w:sz="4" w:space="0" w:color="auto"/>
            </w:tcBorders>
            <w:vAlign w:val="center"/>
          </w:tcPr>
          <w:p w14:paraId="7C5ED3F8"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75</w:t>
            </w:r>
          </w:p>
        </w:tc>
      </w:tr>
      <w:tr w:rsidR="00EC5D47" w:rsidRPr="00AD60B6" w14:paraId="27053F58" w14:textId="77777777" w:rsidTr="003E55AB">
        <w:trPr>
          <w:trHeight w:val="300"/>
          <w:jc w:val="center"/>
        </w:trPr>
        <w:tc>
          <w:tcPr>
            <w:tcW w:w="0" w:type="auto"/>
            <w:tcBorders>
              <w:top w:val="nil"/>
              <w:left w:val="single" w:sz="4" w:space="0" w:color="auto"/>
              <w:bottom w:val="single" w:sz="4" w:space="0" w:color="auto"/>
              <w:right w:val="single" w:sz="4" w:space="0" w:color="auto"/>
            </w:tcBorders>
            <w:shd w:val="clear" w:color="000000" w:fill="C0C0C0"/>
            <w:vAlign w:val="center"/>
            <w:hideMark/>
          </w:tcPr>
          <w:p w14:paraId="0551F091"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Број запослених обухваћених инспекцијским надзором у области БЗР</w:t>
            </w:r>
          </w:p>
        </w:tc>
        <w:tc>
          <w:tcPr>
            <w:tcW w:w="932" w:type="dxa"/>
            <w:tcBorders>
              <w:top w:val="nil"/>
              <w:left w:val="nil"/>
              <w:bottom w:val="single" w:sz="4" w:space="0" w:color="auto"/>
              <w:right w:val="single" w:sz="4" w:space="0" w:color="auto"/>
            </w:tcBorders>
            <w:shd w:val="clear" w:color="000000" w:fill="C0C0C0"/>
            <w:noWrap/>
            <w:vAlign w:val="center"/>
            <w:hideMark/>
          </w:tcPr>
          <w:p w14:paraId="3386A891" w14:textId="6DF48C1E" w:rsidR="00EC5D47" w:rsidRPr="00AD60B6" w:rsidRDefault="00EC5D47" w:rsidP="003E55AB">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164724</w:t>
            </w:r>
          </w:p>
        </w:tc>
        <w:tc>
          <w:tcPr>
            <w:tcW w:w="932" w:type="dxa"/>
            <w:tcBorders>
              <w:top w:val="nil"/>
              <w:left w:val="nil"/>
              <w:bottom w:val="single" w:sz="4" w:space="0" w:color="auto"/>
              <w:right w:val="single" w:sz="4" w:space="0" w:color="auto"/>
            </w:tcBorders>
            <w:shd w:val="clear" w:color="000000" w:fill="C0C0C0"/>
            <w:noWrap/>
            <w:vAlign w:val="center"/>
            <w:hideMark/>
          </w:tcPr>
          <w:p w14:paraId="4FFD9DDD" w14:textId="307605F7" w:rsidR="00EC5D47" w:rsidRPr="00AD60B6" w:rsidRDefault="00EC5D47" w:rsidP="003E55AB">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304256</w:t>
            </w:r>
          </w:p>
        </w:tc>
        <w:tc>
          <w:tcPr>
            <w:tcW w:w="932" w:type="dxa"/>
            <w:tcBorders>
              <w:top w:val="nil"/>
              <w:left w:val="nil"/>
              <w:bottom w:val="single" w:sz="4" w:space="0" w:color="auto"/>
              <w:right w:val="single" w:sz="4" w:space="0" w:color="auto"/>
            </w:tcBorders>
            <w:shd w:val="clear" w:color="000000" w:fill="C0C0C0"/>
            <w:noWrap/>
            <w:vAlign w:val="center"/>
            <w:hideMark/>
          </w:tcPr>
          <w:p w14:paraId="4F9E034C" w14:textId="7109E88D" w:rsidR="00EC5D47" w:rsidRPr="00AD60B6" w:rsidRDefault="003E55AB" w:rsidP="003E55AB">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197</w:t>
            </w:r>
            <w:r w:rsidR="00EC5D47" w:rsidRPr="00AD60B6">
              <w:rPr>
                <w:rFonts w:ascii="Times New Roman" w:hAnsi="Times New Roman" w:cs="Times New Roman"/>
                <w:bCs/>
                <w:sz w:val="24"/>
                <w:szCs w:val="24"/>
                <w:lang w:val="en-GB" w:eastAsia="en-GB"/>
              </w:rPr>
              <w:t>574</w:t>
            </w:r>
          </w:p>
        </w:tc>
        <w:tc>
          <w:tcPr>
            <w:tcW w:w="987" w:type="dxa"/>
            <w:tcBorders>
              <w:top w:val="nil"/>
              <w:left w:val="nil"/>
              <w:bottom w:val="single" w:sz="4" w:space="0" w:color="auto"/>
              <w:right w:val="single" w:sz="4" w:space="0" w:color="auto"/>
            </w:tcBorders>
            <w:shd w:val="clear" w:color="000000" w:fill="C0C0C0"/>
            <w:noWrap/>
            <w:vAlign w:val="center"/>
            <w:hideMark/>
          </w:tcPr>
          <w:p w14:paraId="7BF1568B" w14:textId="3D68831A" w:rsidR="00EC5D47" w:rsidRPr="00AD60B6" w:rsidRDefault="003E55AB" w:rsidP="003E55AB">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214</w:t>
            </w:r>
            <w:r w:rsidR="00EC5D47" w:rsidRPr="00AD60B6">
              <w:rPr>
                <w:rFonts w:ascii="Times New Roman" w:hAnsi="Times New Roman" w:cs="Times New Roman"/>
                <w:bCs/>
                <w:sz w:val="24"/>
                <w:szCs w:val="24"/>
                <w:lang w:val="en-GB" w:eastAsia="en-GB"/>
              </w:rPr>
              <w:t>293 </w:t>
            </w:r>
          </w:p>
        </w:tc>
        <w:tc>
          <w:tcPr>
            <w:tcW w:w="1042" w:type="dxa"/>
            <w:tcBorders>
              <w:top w:val="nil"/>
              <w:left w:val="nil"/>
              <w:bottom w:val="single" w:sz="4" w:space="0" w:color="auto"/>
              <w:right w:val="single" w:sz="4" w:space="0" w:color="auto"/>
            </w:tcBorders>
            <w:shd w:val="clear" w:color="000000" w:fill="C0C0C0"/>
            <w:noWrap/>
            <w:vAlign w:val="center"/>
            <w:hideMark/>
          </w:tcPr>
          <w:p w14:paraId="74920DD3" w14:textId="2651F1F0" w:rsidR="00EC5D47" w:rsidRPr="00AD60B6" w:rsidRDefault="003E55AB" w:rsidP="003E55AB">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222</w:t>
            </w:r>
            <w:r w:rsidR="00EC5D47" w:rsidRPr="00AD60B6">
              <w:rPr>
                <w:rFonts w:ascii="Times New Roman" w:hAnsi="Times New Roman" w:cs="Times New Roman"/>
                <w:bCs/>
                <w:sz w:val="24"/>
                <w:szCs w:val="24"/>
                <w:lang w:val="en-GB" w:eastAsia="en-GB"/>
              </w:rPr>
              <w:t>930  </w:t>
            </w:r>
          </w:p>
        </w:tc>
        <w:tc>
          <w:tcPr>
            <w:tcW w:w="932" w:type="dxa"/>
            <w:tcBorders>
              <w:top w:val="nil"/>
              <w:left w:val="nil"/>
              <w:bottom w:val="single" w:sz="4" w:space="0" w:color="auto"/>
              <w:right w:val="single" w:sz="4" w:space="0" w:color="auto"/>
            </w:tcBorders>
            <w:shd w:val="clear" w:color="000000" w:fill="C0C0C0"/>
          </w:tcPr>
          <w:p w14:paraId="3797C90C" w14:textId="77777777" w:rsidR="003E55AB" w:rsidRDefault="003E55AB" w:rsidP="003E55AB">
            <w:pPr>
              <w:spacing w:after="0" w:line="240" w:lineRule="auto"/>
              <w:rPr>
                <w:rFonts w:ascii="Times New Roman" w:hAnsi="Times New Roman" w:cs="Times New Roman"/>
                <w:bCs/>
                <w:sz w:val="24"/>
                <w:szCs w:val="24"/>
                <w:lang w:val="sr-Cyrl-RS" w:eastAsia="en-GB"/>
              </w:rPr>
            </w:pPr>
            <w:r>
              <w:rPr>
                <w:rFonts w:ascii="Times New Roman" w:hAnsi="Times New Roman" w:cs="Times New Roman"/>
                <w:bCs/>
                <w:sz w:val="24"/>
                <w:szCs w:val="24"/>
                <w:lang w:val="sr-Cyrl-RS" w:eastAsia="en-GB"/>
              </w:rPr>
              <w:t xml:space="preserve">    </w:t>
            </w:r>
          </w:p>
          <w:p w14:paraId="22295742" w14:textId="6CC3D4B7" w:rsidR="00EC5D47" w:rsidRPr="00AD60B6" w:rsidRDefault="00EC5D47" w:rsidP="003E55AB">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2</w:t>
            </w:r>
            <w:r w:rsidR="003E55AB">
              <w:rPr>
                <w:rFonts w:ascii="Times New Roman" w:hAnsi="Times New Roman" w:cs="Times New Roman"/>
                <w:bCs/>
                <w:sz w:val="24"/>
                <w:szCs w:val="24"/>
                <w:lang w:val="en-GB" w:eastAsia="en-GB"/>
              </w:rPr>
              <w:t>39</w:t>
            </w:r>
            <w:r w:rsidRPr="00AD60B6">
              <w:rPr>
                <w:rFonts w:ascii="Times New Roman" w:hAnsi="Times New Roman" w:cs="Times New Roman"/>
                <w:bCs/>
                <w:sz w:val="24"/>
                <w:szCs w:val="24"/>
                <w:lang w:val="en-GB" w:eastAsia="en-GB"/>
              </w:rPr>
              <w:t>978</w:t>
            </w:r>
          </w:p>
        </w:tc>
      </w:tr>
      <w:tr w:rsidR="00EC5D47" w:rsidRPr="00AD60B6" w14:paraId="2C2C9863"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0F5BC792"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Број лица затечених на фактичком раду</w:t>
            </w:r>
          </w:p>
        </w:tc>
        <w:tc>
          <w:tcPr>
            <w:tcW w:w="932" w:type="dxa"/>
            <w:tcBorders>
              <w:top w:val="nil"/>
              <w:left w:val="nil"/>
              <w:bottom w:val="single" w:sz="4" w:space="0" w:color="auto"/>
              <w:right w:val="single" w:sz="4" w:space="0" w:color="auto"/>
            </w:tcBorders>
            <w:noWrap/>
            <w:vAlign w:val="center"/>
            <w:hideMark/>
          </w:tcPr>
          <w:p w14:paraId="4F03F325" w14:textId="0E2820AE" w:rsidR="00EC5D47" w:rsidRPr="00AD60B6" w:rsidRDefault="003E55AB" w:rsidP="00125B70">
            <w:pPr>
              <w:spacing w:after="0" w:line="240" w:lineRule="auto"/>
              <w:jc w:val="right"/>
              <w:rPr>
                <w:rFonts w:ascii="Times New Roman" w:hAnsi="Times New Roman" w:cs="Times New Roman"/>
                <w:bCs/>
                <w:strike/>
                <w:sz w:val="24"/>
                <w:szCs w:val="24"/>
                <w:lang w:val="en-GB" w:eastAsia="en-GB"/>
              </w:rPr>
            </w:pPr>
            <w:r>
              <w:rPr>
                <w:rFonts w:ascii="Times New Roman" w:hAnsi="Times New Roman" w:cs="Times New Roman"/>
                <w:bCs/>
                <w:sz w:val="24"/>
                <w:szCs w:val="24"/>
                <w:lang w:val="sr-Latn-RS" w:eastAsia="en-GB"/>
              </w:rPr>
              <w:t>22</w:t>
            </w:r>
            <w:r w:rsidR="00EC5D47" w:rsidRPr="00AD60B6">
              <w:rPr>
                <w:rFonts w:ascii="Times New Roman" w:hAnsi="Times New Roman" w:cs="Times New Roman"/>
                <w:bCs/>
                <w:sz w:val="24"/>
                <w:szCs w:val="24"/>
                <w:lang w:val="sr-Latn-RS" w:eastAsia="en-GB"/>
              </w:rPr>
              <w:t>411</w:t>
            </w:r>
          </w:p>
        </w:tc>
        <w:tc>
          <w:tcPr>
            <w:tcW w:w="932" w:type="dxa"/>
            <w:tcBorders>
              <w:top w:val="nil"/>
              <w:left w:val="nil"/>
              <w:bottom w:val="single" w:sz="4" w:space="0" w:color="auto"/>
              <w:right w:val="single" w:sz="4" w:space="0" w:color="auto"/>
            </w:tcBorders>
            <w:noWrap/>
            <w:vAlign w:val="center"/>
            <w:hideMark/>
          </w:tcPr>
          <w:p w14:paraId="6593BABD" w14:textId="7DB70548" w:rsidR="00EC5D47" w:rsidRPr="00AD60B6" w:rsidRDefault="003E55AB" w:rsidP="00125B70">
            <w:pPr>
              <w:spacing w:after="0" w:line="240" w:lineRule="auto"/>
              <w:jc w:val="right"/>
              <w:rPr>
                <w:rFonts w:ascii="Times New Roman" w:hAnsi="Times New Roman" w:cs="Times New Roman"/>
                <w:bCs/>
                <w:strike/>
                <w:sz w:val="24"/>
                <w:szCs w:val="24"/>
                <w:lang w:val="en-GB" w:eastAsia="en-GB"/>
              </w:rPr>
            </w:pPr>
            <w:r>
              <w:rPr>
                <w:rFonts w:ascii="Times New Roman" w:hAnsi="Times New Roman" w:cs="Times New Roman"/>
                <w:bCs/>
                <w:sz w:val="24"/>
                <w:szCs w:val="24"/>
                <w:lang w:val="sr-Latn-RS" w:eastAsia="en-GB"/>
              </w:rPr>
              <w:t>13</w:t>
            </w:r>
            <w:r w:rsidR="00EC5D47" w:rsidRPr="00AD60B6">
              <w:rPr>
                <w:rFonts w:ascii="Times New Roman" w:hAnsi="Times New Roman" w:cs="Times New Roman"/>
                <w:bCs/>
                <w:sz w:val="24"/>
                <w:szCs w:val="24"/>
                <w:lang w:val="sr-Latn-RS" w:eastAsia="en-GB"/>
              </w:rPr>
              <w:t>869</w:t>
            </w:r>
          </w:p>
        </w:tc>
        <w:tc>
          <w:tcPr>
            <w:tcW w:w="932" w:type="dxa"/>
            <w:tcBorders>
              <w:top w:val="nil"/>
              <w:left w:val="nil"/>
              <w:bottom w:val="single" w:sz="4" w:space="0" w:color="auto"/>
              <w:right w:val="single" w:sz="4" w:space="0" w:color="auto"/>
            </w:tcBorders>
            <w:noWrap/>
            <w:vAlign w:val="center"/>
            <w:hideMark/>
          </w:tcPr>
          <w:p w14:paraId="6F6FDEDE" w14:textId="4F7B6CBE"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12</w:t>
            </w:r>
            <w:r w:rsidR="00EC5D47" w:rsidRPr="00AD60B6">
              <w:rPr>
                <w:rFonts w:ascii="Times New Roman" w:hAnsi="Times New Roman" w:cs="Times New Roman"/>
                <w:bCs/>
                <w:sz w:val="24"/>
                <w:szCs w:val="24"/>
                <w:lang w:val="en-GB" w:eastAsia="en-GB"/>
              </w:rPr>
              <w:t>938 </w:t>
            </w:r>
          </w:p>
        </w:tc>
        <w:tc>
          <w:tcPr>
            <w:tcW w:w="987" w:type="dxa"/>
            <w:tcBorders>
              <w:top w:val="nil"/>
              <w:left w:val="nil"/>
              <w:bottom w:val="single" w:sz="4" w:space="0" w:color="auto"/>
              <w:right w:val="single" w:sz="4" w:space="0" w:color="auto"/>
            </w:tcBorders>
            <w:noWrap/>
            <w:vAlign w:val="center"/>
            <w:hideMark/>
          </w:tcPr>
          <w:p w14:paraId="31C5CE4E" w14:textId="567D68A3"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5</w:t>
            </w:r>
            <w:r w:rsidR="00EC5D47" w:rsidRPr="00AD60B6">
              <w:rPr>
                <w:rFonts w:ascii="Times New Roman" w:hAnsi="Times New Roman" w:cs="Times New Roman"/>
                <w:bCs/>
                <w:sz w:val="24"/>
                <w:szCs w:val="24"/>
                <w:lang w:val="en-GB" w:eastAsia="en-GB"/>
              </w:rPr>
              <w:t>951 </w:t>
            </w:r>
          </w:p>
        </w:tc>
        <w:tc>
          <w:tcPr>
            <w:tcW w:w="1042" w:type="dxa"/>
            <w:tcBorders>
              <w:top w:val="nil"/>
              <w:left w:val="nil"/>
              <w:bottom w:val="single" w:sz="4" w:space="0" w:color="auto"/>
              <w:right w:val="single" w:sz="4" w:space="0" w:color="auto"/>
            </w:tcBorders>
            <w:noWrap/>
            <w:vAlign w:val="center"/>
            <w:hideMark/>
          </w:tcPr>
          <w:p w14:paraId="0C88504B" w14:textId="662ED192"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5</w:t>
            </w:r>
            <w:r w:rsidR="00EC5D47" w:rsidRPr="00AD60B6">
              <w:rPr>
                <w:rFonts w:ascii="Times New Roman" w:hAnsi="Times New Roman" w:cs="Times New Roman"/>
                <w:bCs/>
                <w:sz w:val="24"/>
                <w:szCs w:val="24"/>
                <w:lang w:val="en-GB" w:eastAsia="en-GB"/>
              </w:rPr>
              <w:t>261 </w:t>
            </w:r>
          </w:p>
        </w:tc>
        <w:tc>
          <w:tcPr>
            <w:tcW w:w="932" w:type="dxa"/>
            <w:tcBorders>
              <w:top w:val="nil"/>
              <w:left w:val="nil"/>
              <w:bottom w:val="single" w:sz="4" w:space="0" w:color="auto"/>
              <w:right w:val="single" w:sz="4" w:space="0" w:color="auto"/>
            </w:tcBorders>
          </w:tcPr>
          <w:p w14:paraId="647D0B6F" w14:textId="1164916B" w:rsidR="00EC5D47" w:rsidRPr="00AD60B6" w:rsidRDefault="00E17297" w:rsidP="00E17297">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 xml:space="preserve">    </w:t>
            </w:r>
            <w:r w:rsidR="003E55AB">
              <w:rPr>
                <w:rFonts w:ascii="Times New Roman" w:hAnsi="Times New Roman" w:cs="Times New Roman"/>
                <w:bCs/>
                <w:sz w:val="24"/>
                <w:szCs w:val="24"/>
                <w:lang w:val="en-GB" w:eastAsia="en-GB"/>
              </w:rPr>
              <w:t>5</w:t>
            </w:r>
            <w:r w:rsidR="00EC5D47" w:rsidRPr="00AD60B6">
              <w:rPr>
                <w:rFonts w:ascii="Times New Roman" w:hAnsi="Times New Roman" w:cs="Times New Roman"/>
                <w:bCs/>
                <w:sz w:val="24"/>
                <w:szCs w:val="24"/>
                <w:lang w:val="en-GB" w:eastAsia="en-GB"/>
              </w:rPr>
              <w:t>015</w:t>
            </w:r>
          </w:p>
        </w:tc>
      </w:tr>
      <w:tr w:rsidR="00EC5D47" w:rsidRPr="00AD60B6" w14:paraId="465C0F32" w14:textId="77777777" w:rsidTr="003E55AB">
        <w:trPr>
          <w:trHeight w:val="315"/>
          <w:jc w:val="center"/>
        </w:trPr>
        <w:tc>
          <w:tcPr>
            <w:tcW w:w="0" w:type="auto"/>
            <w:tcBorders>
              <w:top w:val="nil"/>
              <w:left w:val="single" w:sz="4" w:space="0" w:color="auto"/>
              <w:bottom w:val="single" w:sz="4" w:space="0" w:color="auto"/>
              <w:right w:val="single" w:sz="4" w:space="0" w:color="auto"/>
            </w:tcBorders>
            <w:vAlign w:val="center"/>
            <w:hideMark/>
          </w:tcPr>
          <w:p w14:paraId="45DED97E"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Број лица са којима је по надзору заснован радни однос</w:t>
            </w:r>
          </w:p>
        </w:tc>
        <w:tc>
          <w:tcPr>
            <w:tcW w:w="932" w:type="dxa"/>
            <w:tcBorders>
              <w:top w:val="nil"/>
              <w:left w:val="nil"/>
              <w:bottom w:val="single" w:sz="4" w:space="0" w:color="auto"/>
              <w:right w:val="single" w:sz="4" w:space="0" w:color="auto"/>
            </w:tcBorders>
            <w:noWrap/>
            <w:vAlign w:val="center"/>
            <w:hideMark/>
          </w:tcPr>
          <w:p w14:paraId="114A9436" w14:textId="50980DD2" w:rsidR="00EC5D47" w:rsidRPr="00AD60B6" w:rsidRDefault="003E55AB" w:rsidP="00125B70">
            <w:pPr>
              <w:spacing w:after="0" w:line="240" w:lineRule="auto"/>
              <w:jc w:val="right"/>
              <w:rPr>
                <w:rFonts w:ascii="Times New Roman" w:hAnsi="Times New Roman" w:cs="Times New Roman"/>
                <w:bCs/>
                <w:strike/>
                <w:sz w:val="24"/>
                <w:szCs w:val="24"/>
                <w:lang w:val="en-GB" w:eastAsia="en-GB"/>
              </w:rPr>
            </w:pPr>
            <w:r>
              <w:rPr>
                <w:rFonts w:ascii="Times New Roman" w:hAnsi="Times New Roman" w:cs="Times New Roman"/>
                <w:bCs/>
                <w:sz w:val="24"/>
                <w:szCs w:val="24"/>
                <w:lang w:val="sr-Latn-RS" w:eastAsia="en-GB"/>
              </w:rPr>
              <w:t>21</w:t>
            </w:r>
            <w:r w:rsidR="00EC5D47" w:rsidRPr="00AD60B6">
              <w:rPr>
                <w:rFonts w:ascii="Times New Roman" w:hAnsi="Times New Roman" w:cs="Times New Roman"/>
                <w:bCs/>
                <w:sz w:val="24"/>
                <w:szCs w:val="24"/>
                <w:lang w:val="sr-Latn-RS" w:eastAsia="en-GB"/>
              </w:rPr>
              <w:t>171</w:t>
            </w:r>
          </w:p>
        </w:tc>
        <w:tc>
          <w:tcPr>
            <w:tcW w:w="932" w:type="dxa"/>
            <w:tcBorders>
              <w:top w:val="nil"/>
              <w:left w:val="nil"/>
              <w:bottom w:val="single" w:sz="4" w:space="0" w:color="auto"/>
              <w:right w:val="single" w:sz="4" w:space="0" w:color="auto"/>
            </w:tcBorders>
            <w:noWrap/>
            <w:vAlign w:val="center"/>
            <w:hideMark/>
          </w:tcPr>
          <w:p w14:paraId="7524A27F" w14:textId="2854D7F4" w:rsidR="00EC5D47" w:rsidRPr="00AD60B6" w:rsidRDefault="003E55AB" w:rsidP="00125B70">
            <w:pPr>
              <w:spacing w:after="0" w:line="240" w:lineRule="auto"/>
              <w:jc w:val="right"/>
              <w:rPr>
                <w:rFonts w:ascii="Times New Roman" w:hAnsi="Times New Roman" w:cs="Times New Roman"/>
                <w:bCs/>
                <w:strike/>
                <w:sz w:val="24"/>
                <w:szCs w:val="24"/>
                <w:lang w:val="en-GB" w:eastAsia="en-GB"/>
              </w:rPr>
            </w:pPr>
            <w:r>
              <w:rPr>
                <w:rFonts w:ascii="Times New Roman" w:hAnsi="Times New Roman" w:cs="Times New Roman"/>
                <w:bCs/>
                <w:sz w:val="24"/>
                <w:szCs w:val="24"/>
                <w:lang w:val="sr-Latn-RS" w:eastAsia="en-GB"/>
              </w:rPr>
              <w:t>17</w:t>
            </w:r>
            <w:r w:rsidR="00EC5D47" w:rsidRPr="00AD60B6">
              <w:rPr>
                <w:rFonts w:ascii="Times New Roman" w:hAnsi="Times New Roman" w:cs="Times New Roman"/>
                <w:bCs/>
                <w:sz w:val="24"/>
                <w:szCs w:val="24"/>
                <w:lang w:val="sr-Latn-RS" w:eastAsia="en-GB"/>
              </w:rPr>
              <w:t>026</w:t>
            </w:r>
          </w:p>
        </w:tc>
        <w:tc>
          <w:tcPr>
            <w:tcW w:w="932" w:type="dxa"/>
            <w:tcBorders>
              <w:top w:val="nil"/>
              <w:left w:val="nil"/>
              <w:bottom w:val="single" w:sz="4" w:space="0" w:color="auto"/>
              <w:right w:val="single" w:sz="4" w:space="0" w:color="auto"/>
            </w:tcBorders>
            <w:noWrap/>
            <w:vAlign w:val="center"/>
            <w:hideMark/>
          </w:tcPr>
          <w:p w14:paraId="197ADBE6" w14:textId="4E0E8159"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10</w:t>
            </w:r>
            <w:r w:rsidR="00EC5D47" w:rsidRPr="00AD60B6">
              <w:rPr>
                <w:rFonts w:ascii="Times New Roman" w:hAnsi="Times New Roman" w:cs="Times New Roman"/>
                <w:bCs/>
                <w:sz w:val="24"/>
                <w:szCs w:val="24"/>
                <w:lang w:val="en-GB" w:eastAsia="en-GB"/>
              </w:rPr>
              <w:t>167 </w:t>
            </w:r>
          </w:p>
        </w:tc>
        <w:tc>
          <w:tcPr>
            <w:tcW w:w="987" w:type="dxa"/>
            <w:tcBorders>
              <w:top w:val="nil"/>
              <w:left w:val="nil"/>
              <w:bottom w:val="single" w:sz="4" w:space="0" w:color="auto"/>
              <w:right w:val="single" w:sz="4" w:space="0" w:color="auto"/>
            </w:tcBorders>
            <w:noWrap/>
            <w:vAlign w:val="center"/>
            <w:hideMark/>
          </w:tcPr>
          <w:p w14:paraId="1952C07A" w14:textId="5E6B213B"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4</w:t>
            </w:r>
            <w:r w:rsidR="00EC5D47" w:rsidRPr="00AD60B6">
              <w:rPr>
                <w:rFonts w:ascii="Times New Roman" w:hAnsi="Times New Roman" w:cs="Times New Roman"/>
                <w:bCs/>
                <w:sz w:val="24"/>
                <w:szCs w:val="24"/>
                <w:lang w:val="en-GB" w:eastAsia="en-GB"/>
              </w:rPr>
              <w:t>072 </w:t>
            </w:r>
          </w:p>
        </w:tc>
        <w:tc>
          <w:tcPr>
            <w:tcW w:w="1042" w:type="dxa"/>
            <w:tcBorders>
              <w:top w:val="nil"/>
              <w:left w:val="nil"/>
              <w:bottom w:val="single" w:sz="4" w:space="0" w:color="auto"/>
              <w:right w:val="single" w:sz="4" w:space="0" w:color="auto"/>
            </w:tcBorders>
            <w:noWrap/>
            <w:vAlign w:val="center"/>
            <w:hideMark/>
          </w:tcPr>
          <w:p w14:paraId="16AECB75" w14:textId="7BD95695"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31</w:t>
            </w:r>
            <w:r w:rsidR="00EC5D47" w:rsidRPr="00AD60B6">
              <w:rPr>
                <w:rFonts w:ascii="Times New Roman" w:hAnsi="Times New Roman" w:cs="Times New Roman"/>
                <w:bCs/>
                <w:sz w:val="24"/>
                <w:szCs w:val="24"/>
                <w:lang w:val="en-GB" w:eastAsia="en-GB"/>
              </w:rPr>
              <w:t>80 </w:t>
            </w:r>
          </w:p>
        </w:tc>
        <w:tc>
          <w:tcPr>
            <w:tcW w:w="932" w:type="dxa"/>
            <w:tcBorders>
              <w:top w:val="nil"/>
              <w:left w:val="nil"/>
              <w:bottom w:val="single" w:sz="4" w:space="0" w:color="auto"/>
              <w:right w:val="single" w:sz="4" w:space="0" w:color="auto"/>
            </w:tcBorders>
          </w:tcPr>
          <w:p w14:paraId="35B66649" w14:textId="77777777" w:rsidR="003E55AB" w:rsidRDefault="003E55AB" w:rsidP="00125B70">
            <w:pPr>
              <w:spacing w:after="0" w:line="240" w:lineRule="auto"/>
              <w:jc w:val="right"/>
              <w:rPr>
                <w:rFonts w:ascii="Times New Roman" w:hAnsi="Times New Roman" w:cs="Times New Roman"/>
                <w:bCs/>
                <w:sz w:val="24"/>
                <w:szCs w:val="24"/>
                <w:lang w:val="en-GB" w:eastAsia="en-GB"/>
              </w:rPr>
            </w:pPr>
          </w:p>
          <w:p w14:paraId="4AC017C0" w14:textId="67CCC535"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3</w:t>
            </w:r>
            <w:r w:rsidR="00EC5D47" w:rsidRPr="00AD60B6">
              <w:rPr>
                <w:rFonts w:ascii="Times New Roman" w:hAnsi="Times New Roman" w:cs="Times New Roman"/>
                <w:bCs/>
                <w:sz w:val="24"/>
                <w:szCs w:val="24"/>
                <w:lang w:val="en-GB" w:eastAsia="en-GB"/>
              </w:rPr>
              <w:t>250</w:t>
            </w:r>
          </w:p>
        </w:tc>
      </w:tr>
      <w:tr w:rsidR="00EC5D47" w:rsidRPr="00AD60B6" w14:paraId="4AE5E98E" w14:textId="77777777" w:rsidTr="003E55AB">
        <w:trPr>
          <w:trHeight w:val="300"/>
          <w:jc w:val="center"/>
        </w:trPr>
        <w:tc>
          <w:tcPr>
            <w:tcW w:w="0" w:type="auto"/>
            <w:tcBorders>
              <w:top w:val="nil"/>
              <w:left w:val="single" w:sz="4" w:space="0" w:color="auto"/>
              <w:bottom w:val="single" w:sz="4" w:space="0" w:color="auto"/>
              <w:right w:val="single" w:sz="4" w:space="0" w:color="auto"/>
            </w:tcBorders>
            <w:shd w:val="clear" w:color="000000" w:fill="C0C0C0"/>
            <w:vAlign w:val="center"/>
            <w:hideMark/>
          </w:tcPr>
          <w:p w14:paraId="54BFC0F6"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Донето решења о отклањању недостатака</w:t>
            </w:r>
          </w:p>
        </w:tc>
        <w:tc>
          <w:tcPr>
            <w:tcW w:w="932" w:type="dxa"/>
            <w:tcBorders>
              <w:top w:val="nil"/>
              <w:left w:val="nil"/>
              <w:bottom w:val="single" w:sz="4" w:space="0" w:color="auto"/>
              <w:right w:val="single" w:sz="4" w:space="0" w:color="auto"/>
            </w:tcBorders>
            <w:shd w:val="clear" w:color="000000" w:fill="C0C0C0"/>
            <w:noWrap/>
            <w:vAlign w:val="center"/>
            <w:hideMark/>
          </w:tcPr>
          <w:p w14:paraId="5B5A885D" w14:textId="4F8BF03E"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sr-Cyrl-BA" w:eastAsia="en-GB"/>
              </w:rPr>
              <w:t>2</w:t>
            </w:r>
            <w:r w:rsidR="00EC5D47" w:rsidRPr="00AD60B6">
              <w:rPr>
                <w:rFonts w:ascii="Times New Roman" w:hAnsi="Times New Roman" w:cs="Times New Roman"/>
                <w:bCs/>
                <w:sz w:val="24"/>
                <w:szCs w:val="24"/>
                <w:lang w:val="sr-Cyrl-BA" w:eastAsia="en-GB"/>
              </w:rPr>
              <w:t>987</w:t>
            </w:r>
          </w:p>
        </w:tc>
        <w:tc>
          <w:tcPr>
            <w:tcW w:w="932" w:type="dxa"/>
            <w:tcBorders>
              <w:top w:val="nil"/>
              <w:left w:val="nil"/>
              <w:bottom w:val="single" w:sz="4" w:space="0" w:color="auto"/>
              <w:right w:val="single" w:sz="4" w:space="0" w:color="auto"/>
            </w:tcBorders>
            <w:shd w:val="clear" w:color="000000" w:fill="C0C0C0"/>
            <w:noWrap/>
            <w:vAlign w:val="center"/>
            <w:hideMark/>
          </w:tcPr>
          <w:p w14:paraId="3B2E4050" w14:textId="76DDE587"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sr-Cyrl-BA" w:eastAsia="en-GB"/>
              </w:rPr>
              <w:t>5</w:t>
            </w:r>
            <w:r w:rsidR="00EC5D47" w:rsidRPr="00AD60B6">
              <w:rPr>
                <w:rFonts w:ascii="Times New Roman" w:hAnsi="Times New Roman" w:cs="Times New Roman"/>
                <w:bCs/>
                <w:sz w:val="24"/>
                <w:szCs w:val="24"/>
                <w:lang w:val="sr-Cyrl-BA" w:eastAsia="en-GB"/>
              </w:rPr>
              <w:t>773</w:t>
            </w:r>
          </w:p>
        </w:tc>
        <w:tc>
          <w:tcPr>
            <w:tcW w:w="932" w:type="dxa"/>
            <w:tcBorders>
              <w:top w:val="nil"/>
              <w:left w:val="nil"/>
              <w:bottom w:val="single" w:sz="4" w:space="0" w:color="auto"/>
              <w:right w:val="single" w:sz="4" w:space="0" w:color="auto"/>
            </w:tcBorders>
            <w:shd w:val="clear" w:color="000000" w:fill="C0C0C0"/>
            <w:noWrap/>
            <w:vAlign w:val="center"/>
            <w:hideMark/>
          </w:tcPr>
          <w:p w14:paraId="7865FF72" w14:textId="4236E82B"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5530</w:t>
            </w:r>
          </w:p>
        </w:tc>
        <w:tc>
          <w:tcPr>
            <w:tcW w:w="987" w:type="dxa"/>
            <w:tcBorders>
              <w:top w:val="nil"/>
              <w:left w:val="nil"/>
              <w:bottom w:val="single" w:sz="4" w:space="0" w:color="auto"/>
              <w:right w:val="single" w:sz="4" w:space="0" w:color="auto"/>
            </w:tcBorders>
            <w:shd w:val="clear" w:color="000000" w:fill="C0C0C0"/>
            <w:noWrap/>
            <w:vAlign w:val="center"/>
            <w:hideMark/>
          </w:tcPr>
          <w:p w14:paraId="7C05B611" w14:textId="039E874A"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4135</w:t>
            </w:r>
          </w:p>
        </w:tc>
        <w:tc>
          <w:tcPr>
            <w:tcW w:w="1042" w:type="dxa"/>
            <w:tcBorders>
              <w:top w:val="nil"/>
              <w:left w:val="nil"/>
              <w:bottom w:val="single" w:sz="4" w:space="0" w:color="auto"/>
              <w:right w:val="single" w:sz="4" w:space="0" w:color="auto"/>
            </w:tcBorders>
            <w:shd w:val="clear" w:color="000000" w:fill="C0C0C0"/>
            <w:noWrap/>
            <w:vAlign w:val="center"/>
            <w:hideMark/>
          </w:tcPr>
          <w:p w14:paraId="02269B8C" w14:textId="781AE12F"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4154</w:t>
            </w:r>
          </w:p>
        </w:tc>
        <w:tc>
          <w:tcPr>
            <w:tcW w:w="932" w:type="dxa"/>
            <w:tcBorders>
              <w:top w:val="nil"/>
              <w:left w:val="nil"/>
              <w:bottom w:val="single" w:sz="4" w:space="0" w:color="auto"/>
              <w:right w:val="single" w:sz="4" w:space="0" w:color="auto"/>
            </w:tcBorders>
            <w:shd w:val="clear" w:color="000000" w:fill="C0C0C0"/>
            <w:vAlign w:val="center"/>
          </w:tcPr>
          <w:p w14:paraId="1E29F698" w14:textId="56127450" w:rsidR="00EC5D47" w:rsidRPr="00AD60B6" w:rsidRDefault="003E55AB" w:rsidP="00125B70">
            <w:pPr>
              <w:spacing w:after="0" w:line="240" w:lineRule="auto"/>
              <w:jc w:val="right"/>
              <w:rPr>
                <w:rFonts w:ascii="Times New Roman" w:hAnsi="Times New Roman" w:cs="Times New Roman"/>
                <w:bCs/>
                <w:sz w:val="24"/>
                <w:szCs w:val="24"/>
                <w:lang w:val="sr-Cyrl-RS" w:eastAsia="en-GB"/>
              </w:rPr>
            </w:pPr>
            <w:r>
              <w:rPr>
                <w:rFonts w:ascii="Times New Roman" w:hAnsi="Times New Roman" w:cs="Times New Roman"/>
                <w:bCs/>
                <w:sz w:val="24"/>
                <w:szCs w:val="24"/>
                <w:lang w:val="sr-Cyrl-RS" w:eastAsia="en-GB"/>
              </w:rPr>
              <w:t>4</w:t>
            </w:r>
            <w:r w:rsidR="00EC5D47" w:rsidRPr="00AD60B6">
              <w:rPr>
                <w:rFonts w:ascii="Times New Roman" w:hAnsi="Times New Roman" w:cs="Times New Roman"/>
                <w:bCs/>
                <w:sz w:val="24"/>
                <w:szCs w:val="24"/>
                <w:lang w:val="sr-Cyrl-RS" w:eastAsia="en-GB"/>
              </w:rPr>
              <w:t>255</w:t>
            </w:r>
          </w:p>
        </w:tc>
      </w:tr>
      <w:tr w:rsidR="00EC5D47" w:rsidRPr="00AD60B6" w14:paraId="1B15FEC1"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713DD03D"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Укупан број наложених мера</w:t>
            </w:r>
          </w:p>
        </w:tc>
        <w:tc>
          <w:tcPr>
            <w:tcW w:w="932" w:type="dxa"/>
            <w:tcBorders>
              <w:top w:val="nil"/>
              <w:left w:val="nil"/>
              <w:bottom w:val="single" w:sz="4" w:space="0" w:color="auto"/>
              <w:right w:val="single" w:sz="4" w:space="0" w:color="auto"/>
            </w:tcBorders>
            <w:noWrap/>
            <w:vAlign w:val="center"/>
            <w:hideMark/>
          </w:tcPr>
          <w:p w14:paraId="6B6AA453" w14:textId="46BE7994"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sr-Cyrl-BA" w:eastAsia="en-GB"/>
              </w:rPr>
              <w:t>6</w:t>
            </w:r>
            <w:r w:rsidR="00EC5D47" w:rsidRPr="00AD60B6">
              <w:rPr>
                <w:rFonts w:ascii="Times New Roman" w:hAnsi="Times New Roman" w:cs="Times New Roman"/>
                <w:bCs/>
                <w:sz w:val="24"/>
                <w:szCs w:val="24"/>
                <w:lang w:val="sr-Cyrl-BA" w:eastAsia="en-GB"/>
              </w:rPr>
              <w:t>676</w:t>
            </w:r>
          </w:p>
        </w:tc>
        <w:tc>
          <w:tcPr>
            <w:tcW w:w="932" w:type="dxa"/>
            <w:tcBorders>
              <w:top w:val="nil"/>
              <w:left w:val="nil"/>
              <w:bottom w:val="single" w:sz="4" w:space="0" w:color="auto"/>
              <w:right w:val="single" w:sz="4" w:space="0" w:color="auto"/>
            </w:tcBorders>
            <w:noWrap/>
            <w:vAlign w:val="center"/>
            <w:hideMark/>
          </w:tcPr>
          <w:p w14:paraId="752F0134" w14:textId="5DD25251"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sr-Cyrl-RS" w:eastAsia="en-GB"/>
              </w:rPr>
              <w:t>15</w:t>
            </w:r>
            <w:r w:rsidR="00EC5D47" w:rsidRPr="00AD60B6">
              <w:rPr>
                <w:rFonts w:ascii="Times New Roman" w:hAnsi="Times New Roman" w:cs="Times New Roman"/>
                <w:bCs/>
                <w:sz w:val="24"/>
                <w:szCs w:val="24"/>
                <w:lang w:val="sr-Cyrl-RS" w:eastAsia="en-GB"/>
              </w:rPr>
              <w:t>564</w:t>
            </w:r>
          </w:p>
        </w:tc>
        <w:tc>
          <w:tcPr>
            <w:tcW w:w="932" w:type="dxa"/>
            <w:tcBorders>
              <w:top w:val="nil"/>
              <w:left w:val="nil"/>
              <w:bottom w:val="single" w:sz="4" w:space="0" w:color="auto"/>
              <w:right w:val="single" w:sz="4" w:space="0" w:color="auto"/>
            </w:tcBorders>
            <w:noWrap/>
            <w:vAlign w:val="center"/>
            <w:hideMark/>
          </w:tcPr>
          <w:p w14:paraId="274E2E3D" w14:textId="14148D5D"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6643 </w:t>
            </w:r>
          </w:p>
        </w:tc>
        <w:tc>
          <w:tcPr>
            <w:tcW w:w="987" w:type="dxa"/>
            <w:tcBorders>
              <w:top w:val="nil"/>
              <w:left w:val="nil"/>
              <w:bottom w:val="single" w:sz="4" w:space="0" w:color="auto"/>
              <w:right w:val="single" w:sz="4" w:space="0" w:color="auto"/>
            </w:tcBorders>
            <w:noWrap/>
            <w:vAlign w:val="center"/>
            <w:hideMark/>
          </w:tcPr>
          <w:p w14:paraId="7D50A7DB" w14:textId="632C17F6"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10</w:t>
            </w:r>
            <w:r w:rsidR="00EC5D47" w:rsidRPr="00AD60B6">
              <w:rPr>
                <w:rFonts w:ascii="Times New Roman" w:hAnsi="Times New Roman" w:cs="Times New Roman"/>
                <w:bCs/>
                <w:sz w:val="24"/>
                <w:szCs w:val="24"/>
                <w:lang w:val="en-GB" w:eastAsia="en-GB"/>
              </w:rPr>
              <w:t>358 </w:t>
            </w:r>
          </w:p>
        </w:tc>
        <w:tc>
          <w:tcPr>
            <w:tcW w:w="1042" w:type="dxa"/>
            <w:tcBorders>
              <w:top w:val="nil"/>
              <w:left w:val="nil"/>
              <w:bottom w:val="single" w:sz="4" w:space="0" w:color="auto"/>
              <w:right w:val="single" w:sz="4" w:space="0" w:color="auto"/>
            </w:tcBorders>
            <w:noWrap/>
            <w:vAlign w:val="center"/>
            <w:hideMark/>
          </w:tcPr>
          <w:p w14:paraId="1A448AA0" w14:textId="0FDD442A" w:rsidR="00EC5D47" w:rsidRPr="00AD60B6" w:rsidRDefault="003E55AB" w:rsidP="00125B70">
            <w:pPr>
              <w:spacing w:after="0" w:line="240" w:lineRule="auto"/>
              <w:jc w:val="right"/>
              <w:rPr>
                <w:rFonts w:ascii="Times New Roman" w:hAnsi="Times New Roman" w:cs="Times New Roman"/>
                <w:bCs/>
                <w:sz w:val="24"/>
                <w:szCs w:val="24"/>
                <w:lang w:val="en-GB" w:eastAsia="en-GB"/>
              </w:rPr>
            </w:pPr>
            <w:r>
              <w:rPr>
                <w:rFonts w:ascii="Times New Roman" w:hAnsi="Times New Roman" w:cs="Times New Roman"/>
                <w:bCs/>
                <w:sz w:val="24"/>
                <w:szCs w:val="24"/>
                <w:lang w:val="en-GB" w:eastAsia="en-GB"/>
              </w:rPr>
              <w:t>9</w:t>
            </w:r>
            <w:r w:rsidR="00EC5D47" w:rsidRPr="00AD60B6">
              <w:rPr>
                <w:rFonts w:ascii="Times New Roman" w:hAnsi="Times New Roman" w:cs="Times New Roman"/>
                <w:bCs/>
                <w:sz w:val="24"/>
                <w:szCs w:val="24"/>
                <w:lang w:val="en-GB" w:eastAsia="en-GB"/>
              </w:rPr>
              <w:t>825 </w:t>
            </w:r>
          </w:p>
        </w:tc>
        <w:tc>
          <w:tcPr>
            <w:tcW w:w="932" w:type="dxa"/>
            <w:tcBorders>
              <w:top w:val="nil"/>
              <w:left w:val="nil"/>
              <w:bottom w:val="single" w:sz="4" w:space="0" w:color="auto"/>
              <w:right w:val="single" w:sz="4" w:space="0" w:color="auto"/>
            </w:tcBorders>
            <w:vAlign w:val="center"/>
          </w:tcPr>
          <w:p w14:paraId="5286DE96" w14:textId="3139208C" w:rsidR="00EC5D47" w:rsidRPr="00AD60B6" w:rsidRDefault="003E55AB" w:rsidP="00125B70">
            <w:pPr>
              <w:spacing w:after="0" w:line="240" w:lineRule="auto"/>
              <w:jc w:val="right"/>
              <w:rPr>
                <w:rFonts w:ascii="Times New Roman" w:hAnsi="Times New Roman" w:cs="Times New Roman"/>
                <w:bCs/>
                <w:sz w:val="24"/>
                <w:szCs w:val="24"/>
                <w:lang w:val="sr-Cyrl-RS" w:eastAsia="en-GB"/>
              </w:rPr>
            </w:pPr>
            <w:r>
              <w:rPr>
                <w:rFonts w:ascii="Times New Roman" w:hAnsi="Times New Roman" w:cs="Times New Roman"/>
                <w:bCs/>
                <w:sz w:val="24"/>
                <w:szCs w:val="24"/>
                <w:lang w:val="sr-Cyrl-RS" w:eastAsia="en-GB"/>
              </w:rPr>
              <w:t>9</w:t>
            </w:r>
            <w:r w:rsidR="00EC5D47" w:rsidRPr="00AD60B6">
              <w:rPr>
                <w:rFonts w:ascii="Times New Roman" w:hAnsi="Times New Roman" w:cs="Times New Roman"/>
                <w:bCs/>
                <w:sz w:val="24"/>
                <w:szCs w:val="24"/>
                <w:lang w:val="sr-Cyrl-RS" w:eastAsia="en-GB"/>
              </w:rPr>
              <w:t>799</w:t>
            </w:r>
          </w:p>
        </w:tc>
      </w:tr>
      <w:tr w:rsidR="00EC5D47" w:rsidRPr="00AD60B6" w14:paraId="720AE1F3"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35DAF8EC"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lastRenderedPageBreak/>
              <w:t>Број наложених мера за доношење акта о процени ризика</w:t>
            </w:r>
          </w:p>
        </w:tc>
        <w:tc>
          <w:tcPr>
            <w:tcW w:w="932" w:type="dxa"/>
            <w:tcBorders>
              <w:top w:val="nil"/>
              <w:left w:val="nil"/>
              <w:bottom w:val="single" w:sz="4" w:space="0" w:color="auto"/>
              <w:right w:val="single" w:sz="4" w:space="0" w:color="auto"/>
            </w:tcBorders>
            <w:vAlign w:val="center"/>
            <w:hideMark/>
          </w:tcPr>
          <w:p w14:paraId="2C8C422A"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291</w:t>
            </w:r>
          </w:p>
        </w:tc>
        <w:tc>
          <w:tcPr>
            <w:tcW w:w="932" w:type="dxa"/>
            <w:tcBorders>
              <w:top w:val="nil"/>
              <w:left w:val="nil"/>
              <w:bottom w:val="single" w:sz="4" w:space="0" w:color="auto"/>
              <w:right w:val="single" w:sz="4" w:space="0" w:color="auto"/>
            </w:tcBorders>
            <w:noWrap/>
            <w:vAlign w:val="center"/>
            <w:hideMark/>
          </w:tcPr>
          <w:p w14:paraId="1BD3033A"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932" w:type="dxa"/>
            <w:tcBorders>
              <w:top w:val="nil"/>
              <w:left w:val="nil"/>
              <w:bottom w:val="single" w:sz="4" w:space="0" w:color="auto"/>
              <w:right w:val="single" w:sz="4" w:space="0" w:color="auto"/>
            </w:tcBorders>
            <w:noWrap/>
            <w:vAlign w:val="center"/>
            <w:hideMark/>
          </w:tcPr>
          <w:p w14:paraId="092F83DE"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987" w:type="dxa"/>
            <w:tcBorders>
              <w:top w:val="nil"/>
              <w:left w:val="nil"/>
              <w:bottom w:val="single" w:sz="4" w:space="0" w:color="auto"/>
              <w:right w:val="single" w:sz="4" w:space="0" w:color="auto"/>
            </w:tcBorders>
            <w:noWrap/>
            <w:vAlign w:val="center"/>
            <w:hideMark/>
          </w:tcPr>
          <w:p w14:paraId="7EE28D2C"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1042" w:type="dxa"/>
            <w:tcBorders>
              <w:top w:val="nil"/>
              <w:left w:val="nil"/>
              <w:bottom w:val="single" w:sz="4" w:space="0" w:color="auto"/>
              <w:right w:val="single" w:sz="4" w:space="0" w:color="auto"/>
            </w:tcBorders>
            <w:noWrap/>
            <w:vAlign w:val="center"/>
            <w:hideMark/>
          </w:tcPr>
          <w:p w14:paraId="544ED3A9"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932" w:type="dxa"/>
            <w:tcBorders>
              <w:top w:val="nil"/>
              <w:left w:val="nil"/>
              <w:bottom w:val="single" w:sz="4" w:space="0" w:color="auto"/>
              <w:right w:val="single" w:sz="4" w:space="0" w:color="auto"/>
            </w:tcBorders>
            <w:vAlign w:val="center"/>
          </w:tcPr>
          <w:p w14:paraId="6F1ACBD7"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p>
        </w:tc>
      </w:tr>
      <w:tr w:rsidR="00EC5D47" w:rsidRPr="00AD60B6" w14:paraId="64DA3ABA" w14:textId="77777777" w:rsidTr="003E55AB">
        <w:trPr>
          <w:trHeight w:val="345"/>
          <w:jc w:val="center"/>
        </w:trPr>
        <w:tc>
          <w:tcPr>
            <w:tcW w:w="0" w:type="auto"/>
            <w:tcBorders>
              <w:top w:val="nil"/>
              <w:left w:val="single" w:sz="4" w:space="0" w:color="auto"/>
              <w:bottom w:val="single" w:sz="4" w:space="0" w:color="auto"/>
              <w:right w:val="single" w:sz="4" w:space="0" w:color="auto"/>
            </w:tcBorders>
            <w:vAlign w:val="center"/>
            <w:hideMark/>
          </w:tcPr>
          <w:p w14:paraId="268B2861"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Број наложених мера за измену акта о процени ризика</w:t>
            </w:r>
          </w:p>
        </w:tc>
        <w:tc>
          <w:tcPr>
            <w:tcW w:w="932" w:type="dxa"/>
            <w:tcBorders>
              <w:top w:val="nil"/>
              <w:left w:val="nil"/>
              <w:bottom w:val="single" w:sz="4" w:space="0" w:color="auto"/>
              <w:right w:val="single" w:sz="4" w:space="0" w:color="auto"/>
            </w:tcBorders>
            <w:vAlign w:val="center"/>
            <w:hideMark/>
          </w:tcPr>
          <w:p w14:paraId="4398E9E1"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274</w:t>
            </w:r>
          </w:p>
        </w:tc>
        <w:tc>
          <w:tcPr>
            <w:tcW w:w="932" w:type="dxa"/>
            <w:tcBorders>
              <w:top w:val="nil"/>
              <w:left w:val="nil"/>
              <w:bottom w:val="single" w:sz="4" w:space="0" w:color="auto"/>
              <w:right w:val="single" w:sz="4" w:space="0" w:color="auto"/>
            </w:tcBorders>
            <w:noWrap/>
            <w:vAlign w:val="center"/>
            <w:hideMark/>
          </w:tcPr>
          <w:p w14:paraId="5C513201"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932" w:type="dxa"/>
            <w:tcBorders>
              <w:top w:val="nil"/>
              <w:left w:val="nil"/>
              <w:bottom w:val="single" w:sz="4" w:space="0" w:color="auto"/>
              <w:right w:val="single" w:sz="4" w:space="0" w:color="auto"/>
            </w:tcBorders>
            <w:noWrap/>
            <w:vAlign w:val="center"/>
            <w:hideMark/>
          </w:tcPr>
          <w:p w14:paraId="31F84554"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987" w:type="dxa"/>
            <w:tcBorders>
              <w:top w:val="nil"/>
              <w:left w:val="nil"/>
              <w:bottom w:val="single" w:sz="4" w:space="0" w:color="auto"/>
              <w:right w:val="single" w:sz="4" w:space="0" w:color="auto"/>
            </w:tcBorders>
            <w:noWrap/>
            <w:vAlign w:val="center"/>
            <w:hideMark/>
          </w:tcPr>
          <w:p w14:paraId="1C886FC0"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1042" w:type="dxa"/>
            <w:tcBorders>
              <w:top w:val="nil"/>
              <w:left w:val="nil"/>
              <w:bottom w:val="single" w:sz="4" w:space="0" w:color="auto"/>
              <w:right w:val="single" w:sz="4" w:space="0" w:color="auto"/>
            </w:tcBorders>
            <w:noWrap/>
            <w:vAlign w:val="center"/>
            <w:hideMark/>
          </w:tcPr>
          <w:p w14:paraId="3933D01F"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 </w:t>
            </w:r>
          </w:p>
        </w:tc>
        <w:tc>
          <w:tcPr>
            <w:tcW w:w="932" w:type="dxa"/>
            <w:tcBorders>
              <w:top w:val="nil"/>
              <w:left w:val="nil"/>
              <w:bottom w:val="single" w:sz="4" w:space="0" w:color="auto"/>
              <w:right w:val="single" w:sz="4" w:space="0" w:color="auto"/>
            </w:tcBorders>
            <w:vAlign w:val="center"/>
          </w:tcPr>
          <w:p w14:paraId="13C41805"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p>
        </w:tc>
      </w:tr>
      <w:tr w:rsidR="00EC5D47" w:rsidRPr="00AD60B6" w14:paraId="2C9B30F2" w14:textId="77777777" w:rsidTr="003E55AB">
        <w:trPr>
          <w:trHeight w:val="315"/>
          <w:jc w:val="center"/>
        </w:trPr>
        <w:tc>
          <w:tcPr>
            <w:tcW w:w="0" w:type="auto"/>
            <w:tcBorders>
              <w:top w:val="nil"/>
              <w:left w:val="single" w:sz="4" w:space="0" w:color="auto"/>
              <w:bottom w:val="single" w:sz="4" w:space="0" w:color="auto"/>
              <w:right w:val="single" w:sz="4" w:space="0" w:color="auto"/>
            </w:tcBorders>
            <w:shd w:val="clear" w:color="000000" w:fill="C0C0C0"/>
            <w:vAlign w:val="center"/>
            <w:hideMark/>
          </w:tcPr>
          <w:p w14:paraId="230BD347"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Донето решења о забрани рада</w:t>
            </w:r>
          </w:p>
        </w:tc>
        <w:tc>
          <w:tcPr>
            <w:tcW w:w="932" w:type="dxa"/>
            <w:tcBorders>
              <w:top w:val="nil"/>
              <w:left w:val="nil"/>
              <w:bottom w:val="single" w:sz="4" w:space="0" w:color="auto"/>
              <w:right w:val="single" w:sz="4" w:space="0" w:color="auto"/>
            </w:tcBorders>
            <w:shd w:val="clear" w:color="000000" w:fill="C0C0C0"/>
            <w:noWrap/>
            <w:vAlign w:val="center"/>
            <w:hideMark/>
          </w:tcPr>
          <w:p w14:paraId="17B51F3D"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333</w:t>
            </w:r>
          </w:p>
        </w:tc>
        <w:tc>
          <w:tcPr>
            <w:tcW w:w="932" w:type="dxa"/>
            <w:tcBorders>
              <w:top w:val="nil"/>
              <w:left w:val="nil"/>
              <w:bottom w:val="single" w:sz="4" w:space="0" w:color="auto"/>
              <w:right w:val="single" w:sz="4" w:space="0" w:color="auto"/>
            </w:tcBorders>
            <w:shd w:val="clear" w:color="000000" w:fill="C0C0C0"/>
            <w:noWrap/>
            <w:vAlign w:val="center"/>
            <w:hideMark/>
          </w:tcPr>
          <w:p w14:paraId="1A7C35D6"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RS" w:eastAsia="en-GB"/>
              </w:rPr>
              <w:t>823</w:t>
            </w:r>
          </w:p>
        </w:tc>
        <w:tc>
          <w:tcPr>
            <w:tcW w:w="932" w:type="dxa"/>
            <w:tcBorders>
              <w:top w:val="nil"/>
              <w:left w:val="nil"/>
              <w:bottom w:val="single" w:sz="4" w:space="0" w:color="auto"/>
              <w:right w:val="single" w:sz="4" w:space="0" w:color="auto"/>
            </w:tcBorders>
            <w:shd w:val="clear" w:color="000000" w:fill="C0C0C0"/>
            <w:noWrap/>
            <w:vAlign w:val="center"/>
            <w:hideMark/>
          </w:tcPr>
          <w:p w14:paraId="2A2A21F1"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846</w:t>
            </w:r>
          </w:p>
        </w:tc>
        <w:tc>
          <w:tcPr>
            <w:tcW w:w="987" w:type="dxa"/>
            <w:tcBorders>
              <w:top w:val="nil"/>
              <w:left w:val="nil"/>
              <w:bottom w:val="single" w:sz="4" w:space="0" w:color="auto"/>
              <w:right w:val="single" w:sz="4" w:space="0" w:color="auto"/>
            </w:tcBorders>
            <w:shd w:val="clear" w:color="000000" w:fill="C0C0C0"/>
            <w:noWrap/>
            <w:vAlign w:val="center"/>
            <w:hideMark/>
          </w:tcPr>
          <w:p w14:paraId="2D64F42B"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540</w:t>
            </w:r>
          </w:p>
        </w:tc>
        <w:tc>
          <w:tcPr>
            <w:tcW w:w="1042" w:type="dxa"/>
            <w:tcBorders>
              <w:top w:val="nil"/>
              <w:left w:val="nil"/>
              <w:bottom w:val="single" w:sz="4" w:space="0" w:color="auto"/>
              <w:right w:val="single" w:sz="4" w:space="0" w:color="auto"/>
            </w:tcBorders>
            <w:shd w:val="clear" w:color="000000" w:fill="C0C0C0"/>
            <w:noWrap/>
            <w:vAlign w:val="center"/>
            <w:hideMark/>
          </w:tcPr>
          <w:p w14:paraId="14F7D264"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492</w:t>
            </w:r>
          </w:p>
        </w:tc>
        <w:tc>
          <w:tcPr>
            <w:tcW w:w="932" w:type="dxa"/>
            <w:tcBorders>
              <w:top w:val="nil"/>
              <w:left w:val="nil"/>
              <w:bottom w:val="single" w:sz="4" w:space="0" w:color="auto"/>
              <w:right w:val="single" w:sz="4" w:space="0" w:color="auto"/>
            </w:tcBorders>
            <w:shd w:val="clear" w:color="000000" w:fill="C0C0C0"/>
            <w:vAlign w:val="center"/>
          </w:tcPr>
          <w:p w14:paraId="024F05B9"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503</w:t>
            </w:r>
          </w:p>
        </w:tc>
      </w:tr>
      <w:tr w:rsidR="00EC5D47" w:rsidRPr="00AD60B6" w14:paraId="06C10D46" w14:textId="77777777" w:rsidTr="003E55AB">
        <w:trPr>
          <w:trHeight w:val="315"/>
          <w:jc w:val="center"/>
        </w:trPr>
        <w:tc>
          <w:tcPr>
            <w:tcW w:w="0" w:type="auto"/>
            <w:tcBorders>
              <w:top w:val="nil"/>
              <w:left w:val="single" w:sz="4" w:space="0" w:color="auto"/>
              <w:bottom w:val="single" w:sz="4" w:space="0" w:color="auto"/>
              <w:right w:val="single" w:sz="4" w:space="0" w:color="auto"/>
            </w:tcBorders>
            <w:shd w:val="clear" w:color="000000" w:fill="C0C0C0"/>
            <w:vAlign w:val="center"/>
            <w:hideMark/>
          </w:tcPr>
          <w:p w14:paraId="58B18A3C"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Укупан број поднетих захтева за покретање прекршајног поступка</w:t>
            </w:r>
          </w:p>
        </w:tc>
        <w:tc>
          <w:tcPr>
            <w:tcW w:w="932" w:type="dxa"/>
            <w:tcBorders>
              <w:top w:val="nil"/>
              <w:left w:val="nil"/>
              <w:bottom w:val="single" w:sz="4" w:space="0" w:color="auto"/>
              <w:right w:val="single" w:sz="4" w:space="0" w:color="auto"/>
            </w:tcBorders>
            <w:shd w:val="clear" w:color="000000" w:fill="C0C0C0"/>
            <w:noWrap/>
            <w:vAlign w:val="center"/>
            <w:hideMark/>
          </w:tcPr>
          <w:p w14:paraId="2E10F3DE"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605</w:t>
            </w:r>
          </w:p>
        </w:tc>
        <w:tc>
          <w:tcPr>
            <w:tcW w:w="932" w:type="dxa"/>
            <w:tcBorders>
              <w:top w:val="nil"/>
              <w:left w:val="nil"/>
              <w:bottom w:val="single" w:sz="4" w:space="0" w:color="auto"/>
              <w:right w:val="single" w:sz="4" w:space="0" w:color="auto"/>
            </w:tcBorders>
            <w:shd w:val="clear" w:color="000000" w:fill="C0C0C0"/>
            <w:noWrap/>
            <w:vAlign w:val="center"/>
            <w:hideMark/>
          </w:tcPr>
          <w:p w14:paraId="5B685DD8"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1471</w:t>
            </w:r>
          </w:p>
        </w:tc>
        <w:tc>
          <w:tcPr>
            <w:tcW w:w="932" w:type="dxa"/>
            <w:tcBorders>
              <w:top w:val="nil"/>
              <w:left w:val="nil"/>
              <w:bottom w:val="single" w:sz="4" w:space="0" w:color="auto"/>
              <w:right w:val="single" w:sz="4" w:space="0" w:color="auto"/>
            </w:tcBorders>
            <w:shd w:val="clear" w:color="000000" w:fill="C0C0C0"/>
            <w:noWrap/>
            <w:vAlign w:val="center"/>
            <w:hideMark/>
          </w:tcPr>
          <w:p w14:paraId="4DE50B46"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1444</w:t>
            </w:r>
          </w:p>
        </w:tc>
        <w:tc>
          <w:tcPr>
            <w:tcW w:w="987" w:type="dxa"/>
            <w:tcBorders>
              <w:top w:val="nil"/>
              <w:left w:val="nil"/>
              <w:bottom w:val="single" w:sz="4" w:space="0" w:color="auto"/>
              <w:right w:val="single" w:sz="4" w:space="0" w:color="auto"/>
            </w:tcBorders>
            <w:shd w:val="clear" w:color="000000" w:fill="C0C0C0"/>
            <w:noWrap/>
            <w:vAlign w:val="center"/>
            <w:hideMark/>
          </w:tcPr>
          <w:p w14:paraId="66EE542B"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1168</w:t>
            </w:r>
          </w:p>
        </w:tc>
        <w:tc>
          <w:tcPr>
            <w:tcW w:w="1042" w:type="dxa"/>
            <w:tcBorders>
              <w:top w:val="nil"/>
              <w:left w:val="nil"/>
              <w:bottom w:val="single" w:sz="4" w:space="0" w:color="auto"/>
              <w:right w:val="single" w:sz="4" w:space="0" w:color="auto"/>
            </w:tcBorders>
            <w:shd w:val="clear" w:color="000000" w:fill="C0C0C0"/>
            <w:noWrap/>
            <w:vAlign w:val="center"/>
            <w:hideMark/>
          </w:tcPr>
          <w:p w14:paraId="601FEA5C"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1442</w:t>
            </w:r>
          </w:p>
        </w:tc>
        <w:tc>
          <w:tcPr>
            <w:tcW w:w="932" w:type="dxa"/>
            <w:tcBorders>
              <w:top w:val="nil"/>
              <w:left w:val="nil"/>
              <w:bottom w:val="single" w:sz="4" w:space="0" w:color="auto"/>
              <w:right w:val="single" w:sz="4" w:space="0" w:color="auto"/>
            </w:tcBorders>
            <w:shd w:val="clear" w:color="000000" w:fill="C0C0C0"/>
            <w:vAlign w:val="center"/>
          </w:tcPr>
          <w:p w14:paraId="436EA51C"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1324</w:t>
            </w:r>
          </w:p>
        </w:tc>
      </w:tr>
      <w:tr w:rsidR="00EC5D47" w:rsidRPr="00AD60B6" w14:paraId="0351ECAF"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3726F1B3"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Против правног лица и одговорног лица у правном лицу</w:t>
            </w:r>
          </w:p>
        </w:tc>
        <w:tc>
          <w:tcPr>
            <w:tcW w:w="932" w:type="dxa"/>
            <w:tcBorders>
              <w:top w:val="nil"/>
              <w:left w:val="nil"/>
              <w:bottom w:val="single" w:sz="4" w:space="0" w:color="auto"/>
              <w:right w:val="single" w:sz="4" w:space="0" w:color="auto"/>
            </w:tcBorders>
            <w:vAlign w:val="center"/>
            <w:hideMark/>
          </w:tcPr>
          <w:p w14:paraId="6C132D80"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359</w:t>
            </w:r>
          </w:p>
        </w:tc>
        <w:tc>
          <w:tcPr>
            <w:tcW w:w="932" w:type="dxa"/>
            <w:tcBorders>
              <w:top w:val="nil"/>
              <w:left w:val="nil"/>
              <w:bottom w:val="single" w:sz="4" w:space="0" w:color="auto"/>
              <w:right w:val="single" w:sz="4" w:space="0" w:color="auto"/>
            </w:tcBorders>
            <w:vAlign w:val="center"/>
            <w:hideMark/>
          </w:tcPr>
          <w:p w14:paraId="36C580A9"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640</w:t>
            </w:r>
          </w:p>
        </w:tc>
        <w:tc>
          <w:tcPr>
            <w:tcW w:w="932" w:type="dxa"/>
            <w:tcBorders>
              <w:top w:val="nil"/>
              <w:left w:val="nil"/>
              <w:bottom w:val="single" w:sz="4" w:space="0" w:color="auto"/>
              <w:right w:val="single" w:sz="4" w:space="0" w:color="auto"/>
            </w:tcBorders>
            <w:vAlign w:val="center"/>
            <w:hideMark/>
          </w:tcPr>
          <w:p w14:paraId="51E5A24B"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659 </w:t>
            </w:r>
          </w:p>
        </w:tc>
        <w:tc>
          <w:tcPr>
            <w:tcW w:w="987" w:type="dxa"/>
            <w:tcBorders>
              <w:top w:val="nil"/>
              <w:left w:val="nil"/>
              <w:bottom w:val="single" w:sz="4" w:space="0" w:color="auto"/>
              <w:right w:val="single" w:sz="4" w:space="0" w:color="auto"/>
            </w:tcBorders>
            <w:vAlign w:val="center"/>
            <w:hideMark/>
          </w:tcPr>
          <w:p w14:paraId="718FFB59"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602</w:t>
            </w:r>
          </w:p>
        </w:tc>
        <w:tc>
          <w:tcPr>
            <w:tcW w:w="1042" w:type="dxa"/>
            <w:tcBorders>
              <w:top w:val="nil"/>
              <w:left w:val="nil"/>
              <w:bottom w:val="single" w:sz="4" w:space="0" w:color="auto"/>
              <w:right w:val="single" w:sz="4" w:space="0" w:color="auto"/>
            </w:tcBorders>
            <w:vAlign w:val="center"/>
            <w:hideMark/>
          </w:tcPr>
          <w:p w14:paraId="3BAA78F2"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716</w:t>
            </w:r>
          </w:p>
        </w:tc>
        <w:tc>
          <w:tcPr>
            <w:tcW w:w="932" w:type="dxa"/>
            <w:tcBorders>
              <w:top w:val="nil"/>
              <w:left w:val="nil"/>
              <w:bottom w:val="single" w:sz="4" w:space="0" w:color="auto"/>
              <w:right w:val="single" w:sz="4" w:space="0" w:color="auto"/>
            </w:tcBorders>
            <w:vAlign w:val="center"/>
          </w:tcPr>
          <w:p w14:paraId="15EEC03F"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639</w:t>
            </w:r>
          </w:p>
        </w:tc>
      </w:tr>
      <w:tr w:rsidR="00EC5D47" w:rsidRPr="00AD60B6" w14:paraId="6FDEFDA7"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78F1A719"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Против предузетника</w:t>
            </w:r>
          </w:p>
        </w:tc>
        <w:tc>
          <w:tcPr>
            <w:tcW w:w="932" w:type="dxa"/>
            <w:tcBorders>
              <w:top w:val="nil"/>
              <w:left w:val="nil"/>
              <w:bottom w:val="single" w:sz="4" w:space="0" w:color="auto"/>
              <w:right w:val="single" w:sz="4" w:space="0" w:color="auto"/>
            </w:tcBorders>
            <w:vAlign w:val="center"/>
            <w:hideMark/>
          </w:tcPr>
          <w:p w14:paraId="69A46CC2"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176</w:t>
            </w:r>
          </w:p>
        </w:tc>
        <w:tc>
          <w:tcPr>
            <w:tcW w:w="932" w:type="dxa"/>
            <w:tcBorders>
              <w:top w:val="nil"/>
              <w:left w:val="nil"/>
              <w:bottom w:val="single" w:sz="4" w:space="0" w:color="auto"/>
              <w:right w:val="single" w:sz="4" w:space="0" w:color="auto"/>
            </w:tcBorders>
            <w:vAlign w:val="center"/>
            <w:hideMark/>
          </w:tcPr>
          <w:p w14:paraId="63ED3700"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661</w:t>
            </w:r>
          </w:p>
        </w:tc>
        <w:tc>
          <w:tcPr>
            <w:tcW w:w="932" w:type="dxa"/>
            <w:tcBorders>
              <w:top w:val="nil"/>
              <w:left w:val="nil"/>
              <w:bottom w:val="single" w:sz="4" w:space="0" w:color="auto"/>
              <w:right w:val="single" w:sz="4" w:space="0" w:color="auto"/>
            </w:tcBorders>
            <w:vAlign w:val="center"/>
            <w:hideMark/>
          </w:tcPr>
          <w:p w14:paraId="1E63E3C1"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613 </w:t>
            </w:r>
          </w:p>
        </w:tc>
        <w:tc>
          <w:tcPr>
            <w:tcW w:w="987" w:type="dxa"/>
            <w:tcBorders>
              <w:top w:val="nil"/>
              <w:left w:val="nil"/>
              <w:bottom w:val="single" w:sz="4" w:space="0" w:color="auto"/>
              <w:right w:val="single" w:sz="4" w:space="0" w:color="auto"/>
            </w:tcBorders>
            <w:vAlign w:val="center"/>
            <w:hideMark/>
          </w:tcPr>
          <w:p w14:paraId="7925140A"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477</w:t>
            </w:r>
          </w:p>
        </w:tc>
        <w:tc>
          <w:tcPr>
            <w:tcW w:w="1042" w:type="dxa"/>
            <w:tcBorders>
              <w:top w:val="nil"/>
              <w:left w:val="nil"/>
              <w:bottom w:val="single" w:sz="4" w:space="0" w:color="auto"/>
              <w:right w:val="single" w:sz="4" w:space="0" w:color="auto"/>
            </w:tcBorders>
            <w:vAlign w:val="center"/>
            <w:hideMark/>
          </w:tcPr>
          <w:p w14:paraId="1E7EB4ED"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607</w:t>
            </w:r>
          </w:p>
        </w:tc>
        <w:tc>
          <w:tcPr>
            <w:tcW w:w="932" w:type="dxa"/>
            <w:tcBorders>
              <w:top w:val="nil"/>
              <w:left w:val="nil"/>
              <w:bottom w:val="single" w:sz="4" w:space="0" w:color="auto"/>
              <w:right w:val="single" w:sz="4" w:space="0" w:color="auto"/>
            </w:tcBorders>
            <w:vAlign w:val="center"/>
          </w:tcPr>
          <w:p w14:paraId="7DEFB425"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597</w:t>
            </w:r>
          </w:p>
        </w:tc>
      </w:tr>
      <w:tr w:rsidR="00EC5D47" w:rsidRPr="00AD60B6" w14:paraId="0BDFA964"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58B5E694"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Против запослених</w:t>
            </w:r>
          </w:p>
        </w:tc>
        <w:tc>
          <w:tcPr>
            <w:tcW w:w="932" w:type="dxa"/>
            <w:tcBorders>
              <w:top w:val="nil"/>
              <w:left w:val="nil"/>
              <w:bottom w:val="single" w:sz="4" w:space="0" w:color="auto"/>
              <w:right w:val="single" w:sz="4" w:space="0" w:color="auto"/>
            </w:tcBorders>
            <w:vAlign w:val="center"/>
            <w:hideMark/>
          </w:tcPr>
          <w:p w14:paraId="555B9FCB"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55</w:t>
            </w:r>
          </w:p>
        </w:tc>
        <w:tc>
          <w:tcPr>
            <w:tcW w:w="932" w:type="dxa"/>
            <w:tcBorders>
              <w:top w:val="nil"/>
              <w:left w:val="nil"/>
              <w:bottom w:val="single" w:sz="4" w:space="0" w:color="auto"/>
              <w:right w:val="single" w:sz="4" w:space="0" w:color="auto"/>
            </w:tcBorders>
            <w:vAlign w:val="center"/>
            <w:hideMark/>
          </w:tcPr>
          <w:p w14:paraId="370E1B65"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84</w:t>
            </w:r>
          </w:p>
        </w:tc>
        <w:tc>
          <w:tcPr>
            <w:tcW w:w="932" w:type="dxa"/>
            <w:tcBorders>
              <w:top w:val="nil"/>
              <w:left w:val="nil"/>
              <w:bottom w:val="single" w:sz="4" w:space="0" w:color="auto"/>
              <w:right w:val="single" w:sz="4" w:space="0" w:color="auto"/>
            </w:tcBorders>
            <w:vAlign w:val="center"/>
            <w:hideMark/>
          </w:tcPr>
          <w:p w14:paraId="333DB3B4"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68 </w:t>
            </w:r>
          </w:p>
        </w:tc>
        <w:tc>
          <w:tcPr>
            <w:tcW w:w="987" w:type="dxa"/>
            <w:tcBorders>
              <w:top w:val="nil"/>
              <w:left w:val="nil"/>
              <w:bottom w:val="single" w:sz="4" w:space="0" w:color="auto"/>
              <w:right w:val="single" w:sz="4" w:space="0" w:color="auto"/>
            </w:tcBorders>
            <w:vAlign w:val="center"/>
            <w:hideMark/>
          </w:tcPr>
          <w:p w14:paraId="6123DB34"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42</w:t>
            </w:r>
          </w:p>
        </w:tc>
        <w:tc>
          <w:tcPr>
            <w:tcW w:w="1042" w:type="dxa"/>
            <w:tcBorders>
              <w:top w:val="nil"/>
              <w:left w:val="nil"/>
              <w:bottom w:val="single" w:sz="4" w:space="0" w:color="auto"/>
              <w:right w:val="single" w:sz="4" w:space="0" w:color="auto"/>
            </w:tcBorders>
            <w:vAlign w:val="center"/>
            <w:hideMark/>
          </w:tcPr>
          <w:p w14:paraId="379D396D"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69</w:t>
            </w:r>
          </w:p>
        </w:tc>
        <w:tc>
          <w:tcPr>
            <w:tcW w:w="932" w:type="dxa"/>
            <w:tcBorders>
              <w:top w:val="nil"/>
              <w:left w:val="nil"/>
              <w:bottom w:val="single" w:sz="4" w:space="0" w:color="auto"/>
              <w:right w:val="single" w:sz="4" w:space="0" w:color="auto"/>
            </w:tcBorders>
            <w:vAlign w:val="center"/>
          </w:tcPr>
          <w:p w14:paraId="25B0D4C7"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53</w:t>
            </w:r>
          </w:p>
        </w:tc>
      </w:tr>
      <w:tr w:rsidR="00EC5D47" w:rsidRPr="00AD60B6" w14:paraId="6ECAC034" w14:textId="77777777" w:rsidTr="003E55AB">
        <w:trPr>
          <w:trHeight w:val="300"/>
          <w:jc w:val="center"/>
        </w:trPr>
        <w:tc>
          <w:tcPr>
            <w:tcW w:w="0" w:type="auto"/>
            <w:tcBorders>
              <w:top w:val="nil"/>
              <w:left w:val="single" w:sz="4" w:space="0" w:color="auto"/>
              <w:bottom w:val="single" w:sz="4" w:space="0" w:color="auto"/>
              <w:right w:val="single" w:sz="4" w:space="0" w:color="auto"/>
            </w:tcBorders>
            <w:vAlign w:val="center"/>
            <w:hideMark/>
          </w:tcPr>
          <w:p w14:paraId="1E7225AA"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Против лица за безбедност</w:t>
            </w:r>
          </w:p>
        </w:tc>
        <w:tc>
          <w:tcPr>
            <w:tcW w:w="932" w:type="dxa"/>
            <w:tcBorders>
              <w:top w:val="nil"/>
              <w:left w:val="nil"/>
              <w:bottom w:val="single" w:sz="4" w:space="0" w:color="auto"/>
              <w:right w:val="single" w:sz="4" w:space="0" w:color="auto"/>
            </w:tcBorders>
            <w:vAlign w:val="center"/>
            <w:hideMark/>
          </w:tcPr>
          <w:p w14:paraId="1C1BB769"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27</w:t>
            </w:r>
          </w:p>
        </w:tc>
        <w:tc>
          <w:tcPr>
            <w:tcW w:w="932" w:type="dxa"/>
            <w:tcBorders>
              <w:top w:val="nil"/>
              <w:left w:val="nil"/>
              <w:bottom w:val="single" w:sz="4" w:space="0" w:color="auto"/>
              <w:right w:val="single" w:sz="4" w:space="0" w:color="auto"/>
            </w:tcBorders>
            <w:vAlign w:val="center"/>
            <w:hideMark/>
          </w:tcPr>
          <w:p w14:paraId="6E580A03"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86</w:t>
            </w:r>
          </w:p>
        </w:tc>
        <w:tc>
          <w:tcPr>
            <w:tcW w:w="932" w:type="dxa"/>
            <w:tcBorders>
              <w:top w:val="nil"/>
              <w:left w:val="nil"/>
              <w:bottom w:val="single" w:sz="4" w:space="0" w:color="auto"/>
              <w:right w:val="single" w:sz="4" w:space="0" w:color="auto"/>
            </w:tcBorders>
            <w:vAlign w:val="center"/>
            <w:hideMark/>
          </w:tcPr>
          <w:p w14:paraId="4285113F"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104 </w:t>
            </w:r>
          </w:p>
        </w:tc>
        <w:tc>
          <w:tcPr>
            <w:tcW w:w="987" w:type="dxa"/>
            <w:tcBorders>
              <w:top w:val="nil"/>
              <w:left w:val="nil"/>
              <w:bottom w:val="single" w:sz="4" w:space="0" w:color="auto"/>
              <w:right w:val="single" w:sz="4" w:space="0" w:color="auto"/>
            </w:tcBorders>
            <w:vAlign w:val="center"/>
            <w:hideMark/>
          </w:tcPr>
          <w:p w14:paraId="05F376FB"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47</w:t>
            </w:r>
          </w:p>
        </w:tc>
        <w:tc>
          <w:tcPr>
            <w:tcW w:w="1042" w:type="dxa"/>
            <w:tcBorders>
              <w:top w:val="nil"/>
              <w:left w:val="nil"/>
              <w:bottom w:val="single" w:sz="4" w:space="0" w:color="auto"/>
              <w:right w:val="single" w:sz="4" w:space="0" w:color="auto"/>
            </w:tcBorders>
            <w:vAlign w:val="center"/>
            <w:hideMark/>
          </w:tcPr>
          <w:p w14:paraId="68282D89"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50</w:t>
            </w:r>
          </w:p>
        </w:tc>
        <w:tc>
          <w:tcPr>
            <w:tcW w:w="932" w:type="dxa"/>
            <w:tcBorders>
              <w:top w:val="nil"/>
              <w:left w:val="nil"/>
              <w:bottom w:val="single" w:sz="4" w:space="0" w:color="auto"/>
              <w:right w:val="single" w:sz="4" w:space="0" w:color="auto"/>
            </w:tcBorders>
            <w:vAlign w:val="center"/>
          </w:tcPr>
          <w:p w14:paraId="6867BD01"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sr-Cyrl-RS" w:eastAsia="en-GB"/>
              </w:rPr>
              <w:t>35</w:t>
            </w:r>
          </w:p>
        </w:tc>
      </w:tr>
      <w:tr w:rsidR="00EC5D47" w:rsidRPr="00AD60B6" w14:paraId="3ADA7C7E" w14:textId="77777777" w:rsidTr="003E55AB">
        <w:trPr>
          <w:trHeight w:val="300"/>
          <w:jc w:val="center"/>
        </w:trPr>
        <w:tc>
          <w:tcPr>
            <w:tcW w:w="0" w:type="auto"/>
            <w:tcBorders>
              <w:top w:val="nil"/>
              <w:left w:val="single" w:sz="4" w:space="0" w:color="auto"/>
              <w:bottom w:val="single" w:sz="4" w:space="0" w:color="auto"/>
              <w:right w:val="single" w:sz="4" w:space="0" w:color="auto"/>
            </w:tcBorders>
            <w:shd w:val="clear" w:color="000000" w:fill="C0C0C0"/>
            <w:vAlign w:val="center"/>
            <w:hideMark/>
          </w:tcPr>
          <w:p w14:paraId="733C79DB" w14:textId="77777777" w:rsidR="00EC5D47" w:rsidRPr="00AD60B6" w:rsidRDefault="00EC5D47" w:rsidP="00125B70">
            <w:pPr>
              <w:spacing w:after="0" w:line="240" w:lineRule="auto"/>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Укупан број поднетих пријава за покретање кривичног поступка</w:t>
            </w:r>
          </w:p>
        </w:tc>
        <w:tc>
          <w:tcPr>
            <w:tcW w:w="932" w:type="dxa"/>
            <w:tcBorders>
              <w:top w:val="nil"/>
              <w:left w:val="nil"/>
              <w:bottom w:val="single" w:sz="4" w:space="0" w:color="auto"/>
              <w:right w:val="single" w:sz="4" w:space="0" w:color="auto"/>
            </w:tcBorders>
            <w:shd w:val="clear" w:color="000000" w:fill="C0C0C0"/>
            <w:noWrap/>
            <w:vAlign w:val="center"/>
            <w:hideMark/>
          </w:tcPr>
          <w:p w14:paraId="721BC735"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34</w:t>
            </w:r>
          </w:p>
        </w:tc>
        <w:tc>
          <w:tcPr>
            <w:tcW w:w="932" w:type="dxa"/>
            <w:tcBorders>
              <w:top w:val="nil"/>
              <w:left w:val="nil"/>
              <w:bottom w:val="single" w:sz="4" w:space="0" w:color="auto"/>
              <w:right w:val="single" w:sz="4" w:space="0" w:color="auto"/>
            </w:tcBorders>
            <w:shd w:val="clear" w:color="000000" w:fill="C0C0C0"/>
            <w:noWrap/>
            <w:vAlign w:val="center"/>
            <w:hideMark/>
          </w:tcPr>
          <w:p w14:paraId="2EB637D0"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sr-Cyrl-BA" w:eastAsia="en-GB"/>
              </w:rPr>
              <w:t>40</w:t>
            </w:r>
          </w:p>
        </w:tc>
        <w:tc>
          <w:tcPr>
            <w:tcW w:w="932" w:type="dxa"/>
            <w:tcBorders>
              <w:top w:val="nil"/>
              <w:left w:val="nil"/>
              <w:bottom w:val="single" w:sz="4" w:space="0" w:color="auto"/>
              <w:right w:val="single" w:sz="4" w:space="0" w:color="auto"/>
            </w:tcBorders>
            <w:shd w:val="clear" w:color="000000" w:fill="C0C0C0"/>
            <w:noWrap/>
            <w:vAlign w:val="center"/>
            <w:hideMark/>
          </w:tcPr>
          <w:p w14:paraId="1F87EE45"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32 </w:t>
            </w:r>
          </w:p>
        </w:tc>
        <w:tc>
          <w:tcPr>
            <w:tcW w:w="987" w:type="dxa"/>
            <w:tcBorders>
              <w:top w:val="nil"/>
              <w:left w:val="nil"/>
              <w:bottom w:val="single" w:sz="4" w:space="0" w:color="auto"/>
              <w:right w:val="single" w:sz="4" w:space="0" w:color="auto"/>
            </w:tcBorders>
            <w:shd w:val="clear" w:color="000000" w:fill="C0C0C0"/>
            <w:noWrap/>
            <w:vAlign w:val="center"/>
            <w:hideMark/>
          </w:tcPr>
          <w:p w14:paraId="3CCCA063"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31</w:t>
            </w:r>
          </w:p>
        </w:tc>
        <w:tc>
          <w:tcPr>
            <w:tcW w:w="1042" w:type="dxa"/>
            <w:tcBorders>
              <w:top w:val="nil"/>
              <w:left w:val="nil"/>
              <w:bottom w:val="single" w:sz="4" w:space="0" w:color="auto"/>
              <w:right w:val="single" w:sz="4" w:space="0" w:color="auto"/>
            </w:tcBorders>
            <w:shd w:val="clear" w:color="000000" w:fill="C0C0C0"/>
            <w:noWrap/>
            <w:vAlign w:val="center"/>
            <w:hideMark/>
          </w:tcPr>
          <w:p w14:paraId="1131CF35" w14:textId="77777777" w:rsidR="00EC5D47" w:rsidRPr="00AD60B6" w:rsidRDefault="00EC5D47" w:rsidP="00125B70">
            <w:pPr>
              <w:spacing w:after="0" w:line="240" w:lineRule="auto"/>
              <w:jc w:val="right"/>
              <w:rPr>
                <w:rFonts w:ascii="Times New Roman" w:hAnsi="Times New Roman" w:cs="Times New Roman"/>
                <w:bCs/>
                <w:sz w:val="24"/>
                <w:szCs w:val="24"/>
                <w:lang w:val="en-GB" w:eastAsia="en-GB"/>
              </w:rPr>
            </w:pPr>
            <w:r w:rsidRPr="00AD60B6">
              <w:rPr>
                <w:rFonts w:ascii="Times New Roman" w:hAnsi="Times New Roman" w:cs="Times New Roman"/>
                <w:bCs/>
                <w:sz w:val="24"/>
                <w:szCs w:val="24"/>
                <w:lang w:val="en-GB" w:eastAsia="en-GB"/>
              </w:rPr>
              <w:t>65</w:t>
            </w:r>
          </w:p>
        </w:tc>
        <w:tc>
          <w:tcPr>
            <w:tcW w:w="932" w:type="dxa"/>
            <w:tcBorders>
              <w:top w:val="nil"/>
              <w:left w:val="nil"/>
              <w:bottom w:val="single" w:sz="4" w:space="0" w:color="auto"/>
              <w:right w:val="single" w:sz="4" w:space="0" w:color="auto"/>
            </w:tcBorders>
            <w:shd w:val="clear" w:color="000000" w:fill="C0C0C0"/>
            <w:vAlign w:val="center"/>
          </w:tcPr>
          <w:p w14:paraId="3EE6E48B" w14:textId="77777777" w:rsidR="00EC5D47" w:rsidRPr="00AD60B6" w:rsidRDefault="00EC5D47" w:rsidP="00125B70">
            <w:pPr>
              <w:spacing w:after="0" w:line="240" w:lineRule="auto"/>
              <w:jc w:val="right"/>
              <w:rPr>
                <w:rFonts w:ascii="Times New Roman" w:hAnsi="Times New Roman" w:cs="Times New Roman"/>
                <w:bCs/>
                <w:sz w:val="24"/>
                <w:szCs w:val="24"/>
                <w:lang w:val="sr-Cyrl-RS" w:eastAsia="en-GB"/>
              </w:rPr>
            </w:pPr>
            <w:r w:rsidRPr="00AD60B6">
              <w:rPr>
                <w:rFonts w:ascii="Times New Roman" w:hAnsi="Times New Roman" w:cs="Times New Roman"/>
                <w:bCs/>
                <w:sz w:val="24"/>
                <w:szCs w:val="24"/>
                <w:lang w:val="en-GB" w:eastAsia="en-GB"/>
              </w:rPr>
              <w:t>42</w:t>
            </w:r>
          </w:p>
        </w:tc>
      </w:tr>
    </w:tbl>
    <w:p w14:paraId="30541CED" w14:textId="77777777" w:rsidR="00EC5D47" w:rsidRPr="00FB3C63" w:rsidRDefault="00EC5D47" w:rsidP="00FB3C63">
      <w:pPr>
        <w:spacing w:after="150"/>
        <w:ind w:firstLine="720"/>
        <w:jc w:val="both"/>
        <w:rPr>
          <w:rFonts w:ascii="Times New Roman" w:hAnsi="Times New Roman" w:cs="Times New Roman"/>
          <w:color w:val="000000"/>
          <w:sz w:val="24"/>
          <w:szCs w:val="24"/>
          <w:lang w:val="sr-Cyrl-RS"/>
        </w:rPr>
      </w:pPr>
      <w:r w:rsidRPr="00FB3C63">
        <w:rPr>
          <w:rFonts w:ascii="Times New Roman" w:hAnsi="Times New Roman" w:cs="Times New Roman"/>
          <w:color w:val="000000"/>
          <w:sz w:val="24"/>
          <w:szCs w:val="24"/>
          <w:lang w:val="sr-Cyrl-RS"/>
        </w:rPr>
        <w:t xml:space="preserve">Извор: Извештаји Инспектората за рад </w:t>
      </w:r>
    </w:p>
    <w:p w14:paraId="25E6878A" w14:textId="3D7DE711" w:rsidR="00EC5D47" w:rsidRPr="00FB3C63" w:rsidRDefault="00125B70" w:rsidP="00FB3C63">
      <w:pPr>
        <w:spacing w:after="150"/>
        <w:ind w:firstLine="720"/>
        <w:jc w:val="both"/>
        <w:rPr>
          <w:rFonts w:ascii="Times New Roman" w:hAnsi="Times New Roman" w:cs="Times New Roman"/>
          <w:b/>
          <w:color w:val="000000"/>
          <w:sz w:val="24"/>
          <w:szCs w:val="24"/>
          <w:lang w:val="sr-Cyrl-RS"/>
        </w:rPr>
      </w:pPr>
      <w:bookmarkStart w:id="26" w:name="_Toc126746529"/>
      <w:bookmarkEnd w:id="25"/>
      <w:r w:rsidRPr="00FB3C63">
        <w:rPr>
          <w:rFonts w:ascii="Times New Roman" w:hAnsi="Times New Roman" w:cs="Times New Roman"/>
          <w:b/>
          <w:color w:val="000000"/>
          <w:sz w:val="24"/>
          <w:szCs w:val="24"/>
          <w:lang w:val="sr-Cyrl-RS"/>
        </w:rPr>
        <w:t xml:space="preserve">3.7. </w:t>
      </w:r>
      <w:r w:rsidR="00EC5D47" w:rsidRPr="00FB3C63">
        <w:rPr>
          <w:rFonts w:ascii="Times New Roman" w:hAnsi="Times New Roman" w:cs="Times New Roman"/>
          <w:b/>
          <w:color w:val="000000"/>
          <w:sz w:val="24"/>
          <w:szCs w:val="24"/>
          <w:lang w:val="sr-Cyrl-RS"/>
        </w:rPr>
        <w:t>Анализа правних и физичких лица за обављање послова у области безбедности и здравља на раду</w:t>
      </w:r>
      <w:bookmarkEnd w:id="26"/>
    </w:p>
    <w:p w14:paraId="17EA9200" w14:textId="64C8A5DE" w:rsidR="00EC5D47" w:rsidRPr="00AD60B6" w:rsidRDefault="00EC5D47" w:rsidP="00125B70">
      <w:pPr>
        <w:ind w:firstLine="720"/>
        <w:jc w:val="both"/>
        <w:rPr>
          <w:rFonts w:ascii="Times New Roman" w:hAnsi="Times New Roman" w:cs="Times New Roman"/>
          <w:sz w:val="24"/>
          <w:szCs w:val="24"/>
        </w:rPr>
      </w:pPr>
      <w:r w:rsidRPr="00D26621">
        <w:rPr>
          <w:rFonts w:ascii="Times New Roman" w:hAnsi="Times New Roman" w:cs="Times New Roman"/>
          <w:sz w:val="24"/>
          <w:szCs w:val="24"/>
          <w:lang w:val="sr-Cyrl-RS"/>
        </w:rPr>
        <w:t>Лице за безбедност и здравље на раду обавља послове у складу са Законом, а нарочито послове којима се спроводи поступак о процени ризика</w:t>
      </w:r>
      <w:r w:rsidRPr="00D26621">
        <w:rPr>
          <w:rFonts w:ascii="Times New Roman" w:hAnsi="Times New Roman" w:cs="Times New Roman"/>
          <w:sz w:val="24"/>
          <w:szCs w:val="24"/>
        </w:rPr>
        <w:t>.</w:t>
      </w:r>
      <w:r w:rsidRPr="00D26621">
        <w:rPr>
          <w:rFonts w:ascii="Times New Roman" w:hAnsi="Times New Roman" w:cs="Times New Roman"/>
          <w:sz w:val="24"/>
          <w:szCs w:val="24"/>
          <w:lang w:val="sr-Cyrl-RS"/>
        </w:rPr>
        <w:t xml:space="preserve"> Лица за безбедност и здравље на раду, координатори за безбедност и здравље на раду у фази израде пројекта, координатори за безбедност и здравље на раду у фази извођења радова, овлашћене организације за обављање послова безбедности и здравља на раду, као и представник запослених за безбедност и здравље на раду </w:t>
      </w:r>
      <w:r w:rsidRPr="00D26621">
        <w:rPr>
          <w:rFonts w:ascii="Times New Roman" w:hAnsi="Times New Roman" w:cs="Times New Roman"/>
          <w:sz w:val="24"/>
          <w:szCs w:val="24"/>
        </w:rPr>
        <w:t xml:space="preserve">један су од основних </w:t>
      </w:r>
      <w:r w:rsidR="00D26621" w:rsidRPr="00D26621">
        <w:rPr>
          <w:rFonts w:ascii="Times New Roman" w:hAnsi="Times New Roman" w:cs="Times New Roman"/>
          <w:sz w:val="24"/>
          <w:szCs w:val="24"/>
          <w:lang w:val="sr-Cyrl-RS"/>
        </w:rPr>
        <w:t>стубова</w:t>
      </w:r>
      <w:r w:rsidRPr="00D26621">
        <w:rPr>
          <w:rFonts w:ascii="Times New Roman" w:hAnsi="Times New Roman" w:cs="Times New Roman"/>
          <w:sz w:val="24"/>
          <w:szCs w:val="24"/>
          <w:lang w:val="sr-Cyrl-RS"/>
        </w:rPr>
        <w:t xml:space="preserve"> на којима почива овај систем </w:t>
      </w:r>
      <w:r w:rsidRPr="00D26621">
        <w:rPr>
          <w:rFonts w:ascii="Times New Roman" w:hAnsi="Times New Roman" w:cs="Times New Roman"/>
          <w:sz w:val="24"/>
          <w:szCs w:val="24"/>
        </w:rPr>
        <w:t>безбедности и здравља на раду</w:t>
      </w:r>
      <w:r w:rsidRPr="00AD60B6">
        <w:rPr>
          <w:rFonts w:ascii="Times New Roman" w:hAnsi="Times New Roman" w:cs="Times New Roman"/>
          <w:sz w:val="24"/>
          <w:szCs w:val="24"/>
        </w:rPr>
        <w:t>.</w:t>
      </w:r>
    </w:p>
    <w:p w14:paraId="1CEFCDD0" w14:textId="77777777" w:rsidR="00EC5D47" w:rsidRPr="005C64DC" w:rsidRDefault="00EC5D47" w:rsidP="005C64DC">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bCs/>
          <w:sz w:val="24"/>
          <w:szCs w:val="24"/>
          <w:lang w:val="sr-Cyrl-RS"/>
        </w:rPr>
        <w:t xml:space="preserve">Испит за обављање послова безбедности и здравља на раду је положило више од </w:t>
      </w:r>
      <w:r w:rsidRPr="005C64DC">
        <w:rPr>
          <w:rFonts w:ascii="Times New Roman" w:hAnsi="Times New Roman" w:cs="Times New Roman"/>
          <w:sz w:val="24"/>
          <w:szCs w:val="24"/>
          <w:lang w:val="sr-Cyrl-RS"/>
        </w:rPr>
        <w:t xml:space="preserve">половине кандидата (2018-59,87%, 2019-54,22%, 2020-50,37%. 2021-53,38% и 2022-52,92%). </w:t>
      </w:r>
    </w:p>
    <w:p w14:paraId="4283D741" w14:textId="77777777" w:rsidR="00D26621" w:rsidRPr="005C64DC" w:rsidRDefault="00EC5D47" w:rsidP="005C64DC">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sz w:val="24"/>
          <w:szCs w:val="24"/>
          <w:lang w:val="sr-Cyrl-RS"/>
        </w:rPr>
        <w:t xml:space="preserve">Новим Законом о безбедности и здрављу на раду се : </w:t>
      </w:r>
    </w:p>
    <w:p w14:paraId="34EF8FD4" w14:textId="7F64364B" w:rsidR="00EC5D47" w:rsidRPr="005C64DC" w:rsidRDefault="00EC5D47" w:rsidP="005C64DC">
      <w:pPr>
        <w:spacing w:after="120" w:line="264" w:lineRule="auto"/>
        <w:ind w:firstLine="720"/>
        <w:jc w:val="both"/>
        <w:rPr>
          <w:rFonts w:ascii="Times New Roman" w:hAnsi="Times New Roman" w:cs="Times New Roman"/>
          <w:bCs/>
          <w:sz w:val="24"/>
          <w:szCs w:val="24"/>
          <w:lang w:val="sr-Cyrl-RS"/>
        </w:rPr>
      </w:pPr>
      <w:r w:rsidRPr="005C64DC">
        <w:rPr>
          <w:rFonts w:ascii="Times New Roman" w:hAnsi="Times New Roman" w:cs="Times New Roman"/>
          <w:sz w:val="24"/>
          <w:szCs w:val="24"/>
          <w:lang w:val="sr-Cyrl-RS"/>
        </w:rPr>
        <w:t>- прописују врсте лиценци у области безбедности и здравља на раду које решењем издаје, односно обнавља министар надлежан за послове безбедности и здравља на ради, и то: саветнику за безбедност и здравље на раду; сараднику за безбедност и здравље на раду; координатору за безбедност и здравље на раду у фази израде пројекта; координатору за безбедност и здравље на раду у фази извођења радова; одговорном лицу за обављање послова прегледа и провере опреме за рад и прегледа и испитивања</w:t>
      </w:r>
      <w:r w:rsidRPr="005C64DC">
        <w:rPr>
          <w:rFonts w:ascii="Times New Roman" w:hAnsi="Times New Roman" w:cs="Times New Roman"/>
          <w:bCs/>
          <w:sz w:val="24"/>
          <w:szCs w:val="24"/>
          <w:lang w:val="sr-Cyrl-RS"/>
        </w:rPr>
        <w:t xml:space="preserve"> електричних и громобранских инсталација; одговорном лицу за обављање послова испитивања услова радне средине, односно хемијских и физичких штетности (осим јонизујућих зрачења), микроклиме и освељености, одговорном лицу за обављање послова испитивања услова радне средине – биолошких; правном лицу или предузетнику за обављање послова безбедности и здравља на раду; правном лицу за обављање послова прегледа и провере опреме за рад и прегледа и испитивања </w:t>
      </w:r>
      <w:r w:rsidRPr="005C64DC">
        <w:rPr>
          <w:rFonts w:ascii="Times New Roman" w:hAnsi="Times New Roman" w:cs="Times New Roman"/>
          <w:bCs/>
          <w:sz w:val="24"/>
          <w:szCs w:val="24"/>
          <w:lang w:val="sr-Cyrl-RS"/>
        </w:rPr>
        <w:lastRenderedPageBreak/>
        <w:t xml:space="preserve">електричних и громобранских инсталација; правном лицу за обављање послова испитивања услова радне средине, односно хемијских и физичких штетности (осим јонизујућих зрачења), микроклиме и освељености и правном лицу за обављање послова испитивања услова радне средине – биолошких штетности. </w:t>
      </w:r>
    </w:p>
    <w:p w14:paraId="656D8B2F" w14:textId="77777777" w:rsidR="00EC5D47" w:rsidRPr="005C64DC" w:rsidRDefault="00EC5D47" w:rsidP="005C64DC">
      <w:pPr>
        <w:spacing w:after="120" w:line="264" w:lineRule="auto"/>
        <w:ind w:firstLine="720"/>
        <w:jc w:val="both"/>
        <w:rPr>
          <w:rFonts w:ascii="Times New Roman" w:hAnsi="Times New Roman" w:cs="Times New Roman"/>
          <w:bCs/>
          <w:sz w:val="24"/>
          <w:szCs w:val="24"/>
          <w:lang w:val="sr-Cyrl-RS"/>
        </w:rPr>
      </w:pPr>
      <w:r w:rsidRPr="005C64DC">
        <w:rPr>
          <w:rFonts w:ascii="Times New Roman" w:hAnsi="Times New Roman" w:cs="Times New Roman"/>
          <w:bCs/>
          <w:sz w:val="24"/>
          <w:szCs w:val="24"/>
          <w:lang w:val="sr-Cyrl-RS"/>
        </w:rPr>
        <w:t xml:space="preserve">- прописана је обавеза континуираног усавршавања знања у области безбедности и здравља на раду и </w:t>
      </w:r>
    </w:p>
    <w:p w14:paraId="36817BBE" w14:textId="77777777" w:rsidR="00EC5D47" w:rsidRPr="005C64DC" w:rsidRDefault="00EC5D47" w:rsidP="005C64DC">
      <w:pPr>
        <w:spacing w:after="120" w:line="264" w:lineRule="auto"/>
        <w:ind w:firstLine="720"/>
        <w:jc w:val="both"/>
        <w:rPr>
          <w:rFonts w:ascii="Times New Roman" w:hAnsi="Times New Roman" w:cs="Times New Roman"/>
          <w:bCs/>
          <w:sz w:val="24"/>
          <w:szCs w:val="24"/>
          <w:lang w:val="sr-Cyrl-RS"/>
        </w:rPr>
      </w:pPr>
      <w:r w:rsidRPr="005C64DC">
        <w:rPr>
          <w:rFonts w:ascii="Times New Roman" w:hAnsi="Times New Roman" w:cs="Times New Roman"/>
          <w:bCs/>
          <w:sz w:val="24"/>
          <w:szCs w:val="24"/>
          <w:lang w:val="sr-Cyrl-RS"/>
        </w:rPr>
        <w:t xml:space="preserve">- успостављања регистра о издатим, обновљеним и одузетим лиценцама у области безбедности и здравља на раду. </w:t>
      </w:r>
    </w:p>
    <w:p w14:paraId="2074F08E" w14:textId="354145F4" w:rsidR="00EC5D47" w:rsidRPr="005C64DC" w:rsidRDefault="00EC5D47" w:rsidP="005C64DC">
      <w:pPr>
        <w:spacing w:after="120" w:line="264" w:lineRule="auto"/>
        <w:ind w:firstLine="720"/>
        <w:jc w:val="both"/>
        <w:rPr>
          <w:rFonts w:ascii="Times New Roman" w:hAnsi="Times New Roman" w:cs="Times New Roman"/>
          <w:bCs/>
          <w:sz w:val="24"/>
          <w:szCs w:val="24"/>
          <w:lang w:val="sr-Cyrl-RS"/>
        </w:rPr>
      </w:pPr>
      <w:r w:rsidRPr="005C64DC">
        <w:rPr>
          <w:rFonts w:ascii="Times New Roman" w:hAnsi="Times New Roman" w:cs="Times New Roman"/>
          <w:bCs/>
          <w:sz w:val="24"/>
          <w:szCs w:val="24"/>
          <w:lang w:val="sr-Cyrl-RS"/>
        </w:rPr>
        <w:t>Напред на</w:t>
      </w:r>
      <w:r w:rsidR="005B2FE2">
        <w:rPr>
          <w:rFonts w:ascii="Times New Roman" w:hAnsi="Times New Roman" w:cs="Times New Roman"/>
          <w:bCs/>
          <w:sz w:val="24"/>
          <w:szCs w:val="24"/>
          <w:lang w:val="sr-Cyrl-RS"/>
        </w:rPr>
        <w:t>веденим уведено законско решење</w:t>
      </w:r>
      <w:r w:rsidRPr="005C64DC">
        <w:rPr>
          <w:rFonts w:ascii="Times New Roman" w:hAnsi="Times New Roman" w:cs="Times New Roman"/>
          <w:bCs/>
          <w:sz w:val="24"/>
          <w:szCs w:val="24"/>
          <w:lang w:val="sr-Cyrl-RS"/>
        </w:rPr>
        <w:t>:</w:t>
      </w:r>
    </w:p>
    <w:p w14:paraId="413D4AD5" w14:textId="77777777" w:rsidR="00EC5D47" w:rsidRPr="005C64DC" w:rsidRDefault="00EC5D47" w:rsidP="005C64DC">
      <w:pPr>
        <w:spacing w:after="120" w:line="264" w:lineRule="auto"/>
        <w:ind w:firstLine="720"/>
        <w:jc w:val="both"/>
        <w:rPr>
          <w:rFonts w:ascii="Times New Roman" w:hAnsi="Times New Roman" w:cs="Times New Roman"/>
          <w:bCs/>
          <w:sz w:val="24"/>
          <w:szCs w:val="24"/>
          <w:lang w:val="sr-Cyrl-RS"/>
        </w:rPr>
      </w:pPr>
      <w:r w:rsidRPr="005C64DC">
        <w:rPr>
          <w:rFonts w:ascii="Times New Roman" w:hAnsi="Times New Roman" w:cs="Times New Roman"/>
          <w:bCs/>
          <w:sz w:val="24"/>
          <w:szCs w:val="24"/>
          <w:lang w:val="sr-Cyrl-RS"/>
        </w:rPr>
        <w:t>- којим је прописана обавеза за стручњаке који се баве пословима безбедности и здравља на раду да су дужни да имају лиценцу за обављање тих послова. Такође, послове координатора на градилиштима могу обављати само лица којима је издата лиценца за обављање тих послова. Увођење лиценци за обављање свих стручних послова у области безбедности и здравља на раду има за циљ да се у поступку издавања и обнављања лиценце врши додатна контрола испуњености услова за обављање ових послова који су од општег друштвеног значаја,</w:t>
      </w:r>
    </w:p>
    <w:p w14:paraId="676C9FA6" w14:textId="77777777" w:rsidR="00EC5D47" w:rsidRPr="005C64DC" w:rsidRDefault="00EC5D47" w:rsidP="005C64DC">
      <w:pPr>
        <w:spacing w:after="120" w:line="264" w:lineRule="auto"/>
        <w:ind w:firstLine="720"/>
        <w:jc w:val="both"/>
        <w:rPr>
          <w:rFonts w:ascii="Times New Roman" w:hAnsi="Times New Roman" w:cs="Times New Roman"/>
          <w:bCs/>
          <w:sz w:val="24"/>
          <w:szCs w:val="24"/>
          <w:lang w:val="sr-Cyrl-RS"/>
        </w:rPr>
      </w:pPr>
      <w:r w:rsidRPr="005C64DC">
        <w:rPr>
          <w:rFonts w:ascii="Times New Roman" w:hAnsi="Times New Roman" w:cs="Times New Roman"/>
          <w:bCs/>
          <w:sz w:val="24"/>
          <w:szCs w:val="24"/>
          <w:lang w:val="sr-Cyrl-RS"/>
        </w:rPr>
        <w:t>- прописана је обавеза послодавца да омогући континуирано усавршавање знања у области безбедности и здравља на раду запосленом кога одреди за обављање тих послова, као и да обезбеди плаћено одсуство за континуирано усавршавање знања, ради обнављања лиценце, у складу са законом,</w:t>
      </w:r>
    </w:p>
    <w:p w14:paraId="4D358E14" w14:textId="77777777" w:rsidR="00EC5D47" w:rsidRPr="005C64DC" w:rsidRDefault="00EC5D47" w:rsidP="005C64DC">
      <w:pPr>
        <w:spacing w:after="120" w:line="264" w:lineRule="auto"/>
        <w:ind w:firstLine="720"/>
        <w:jc w:val="both"/>
        <w:rPr>
          <w:rFonts w:ascii="Times New Roman" w:hAnsi="Times New Roman" w:cs="Times New Roman"/>
          <w:bCs/>
          <w:sz w:val="24"/>
          <w:szCs w:val="24"/>
          <w:lang w:val="sr-Cyrl-RS"/>
        </w:rPr>
      </w:pPr>
      <w:r w:rsidRPr="005C64DC">
        <w:rPr>
          <w:rFonts w:ascii="Times New Roman" w:hAnsi="Times New Roman" w:cs="Times New Roman"/>
          <w:bCs/>
          <w:sz w:val="24"/>
          <w:szCs w:val="24"/>
          <w:lang w:val="sr-Cyrl-RS"/>
        </w:rPr>
        <w:t>- ради информисања заинтересованих лица о издатим, обновљеним и одузетим лиценцама успоставља се регистар лиценци. Регистар лиценци јесте јединствена, електронски вођена база података о издатим, обновљеним и одузетим лиценцама у складу са законом.</w:t>
      </w:r>
    </w:p>
    <w:p w14:paraId="1A9868E3" w14:textId="77777777" w:rsidR="00EC5D47" w:rsidRPr="005C64DC" w:rsidRDefault="00EC5D47" w:rsidP="005C64DC">
      <w:pPr>
        <w:spacing w:after="120" w:line="264" w:lineRule="auto"/>
        <w:ind w:firstLine="720"/>
        <w:jc w:val="both"/>
        <w:rPr>
          <w:rFonts w:ascii="Times New Roman" w:hAnsi="Times New Roman" w:cs="Times New Roman"/>
          <w:bCs/>
          <w:sz w:val="24"/>
          <w:szCs w:val="24"/>
          <w:lang w:val="sr-Cyrl-RS"/>
        </w:rPr>
      </w:pPr>
      <w:r w:rsidRPr="00AD60B6">
        <w:rPr>
          <w:rFonts w:ascii="Times New Roman" w:hAnsi="Times New Roman" w:cs="Times New Roman"/>
          <w:bCs/>
          <w:sz w:val="24"/>
          <w:szCs w:val="24"/>
          <w:lang w:val="sr-Cyrl-RS"/>
        </w:rPr>
        <w:t>Досадашње искуство је показало да је многим лицима за безбедност и здравље на раду</w:t>
      </w:r>
      <w:r w:rsidRPr="005C64DC">
        <w:rPr>
          <w:rFonts w:ascii="Times New Roman" w:hAnsi="Times New Roman" w:cs="Times New Roman"/>
          <w:bCs/>
          <w:sz w:val="24"/>
          <w:szCs w:val="24"/>
          <w:lang w:val="sr-Cyrl-RS"/>
        </w:rPr>
        <w:t xml:space="preserve"> потребна континуирана обука и стално усавршавање, из чега произилази да је</w:t>
      </w:r>
      <w:r w:rsidRPr="005C64DC">
        <w:rPr>
          <w:rFonts w:ascii="Times New Roman" w:hAnsi="Times New Roman" w:cs="Times New Roman"/>
          <w:sz w:val="24"/>
          <w:szCs w:val="24"/>
          <w:lang w:val="sr-Cyrl-RS"/>
        </w:rPr>
        <w:t xml:space="preserve"> неопходно урадити ревизију подзаконских аката који би обавезали лица која се баве пословима безбедности и здравља на раду на присуство обукама, које би се бодовале и чиме би стекли услов за даљи рад на истом пољу. Лице за безбедност и здравље на раду организује периодичне и превентивне прегледе запослених; учествује у опремању радних места и организује периодична испитивања услова радне околине; контролише </w:t>
      </w:r>
      <w:r w:rsidRPr="005C64DC">
        <w:rPr>
          <w:rFonts w:ascii="Times New Roman" w:hAnsi="Times New Roman" w:cs="Times New Roman"/>
          <w:bCs/>
          <w:sz w:val="24"/>
          <w:szCs w:val="24"/>
          <w:lang w:val="sr-Cyrl-RS"/>
        </w:rPr>
        <w:t xml:space="preserve">примену мера безбедности и здравља на раду код послодавца и прати стање повреда на раду и професионалним обољењима и предлаже мере за смањење ризика; припрема упутства за безбедан рад и контролише примену, а забрањује рад на радном месту и/или употребу средстава за рад када утврди да прети непосредна опасност по живот. </w:t>
      </w:r>
    </w:p>
    <w:p w14:paraId="6E785A6E" w14:textId="555C6E75" w:rsidR="00F63CE1" w:rsidRDefault="00EC5D47" w:rsidP="005C64DC">
      <w:pPr>
        <w:spacing w:after="120" w:line="264" w:lineRule="auto"/>
        <w:ind w:firstLine="720"/>
        <w:jc w:val="both"/>
        <w:rPr>
          <w:rFonts w:ascii="Times New Roman" w:hAnsi="Times New Roman" w:cs="Times New Roman"/>
          <w:bCs/>
          <w:sz w:val="24"/>
          <w:szCs w:val="24"/>
          <w:lang w:val="sr-Cyrl-RS"/>
        </w:rPr>
      </w:pPr>
      <w:r w:rsidRPr="005C64DC">
        <w:rPr>
          <w:rFonts w:ascii="Times New Roman" w:hAnsi="Times New Roman" w:cs="Times New Roman"/>
          <w:bCs/>
          <w:sz w:val="24"/>
          <w:szCs w:val="24"/>
          <w:lang w:val="sr-Cyrl-RS"/>
        </w:rPr>
        <w:t>У европским и националним стратегијама као главни изазови у области безбедности и здравља на раду, истичу се заштита здравља запослених и превенција обољења на раду</w:t>
      </w:r>
      <w:r w:rsidRPr="005C64DC">
        <w:rPr>
          <w:rFonts w:ascii="Times New Roman" w:hAnsi="Times New Roman" w:cs="Times New Roman"/>
          <w:sz w:val="24"/>
          <w:szCs w:val="24"/>
          <w:lang w:val="sr-Cyrl-RS"/>
        </w:rPr>
        <w:t xml:space="preserve"> насталих услед стреса и психофизичког замора. Додатно, пандемија </w:t>
      </w:r>
      <w:r w:rsidR="005C64DC" w:rsidRPr="00EA0EA6">
        <w:rPr>
          <w:rFonts w:ascii="Times New Roman" w:hAnsi="Times New Roman" w:cs="Times New Roman"/>
          <w:bCs/>
          <w:sz w:val="24"/>
          <w:szCs w:val="24"/>
          <w:lang w:val="sr-Cyrl-RS"/>
        </w:rPr>
        <w:t>Covid</w:t>
      </w:r>
      <w:r w:rsidRPr="00EA0EA6">
        <w:rPr>
          <w:rFonts w:ascii="Times New Roman" w:hAnsi="Times New Roman" w:cs="Times New Roman"/>
          <w:bCs/>
          <w:sz w:val="24"/>
          <w:szCs w:val="24"/>
          <w:lang w:val="sr-Cyrl-RS"/>
        </w:rPr>
        <w:t xml:space="preserve">-19 је осим физичког, нарушила и психичко здравље запослених, а о постпандемијским последицама по психичко здравље запослених се још увек не зна довољно. </w:t>
      </w:r>
      <w:bookmarkStart w:id="27" w:name="_Toc126746530"/>
    </w:p>
    <w:p w14:paraId="5606721E" w14:textId="77777777" w:rsidR="001A6EA6" w:rsidRPr="00EA0EA6" w:rsidRDefault="001A6EA6" w:rsidP="005C64DC">
      <w:pPr>
        <w:spacing w:after="120" w:line="264" w:lineRule="auto"/>
        <w:ind w:firstLine="720"/>
        <w:jc w:val="both"/>
        <w:rPr>
          <w:rFonts w:ascii="Times New Roman" w:hAnsi="Times New Roman" w:cs="Times New Roman"/>
          <w:bCs/>
          <w:sz w:val="24"/>
          <w:szCs w:val="24"/>
          <w:lang w:val="sr-Cyrl-RS"/>
        </w:rPr>
      </w:pPr>
    </w:p>
    <w:p w14:paraId="6CDB6325" w14:textId="24F68A74" w:rsidR="00EC5D47" w:rsidRPr="00EA0EA6" w:rsidRDefault="00F63CE1" w:rsidP="00EA0EA6">
      <w:pPr>
        <w:spacing w:after="120" w:line="264" w:lineRule="auto"/>
        <w:ind w:firstLine="720"/>
        <w:jc w:val="both"/>
        <w:rPr>
          <w:rFonts w:ascii="Times New Roman" w:hAnsi="Times New Roman" w:cs="Times New Roman"/>
          <w:b/>
          <w:bCs/>
          <w:sz w:val="24"/>
          <w:szCs w:val="24"/>
          <w:lang w:val="sr-Cyrl-RS"/>
        </w:rPr>
      </w:pPr>
      <w:r w:rsidRPr="00EA0EA6">
        <w:rPr>
          <w:rFonts w:ascii="Times New Roman" w:hAnsi="Times New Roman" w:cs="Times New Roman"/>
          <w:b/>
          <w:bCs/>
          <w:sz w:val="24"/>
          <w:szCs w:val="24"/>
          <w:lang w:val="sr-Cyrl-RS"/>
        </w:rPr>
        <w:lastRenderedPageBreak/>
        <w:t xml:space="preserve">3.8. </w:t>
      </w:r>
      <w:r w:rsidR="00EC5D47" w:rsidRPr="00EA0EA6">
        <w:rPr>
          <w:rFonts w:ascii="Times New Roman" w:hAnsi="Times New Roman" w:cs="Times New Roman"/>
          <w:b/>
          <w:bCs/>
          <w:sz w:val="24"/>
          <w:szCs w:val="24"/>
          <w:lang w:val="sr-Cyrl-RS"/>
        </w:rPr>
        <w:t>Анализа оспособљености запослених за безбедан и здрав рад</w:t>
      </w:r>
      <w:bookmarkEnd w:id="27"/>
    </w:p>
    <w:p w14:paraId="37777E4C" w14:textId="77777777" w:rsidR="00EC5D47" w:rsidRPr="005C64DC" w:rsidRDefault="00EC5D47" w:rsidP="005C64DC">
      <w:pPr>
        <w:spacing w:after="120" w:line="264" w:lineRule="auto"/>
        <w:ind w:firstLine="720"/>
        <w:jc w:val="both"/>
        <w:rPr>
          <w:rFonts w:ascii="Times New Roman" w:hAnsi="Times New Roman" w:cs="Times New Roman"/>
          <w:sz w:val="24"/>
          <w:szCs w:val="24"/>
          <w:lang w:val="sr-Cyrl-RS"/>
        </w:rPr>
      </w:pPr>
      <w:r w:rsidRPr="00AD60B6">
        <w:rPr>
          <w:rFonts w:ascii="Times New Roman" w:hAnsi="Times New Roman" w:cs="Times New Roman"/>
          <w:color w:val="000000"/>
          <w:sz w:val="24"/>
          <w:szCs w:val="24"/>
        </w:rPr>
        <w:t>Законска обавеза</w:t>
      </w:r>
      <w:r w:rsidRPr="00AD60B6">
        <w:rPr>
          <w:rFonts w:ascii="Times New Roman" w:hAnsi="Times New Roman" w:cs="Times New Roman"/>
          <w:color w:val="000000"/>
          <w:sz w:val="24"/>
          <w:szCs w:val="24"/>
          <w:lang w:val="sr-Cyrl-RS"/>
        </w:rPr>
        <w:t xml:space="preserve"> послодавц</w:t>
      </w:r>
      <w:r w:rsidRPr="00AD60B6">
        <w:rPr>
          <w:rFonts w:ascii="Times New Roman" w:hAnsi="Times New Roman" w:cs="Times New Roman"/>
          <w:color w:val="000000"/>
          <w:sz w:val="24"/>
          <w:szCs w:val="24"/>
        </w:rPr>
        <w:t>а је да</w:t>
      </w:r>
      <w:r w:rsidRPr="00AD60B6">
        <w:rPr>
          <w:rFonts w:ascii="Times New Roman" w:hAnsi="Times New Roman" w:cs="Times New Roman"/>
          <w:color w:val="000000"/>
          <w:sz w:val="24"/>
          <w:szCs w:val="24"/>
          <w:lang w:val="sr-Cyrl-RS"/>
        </w:rPr>
        <w:t xml:space="preserve"> континуирано оспособљава запослене за безбедан и здрав рад од чега зависи безбедност и здравље запослених на раду. У пракси је уочено неколико проблема. Пре свега, део послодаваца не оспособљава запослене за безбедан и здрав рад. </w:t>
      </w:r>
      <w:r w:rsidRPr="005C64DC">
        <w:rPr>
          <w:rFonts w:ascii="Times New Roman" w:hAnsi="Times New Roman" w:cs="Times New Roman"/>
          <w:sz w:val="24"/>
          <w:szCs w:val="24"/>
          <w:lang w:val="sr-Cyrl-RS"/>
        </w:rPr>
        <w:t xml:space="preserve">Поред тога, запослени често нису упознати са свим врстама ризика и конкретним ризицима који су наведени у акту о процени ризика нити су консултовани приликом поступка процене ризика. Такође, у пракси послодавци запосленог упућују да обавља послове на више радних места, а да </w:t>
      </w:r>
      <w:r w:rsidRPr="00AD60B6">
        <w:rPr>
          <w:rFonts w:ascii="Times New Roman" w:hAnsi="Times New Roman" w:cs="Times New Roman"/>
          <w:color w:val="000000"/>
          <w:sz w:val="24"/>
          <w:szCs w:val="24"/>
          <w:lang w:val="sr-Cyrl-RS"/>
        </w:rPr>
        <w:t xml:space="preserve">на сваком од тих радних места они нису </w:t>
      </w:r>
      <w:r w:rsidRPr="005C64DC">
        <w:rPr>
          <w:rFonts w:ascii="Times New Roman" w:hAnsi="Times New Roman" w:cs="Times New Roman"/>
          <w:sz w:val="24"/>
          <w:szCs w:val="24"/>
          <w:lang w:val="sr-Cyrl-RS"/>
        </w:rPr>
        <w:t>оспособљени за безбедан и здрав рад. У пракси послодавци често не врше додатно оспособљавање запослених путем обавештења, инструкција или упутстава у писменој форми иако то технолошки процеси захтевају. Коначно, послодавци у прописану евиденцију о оспособљавању запослених за безбедан и здрав рад не уносе све прописане податке.</w:t>
      </w:r>
    </w:p>
    <w:p w14:paraId="7E350D30" w14:textId="77777777" w:rsidR="00EC5D47" w:rsidRPr="00AD60B6" w:rsidRDefault="00EC5D47" w:rsidP="005C64DC">
      <w:pPr>
        <w:spacing w:after="120" w:line="264" w:lineRule="auto"/>
        <w:ind w:firstLine="720"/>
        <w:jc w:val="both"/>
        <w:rPr>
          <w:rFonts w:ascii="Times New Roman" w:hAnsi="Times New Roman" w:cs="Times New Roman"/>
          <w:color w:val="000000"/>
          <w:sz w:val="24"/>
          <w:szCs w:val="24"/>
          <w:lang w:val="sr-Cyrl-RS"/>
        </w:rPr>
      </w:pPr>
      <w:r w:rsidRPr="005C64DC">
        <w:rPr>
          <w:rFonts w:ascii="Times New Roman" w:hAnsi="Times New Roman" w:cs="Times New Roman"/>
          <w:sz w:val="24"/>
          <w:szCs w:val="24"/>
          <w:lang w:val="sr-Cyrl-RS"/>
        </w:rPr>
        <w:t>У периоду спровођења претходне стратегије уочен је незнатан помак, тако да је учешће послодаваца који нису адекватно оспособили запослене за безбедан и здрав рад пао на 18%. То значи да је за 2 процентна поена увећано учешће послодаваца који су</w:t>
      </w:r>
      <w:r w:rsidRPr="00AD60B6">
        <w:rPr>
          <w:rFonts w:ascii="Times New Roman" w:hAnsi="Times New Roman" w:cs="Times New Roman"/>
          <w:color w:val="000000"/>
          <w:sz w:val="24"/>
          <w:szCs w:val="24"/>
          <w:lang w:val="sr-Cyrl-RS"/>
        </w:rPr>
        <w:t xml:space="preserve"> спровели оспособљавање. Може се констатовати да је учешће послодаваца који нису оспособили запослене и даље релативно високо и чини скоро петину свих послодаваца.</w:t>
      </w:r>
    </w:p>
    <w:p w14:paraId="4F7C9932" w14:textId="0F4AF181" w:rsidR="00CC19F8" w:rsidRPr="005C64DC" w:rsidRDefault="00CC19F8" w:rsidP="00F515F5">
      <w:pPr>
        <w:spacing w:after="0" w:line="264" w:lineRule="auto"/>
        <w:jc w:val="both"/>
        <w:rPr>
          <w:rFonts w:ascii="Times New Roman" w:hAnsi="Times New Roman" w:cs="Times New Roman"/>
          <w:b/>
          <w:color w:val="000000" w:themeColor="text1"/>
          <w:sz w:val="24"/>
          <w:szCs w:val="24"/>
          <w:lang w:val="sr-Cyrl-RS"/>
        </w:rPr>
      </w:pPr>
    </w:p>
    <w:p w14:paraId="484D4B5E" w14:textId="2014BC85" w:rsidR="00EC5D47" w:rsidRPr="005C64DC" w:rsidRDefault="00EC5D47" w:rsidP="00FA2B90">
      <w:pPr>
        <w:pStyle w:val="Caption"/>
        <w:keepNext/>
        <w:ind w:firstLine="720"/>
        <w:rPr>
          <w:rFonts w:ascii="Times New Roman" w:hAnsi="Times New Roman" w:cs="Times New Roman"/>
          <w:b/>
          <w:color w:val="auto"/>
          <w:sz w:val="24"/>
          <w:szCs w:val="24"/>
          <w:lang w:val="sr-Cyrl-RS"/>
        </w:rPr>
      </w:pPr>
      <w:r w:rsidRPr="005C64DC">
        <w:rPr>
          <w:rFonts w:ascii="Times New Roman" w:hAnsi="Times New Roman" w:cs="Times New Roman"/>
          <w:b/>
          <w:color w:val="auto"/>
          <w:sz w:val="24"/>
          <w:szCs w:val="24"/>
          <w:lang w:val="sr-Cyrl-RS"/>
        </w:rPr>
        <w:t xml:space="preserve">Графикон </w:t>
      </w:r>
      <w:r w:rsidRPr="005C64DC">
        <w:rPr>
          <w:rFonts w:ascii="Times New Roman" w:hAnsi="Times New Roman" w:cs="Times New Roman"/>
          <w:b/>
          <w:color w:val="auto"/>
          <w:sz w:val="24"/>
          <w:szCs w:val="24"/>
          <w:lang w:val="sr-Cyrl-RS"/>
        </w:rPr>
        <w:fldChar w:fldCharType="begin"/>
      </w:r>
      <w:r w:rsidRPr="005C64DC">
        <w:rPr>
          <w:rFonts w:ascii="Times New Roman" w:hAnsi="Times New Roman" w:cs="Times New Roman"/>
          <w:b/>
          <w:color w:val="auto"/>
          <w:sz w:val="24"/>
          <w:szCs w:val="24"/>
          <w:lang w:val="sr-Cyrl-RS"/>
        </w:rPr>
        <w:instrText xml:space="preserve"> SEQ Графикон \* ARABIC </w:instrText>
      </w:r>
      <w:r w:rsidRPr="005C64DC">
        <w:rPr>
          <w:rFonts w:ascii="Times New Roman" w:hAnsi="Times New Roman" w:cs="Times New Roman"/>
          <w:b/>
          <w:color w:val="auto"/>
          <w:sz w:val="24"/>
          <w:szCs w:val="24"/>
          <w:lang w:val="sr-Cyrl-RS"/>
        </w:rPr>
        <w:fldChar w:fldCharType="separate"/>
      </w:r>
      <w:r w:rsidRPr="005C64DC">
        <w:rPr>
          <w:rFonts w:ascii="Times New Roman" w:hAnsi="Times New Roman" w:cs="Times New Roman"/>
          <w:b/>
          <w:noProof/>
          <w:color w:val="auto"/>
          <w:sz w:val="24"/>
          <w:szCs w:val="24"/>
          <w:lang w:val="sr-Cyrl-RS"/>
        </w:rPr>
        <w:t>6</w:t>
      </w:r>
      <w:r w:rsidRPr="005C64DC">
        <w:rPr>
          <w:rFonts w:ascii="Times New Roman" w:hAnsi="Times New Roman" w:cs="Times New Roman"/>
          <w:b/>
          <w:color w:val="auto"/>
          <w:sz w:val="24"/>
          <w:szCs w:val="24"/>
          <w:lang w:val="sr-Cyrl-RS"/>
        </w:rPr>
        <w:fldChar w:fldCharType="end"/>
      </w:r>
      <w:r w:rsidR="00FA2B90" w:rsidRPr="005C64DC">
        <w:rPr>
          <w:rFonts w:ascii="Times New Roman" w:hAnsi="Times New Roman" w:cs="Times New Roman"/>
          <w:b/>
          <w:color w:val="auto"/>
          <w:sz w:val="24"/>
          <w:szCs w:val="24"/>
          <w:lang w:val="sr-Latn-RS"/>
        </w:rPr>
        <w:t>:</w:t>
      </w:r>
      <w:r w:rsidRPr="005C64DC">
        <w:rPr>
          <w:rFonts w:ascii="Times New Roman" w:hAnsi="Times New Roman" w:cs="Times New Roman"/>
          <w:b/>
          <w:color w:val="auto"/>
          <w:sz w:val="24"/>
          <w:szCs w:val="24"/>
          <w:lang w:val="sr-Cyrl-RS"/>
        </w:rPr>
        <w:t xml:space="preserve"> Оспособљеност запослених за</w:t>
      </w:r>
      <w:r w:rsidRPr="005C64DC">
        <w:rPr>
          <w:rFonts w:ascii="Times New Roman" w:hAnsi="Times New Roman" w:cs="Times New Roman"/>
          <w:b/>
          <w:color w:val="auto"/>
          <w:sz w:val="24"/>
          <w:szCs w:val="24"/>
        </w:rPr>
        <w:t xml:space="preserve"> </w:t>
      </w:r>
      <w:r w:rsidRPr="005C64DC">
        <w:rPr>
          <w:rFonts w:ascii="Times New Roman" w:hAnsi="Times New Roman" w:cs="Times New Roman"/>
          <w:b/>
          <w:color w:val="auto"/>
          <w:sz w:val="24"/>
          <w:szCs w:val="24"/>
          <w:lang w:val="sr-Cyrl-RS"/>
        </w:rPr>
        <w:t>безбедан и здрав рад</w:t>
      </w:r>
    </w:p>
    <w:p w14:paraId="585139ED" w14:textId="77777777" w:rsidR="00EC5D47" w:rsidRPr="00C869B8" w:rsidRDefault="00EC5D47" w:rsidP="00EC5D47">
      <w:pPr>
        <w:jc w:val="both"/>
        <w:rPr>
          <w:rFonts w:ascii="Arial Nova" w:hAnsi="Arial Nova"/>
          <w:color w:val="000000"/>
          <w:lang w:val="sr-Cyrl-RS"/>
        </w:rPr>
      </w:pPr>
      <w:r w:rsidRPr="00C869B8">
        <w:rPr>
          <w:noProof/>
        </w:rPr>
        <w:drawing>
          <wp:inline distT="0" distB="0" distL="0" distR="0" wp14:anchorId="012E9E8F" wp14:editId="74858C24">
            <wp:extent cx="5732145" cy="2352675"/>
            <wp:effectExtent l="0" t="0" r="1905" b="9525"/>
            <wp:docPr id="19" name="Chart 19">
              <a:extLst xmlns:a="http://schemas.openxmlformats.org/drawingml/2006/main">
                <a:ext uri="{FF2B5EF4-FFF2-40B4-BE49-F238E27FC236}">
                  <a16:creationId xmlns:a16="http://schemas.microsoft.com/office/drawing/2014/main" id="{68926B23-901D-42E5-A1C8-DA729483E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85C8917" w14:textId="2BCFDF0D" w:rsidR="00CC19F8" w:rsidRDefault="00CC19F8" w:rsidP="00F515F5">
      <w:pPr>
        <w:spacing w:after="0" w:line="264" w:lineRule="auto"/>
        <w:jc w:val="both"/>
        <w:rPr>
          <w:rFonts w:ascii="Times New Roman" w:hAnsi="Times New Roman"/>
          <w:b/>
          <w:color w:val="000000" w:themeColor="text1"/>
          <w:sz w:val="24"/>
          <w:szCs w:val="24"/>
          <w:lang w:val="sr-Cyrl-RS"/>
        </w:rPr>
      </w:pPr>
    </w:p>
    <w:p w14:paraId="12AF589F" w14:textId="5BCBB6ED" w:rsidR="00CC19F8" w:rsidRDefault="00CC19F8" w:rsidP="00F515F5">
      <w:pPr>
        <w:spacing w:after="0" w:line="264" w:lineRule="auto"/>
        <w:jc w:val="both"/>
        <w:rPr>
          <w:rFonts w:ascii="Times New Roman" w:hAnsi="Times New Roman"/>
          <w:b/>
          <w:color w:val="000000" w:themeColor="text1"/>
          <w:sz w:val="24"/>
          <w:szCs w:val="24"/>
          <w:lang w:val="sr-Cyrl-RS"/>
        </w:rPr>
      </w:pPr>
    </w:p>
    <w:p w14:paraId="2286217C" w14:textId="77777777" w:rsidR="002D6A3F" w:rsidRPr="00E364A9" w:rsidRDefault="002D6A3F" w:rsidP="00E364A9">
      <w:pPr>
        <w:spacing w:after="120" w:line="264" w:lineRule="auto"/>
        <w:ind w:firstLine="720"/>
        <w:jc w:val="both"/>
        <w:rPr>
          <w:rFonts w:ascii="Times New Roman" w:hAnsi="Times New Roman" w:cs="Times New Roman"/>
          <w:b/>
          <w:color w:val="000000"/>
          <w:sz w:val="24"/>
          <w:szCs w:val="24"/>
          <w:lang w:val="sr-Cyrl-RS"/>
        </w:rPr>
      </w:pPr>
      <w:bookmarkStart w:id="28" w:name="_Toc126746531"/>
      <w:r w:rsidRPr="00E364A9">
        <w:rPr>
          <w:rFonts w:ascii="Times New Roman" w:hAnsi="Times New Roman" w:cs="Times New Roman"/>
          <w:b/>
          <w:color w:val="000000"/>
          <w:sz w:val="24"/>
          <w:szCs w:val="24"/>
          <w:lang w:val="sr-Cyrl-RS"/>
        </w:rPr>
        <w:t xml:space="preserve">4. </w:t>
      </w:r>
      <w:r w:rsidR="002369CA" w:rsidRPr="00E364A9">
        <w:rPr>
          <w:rFonts w:ascii="Times New Roman" w:hAnsi="Times New Roman" w:cs="Times New Roman"/>
          <w:b/>
          <w:color w:val="000000"/>
          <w:sz w:val="24"/>
          <w:szCs w:val="24"/>
          <w:lang w:val="sr-Cyrl-RS"/>
        </w:rPr>
        <w:t>АНАЛИЗА ОЧЕКИВАНИХ УТИЦАЈА</w:t>
      </w:r>
      <w:bookmarkStart w:id="29" w:name="_Toc126746532"/>
      <w:bookmarkEnd w:id="28"/>
    </w:p>
    <w:p w14:paraId="3A92631A" w14:textId="00AB85EE" w:rsidR="002369CA" w:rsidRPr="002D6A3F" w:rsidRDefault="002D6A3F" w:rsidP="00E364A9">
      <w:pPr>
        <w:spacing w:after="120" w:line="264" w:lineRule="auto"/>
        <w:ind w:firstLine="720"/>
        <w:jc w:val="both"/>
        <w:rPr>
          <w:rFonts w:ascii="Times New Roman" w:hAnsi="Times New Roman" w:cs="Times New Roman"/>
          <w:b/>
          <w:sz w:val="24"/>
          <w:szCs w:val="24"/>
          <w:lang w:val="sr-Cyrl-RS"/>
        </w:rPr>
      </w:pPr>
      <w:r w:rsidRPr="00E364A9">
        <w:rPr>
          <w:rFonts w:ascii="Times New Roman" w:hAnsi="Times New Roman" w:cs="Times New Roman"/>
          <w:b/>
          <w:color w:val="000000"/>
          <w:sz w:val="24"/>
          <w:szCs w:val="24"/>
          <w:lang w:val="sr-Cyrl-RS"/>
        </w:rPr>
        <w:t>4</w:t>
      </w:r>
      <w:r w:rsidRPr="002D6A3F">
        <w:rPr>
          <w:rFonts w:ascii="Times New Roman" w:hAnsi="Times New Roman" w:cs="Times New Roman"/>
          <w:b/>
          <w:sz w:val="24"/>
          <w:szCs w:val="24"/>
          <w:lang w:val="sr-Latn-RS"/>
        </w:rPr>
        <w:t xml:space="preserve">.1. </w:t>
      </w:r>
      <w:r w:rsidR="002369CA" w:rsidRPr="002D6A3F">
        <w:rPr>
          <w:rFonts w:ascii="Times New Roman" w:hAnsi="Times New Roman" w:cs="Times New Roman"/>
          <w:b/>
          <w:sz w:val="24"/>
          <w:szCs w:val="24"/>
          <w:lang w:val="sr-Cyrl-RS"/>
        </w:rPr>
        <w:t>Утицај климатских промена</w:t>
      </w:r>
      <w:bookmarkEnd w:id="29"/>
    </w:p>
    <w:p w14:paraId="1CF0A8F3" w14:textId="77777777" w:rsidR="002369CA" w:rsidRPr="005C64DC" w:rsidRDefault="002369CA" w:rsidP="00E364A9">
      <w:pPr>
        <w:spacing w:after="120" w:line="264" w:lineRule="auto"/>
        <w:ind w:firstLine="720"/>
        <w:jc w:val="both"/>
        <w:rPr>
          <w:rFonts w:ascii="Times New Roman" w:hAnsi="Times New Roman" w:cs="Times New Roman"/>
          <w:sz w:val="24"/>
          <w:szCs w:val="24"/>
          <w:lang w:val="sr-Cyrl-RS"/>
        </w:rPr>
      </w:pPr>
      <w:r w:rsidRPr="002D6A3F">
        <w:rPr>
          <w:rFonts w:ascii="Times New Roman" w:hAnsi="Times New Roman" w:cs="Times New Roman"/>
          <w:sz w:val="24"/>
          <w:szCs w:val="24"/>
          <w:lang w:val="sr-Cyrl-RS"/>
        </w:rPr>
        <w:t xml:space="preserve">Стратегија треба да препозна и измењене околности и очекиване промене климе. Наиме, поред низа фактора, способност за рад условљена је температуром и влажношћу ваздуха, што је посебно присутно у измењеним климатским условима, посебно код занимања која се одвијају на отвореном и у којима је присутна изложеност климатским условима. Утицаји климатских промена на здравље могу бити релативно тренутни или одложени. Одложени ефекти укључују смањену продуктивност запослених. Четири сектора се посебно издвајају у погледу изложености временским условима, а то су </w:t>
      </w:r>
      <w:r w:rsidRPr="002D6A3F">
        <w:rPr>
          <w:rFonts w:ascii="Times New Roman" w:hAnsi="Times New Roman" w:cs="Times New Roman"/>
          <w:sz w:val="24"/>
          <w:szCs w:val="24"/>
          <w:lang w:val="sr-Cyrl-RS"/>
        </w:rPr>
        <w:lastRenderedPageBreak/>
        <w:t>пољопривреда, грађевинарство, индустрија и услуге. Према проценама, 1990. године у ова четири сектора у Републици Србији је изгубљено 5 милиона радних сати као последица изложености високим температурама У 2020. години губитак је процењен на 9 милиона радних сати.</w:t>
      </w:r>
      <w:r w:rsidRPr="002D6A3F">
        <w:rPr>
          <w:rStyle w:val="FootnoteReference"/>
          <w:rFonts w:ascii="Times New Roman" w:hAnsi="Times New Roman" w:cs="Times New Roman"/>
          <w:sz w:val="24"/>
          <w:szCs w:val="24"/>
          <w:lang w:val="sr-Cyrl-RS"/>
        </w:rPr>
        <w:footnoteReference w:id="22"/>
      </w:r>
      <w:r w:rsidRPr="002D6A3F">
        <w:rPr>
          <w:rFonts w:ascii="Times New Roman" w:hAnsi="Times New Roman" w:cs="Times New Roman"/>
          <w:sz w:val="24"/>
          <w:szCs w:val="24"/>
        </w:rPr>
        <w:t xml:space="preserve"> </w:t>
      </w:r>
      <w:r w:rsidRPr="002D6A3F">
        <w:rPr>
          <w:rFonts w:ascii="Times New Roman" w:hAnsi="Times New Roman" w:cs="Times New Roman"/>
          <w:bCs/>
          <w:sz w:val="24"/>
          <w:szCs w:val="24"/>
        </w:rPr>
        <w:t xml:space="preserve">У периоду спровођења Стратегије, потребно је анализирати </w:t>
      </w:r>
      <w:r w:rsidRPr="005C64DC">
        <w:rPr>
          <w:rFonts w:ascii="Times New Roman" w:hAnsi="Times New Roman" w:cs="Times New Roman"/>
          <w:sz w:val="24"/>
          <w:szCs w:val="24"/>
          <w:lang w:val="sr-Cyrl-RS"/>
        </w:rPr>
        <w:t>постојећи систем обавештавања у случају екстремних временских догађаја и</w:t>
      </w:r>
      <w:r w:rsidRPr="00E364A9">
        <w:rPr>
          <w:rFonts w:ascii="Times New Roman" w:hAnsi="Times New Roman" w:cs="Times New Roman"/>
          <w:color w:val="000000"/>
          <w:sz w:val="24"/>
          <w:szCs w:val="24"/>
          <w:lang w:val="sr-Cyrl-RS"/>
        </w:rPr>
        <w:t xml:space="preserve"> </w:t>
      </w:r>
      <w:r w:rsidRPr="005C64DC">
        <w:rPr>
          <w:rFonts w:ascii="Times New Roman" w:hAnsi="Times New Roman" w:cs="Times New Roman"/>
          <w:sz w:val="24"/>
          <w:szCs w:val="24"/>
          <w:lang w:val="sr-Cyrl-RS"/>
        </w:rPr>
        <w:t>предложити мере како би се он унапредио.</w:t>
      </w:r>
    </w:p>
    <w:p w14:paraId="578E3736" w14:textId="16F9E3FD" w:rsidR="002369CA" w:rsidRPr="005C64DC" w:rsidRDefault="002D6A3F" w:rsidP="00E364A9">
      <w:pPr>
        <w:spacing w:after="120" w:line="264" w:lineRule="auto"/>
        <w:ind w:firstLine="720"/>
        <w:jc w:val="both"/>
        <w:rPr>
          <w:rFonts w:ascii="Times New Roman" w:hAnsi="Times New Roman" w:cs="Times New Roman"/>
          <w:b/>
          <w:sz w:val="24"/>
          <w:szCs w:val="24"/>
          <w:lang w:val="sr-Cyrl-RS"/>
        </w:rPr>
      </w:pPr>
      <w:bookmarkStart w:id="30" w:name="_Toc126746533"/>
      <w:r w:rsidRPr="005C64DC">
        <w:rPr>
          <w:rFonts w:ascii="Times New Roman" w:hAnsi="Times New Roman" w:cs="Times New Roman"/>
          <w:b/>
          <w:sz w:val="24"/>
          <w:szCs w:val="24"/>
          <w:lang w:val="sr-Cyrl-RS"/>
        </w:rPr>
        <w:t xml:space="preserve">4.2. </w:t>
      </w:r>
      <w:r w:rsidR="002369CA" w:rsidRPr="005C64DC">
        <w:rPr>
          <w:rFonts w:ascii="Times New Roman" w:hAnsi="Times New Roman" w:cs="Times New Roman"/>
          <w:b/>
          <w:sz w:val="24"/>
          <w:szCs w:val="24"/>
          <w:lang w:val="sr-Cyrl-RS"/>
        </w:rPr>
        <w:t xml:space="preserve">Утицај </w:t>
      </w:r>
      <w:bookmarkEnd w:id="30"/>
      <w:r w:rsidR="00395F45" w:rsidRPr="005C64DC">
        <w:rPr>
          <w:rFonts w:ascii="Times New Roman" w:hAnsi="Times New Roman" w:cs="Times New Roman"/>
          <w:b/>
          <w:sz w:val="24"/>
          <w:szCs w:val="24"/>
          <w:lang w:val="sr-Cyrl-RS"/>
        </w:rPr>
        <w:t>COVID-19</w:t>
      </w:r>
    </w:p>
    <w:p w14:paraId="05E8F0A8" w14:textId="34121FD1" w:rsidR="002369CA" w:rsidRPr="005C64DC" w:rsidRDefault="00395F45" w:rsidP="00E364A9">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sz w:val="24"/>
          <w:szCs w:val="24"/>
          <w:lang w:val="sr-Cyrl-RS"/>
        </w:rPr>
        <w:t xml:space="preserve">Пандемија COVID-19 </w:t>
      </w:r>
      <w:r w:rsidR="002369CA" w:rsidRPr="005C64DC">
        <w:rPr>
          <w:rFonts w:ascii="Times New Roman" w:hAnsi="Times New Roman" w:cs="Times New Roman"/>
          <w:sz w:val="24"/>
          <w:szCs w:val="24"/>
          <w:lang w:val="sr-Cyrl-RS"/>
        </w:rPr>
        <w:t xml:space="preserve"> показала је колико је безбедност и здравље на раду пресудана за заштиту здравља запослених, за функционисање нашег друштва и за континуитет критичних економских и социјалних активности. Пут ка опоравку и поновном активирању продуктивности такође мора да укључи обновљену посве</w:t>
      </w:r>
      <w:r w:rsidR="002369CA" w:rsidRPr="005C64DC">
        <w:rPr>
          <w:rFonts w:ascii="Times New Roman" w:hAnsi="Times New Roman" w:cs="Times New Roman"/>
          <w:sz w:val="24"/>
          <w:szCs w:val="24"/>
        </w:rPr>
        <w:t>ћ</w:t>
      </w:r>
      <w:r w:rsidR="002369CA" w:rsidRPr="005C64DC">
        <w:rPr>
          <w:rFonts w:ascii="Times New Roman" w:hAnsi="Times New Roman" w:cs="Times New Roman"/>
          <w:sz w:val="24"/>
          <w:szCs w:val="24"/>
          <w:lang w:val="sr-Cyrl-RS"/>
        </w:rPr>
        <w:t>еност одржавању безбедности и здравља на раду у првом плану и побољшању синергије између безбедности и здравља на раду и јавних политика.</w:t>
      </w:r>
    </w:p>
    <w:p w14:paraId="54650EEF" w14:textId="52519BAE" w:rsidR="002369CA" w:rsidRPr="005C64DC" w:rsidRDefault="002369CA" w:rsidP="005C64DC">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sz w:val="24"/>
          <w:szCs w:val="24"/>
          <w:lang w:val="sr-Cyrl-RS"/>
        </w:rPr>
        <w:t xml:space="preserve">Пандемија </w:t>
      </w:r>
      <w:r w:rsidR="00395F45" w:rsidRPr="005C64DC">
        <w:rPr>
          <w:rFonts w:ascii="Times New Roman" w:hAnsi="Times New Roman" w:cs="Times New Roman"/>
          <w:sz w:val="24"/>
          <w:szCs w:val="24"/>
          <w:lang w:val="sr-Cyrl-RS"/>
        </w:rPr>
        <w:t xml:space="preserve">COVID-19 </w:t>
      </w:r>
      <w:r w:rsidRPr="005C64DC">
        <w:rPr>
          <w:rFonts w:ascii="Times New Roman" w:hAnsi="Times New Roman" w:cs="Times New Roman"/>
          <w:sz w:val="24"/>
          <w:szCs w:val="24"/>
          <w:lang w:val="sr-Cyrl-RS"/>
        </w:rPr>
        <w:t xml:space="preserve"> је открила важност оквирне обавезе процене ризика и превентивних мера од стране послодавца за адресирање здравствених ризика запослених у случају здравствене кризе. Такође, изражена је потреба да запослени имају користи од радног окружења које смањује ризик од преноса заразних болести. Од избијања пандемије, EU-OSHA Агенција за безбедност и здравље на раду ЕУ је у сарадњи са националним властима и социјалним партнерима развила низ докумената и алата, који су послодавцима, омогућили да знају како да се придржавају захтева из безбедности и здравља на раду у различитим фазама пандемија. Те смернице ће бити прилагођене постепеном разумевању ризика од стране науке и одговарајућих мера јавног здравља. </w:t>
      </w:r>
    </w:p>
    <w:p w14:paraId="43FABF9D" w14:textId="77777777" w:rsidR="002369CA" w:rsidRPr="005C64DC" w:rsidRDefault="002369CA" w:rsidP="005C64DC">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sz w:val="24"/>
          <w:szCs w:val="24"/>
          <w:lang w:val="sr-Cyrl-RS"/>
        </w:rPr>
        <w:t xml:space="preserve">Поред тога, неопходно је развијати хитне процедуре и смернице ЕУ за безбедност и здравље на раду како би се омогућило брзо примењивање мера у потенцијалним здравственим кризама. То би, између осталог, укључивало одредбе за ажуриране процене ризика, претње по здравље у различитим секторима и на радним местима, као и с тим повезане националне планове за безбедност и здравље на раду. </w:t>
      </w:r>
    </w:p>
    <w:p w14:paraId="0595CD3E" w14:textId="77777777" w:rsidR="002369CA" w:rsidRPr="005C64DC" w:rsidRDefault="002369CA" w:rsidP="005C64DC">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sz w:val="24"/>
          <w:szCs w:val="24"/>
          <w:lang w:val="sr-Cyrl-RS"/>
        </w:rPr>
        <w:t>Пандемија је такође нагласила да, у неким случајевима, мобилни и прекогранични запослени, укључују</w:t>
      </w:r>
      <w:r w:rsidRPr="005C64DC">
        <w:rPr>
          <w:rFonts w:ascii="Times New Roman" w:hAnsi="Times New Roman" w:cs="Times New Roman"/>
          <w:sz w:val="24"/>
          <w:szCs w:val="24"/>
        </w:rPr>
        <w:t>ћ</w:t>
      </w:r>
      <w:r w:rsidRPr="005C64DC">
        <w:rPr>
          <w:rFonts w:ascii="Times New Roman" w:hAnsi="Times New Roman" w:cs="Times New Roman"/>
          <w:sz w:val="24"/>
          <w:szCs w:val="24"/>
          <w:lang w:val="sr-Cyrl-RS"/>
        </w:rPr>
        <w:t>и сезонске раднике, могу бити више изложени нездравим или небез</w:t>
      </w:r>
      <w:r w:rsidRPr="005C64DC">
        <w:rPr>
          <w:rFonts w:ascii="Times New Roman" w:hAnsi="Times New Roman" w:cs="Times New Roman"/>
          <w:sz w:val="24"/>
          <w:szCs w:val="24"/>
        </w:rPr>
        <w:t>б</w:t>
      </w:r>
      <w:r w:rsidRPr="005C64DC">
        <w:rPr>
          <w:rFonts w:ascii="Times New Roman" w:hAnsi="Times New Roman" w:cs="Times New Roman"/>
          <w:sz w:val="24"/>
          <w:szCs w:val="24"/>
          <w:lang w:val="sr-Cyrl-RS"/>
        </w:rPr>
        <w:t>едним условима живота и рада, као што су лош или пренатрпан смештај или недостатак информација о њиховим правима.</w:t>
      </w:r>
      <w:r w:rsidRPr="005C64DC">
        <w:rPr>
          <w:rFonts w:ascii="Times New Roman" w:hAnsi="Times New Roman" w:cs="Times New Roman"/>
          <w:sz w:val="24"/>
          <w:szCs w:val="24"/>
        </w:rPr>
        <w:t xml:space="preserve"> </w:t>
      </w:r>
      <w:r w:rsidRPr="005C64DC">
        <w:rPr>
          <w:rFonts w:ascii="Times New Roman" w:hAnsi="Times New Roman" w:cs="Times New Roman"/>
          <w:sz w:val="24"/>
          <w:szCs w:val="24"/>
          <w:lang w:val="sr-Cyrl-RS"/>
        </w:rPr>
        <w:t>Европска агенција за рад, уз подршку Европске комисије, такође је покренула у јуну 2021. кампању за подизање свести „Права за сва годишња доба“, скре</w:t>
      </w:r>
      <w:r w:rsidRPr="005C64DC">
        <w:rPr>
          <w:rFonts w:ascii="Times New Roman" w:hAnsi="Times New Roman" w:cs="Times New Roman"/>
          <w:sz w:val="24"/>
          <w:szCs w:val="24"/>
        </w:rPr>
        <w:t>ћ</w:t>
      </w:r>
      <w:r w:rsidRPr="005C64DC">
        <w:rPr>
          <w:rFonts w:ascii="Times New Roman" w:hAnsi="Times New Roman" w:cs="Times New Roman"/>
          <w:sz w:val="24"/>
          <w:szCs w:val="24"/>
          <w:lang w:val="sr-Cyrl-RS"/>
        </w:rPr>
        <w:t>ући</w:t>
      </w:r>
      <w:r w:rsidRPr="005C64DC">
        <w:rPr>
          <w:rFonts w:ascii="Times New Roman" w:hAnsi="Times New Roman" w:cs="Times New Roman"/>
          <w:sz w:val="24"/>
          <w:szCs w:val="24"/>
          <w:u w:val="single"/>
          <w:lang w:val="sr-Cyrl-RS"/>
        </w:rPr>
        <w:t xml:space="preserve"> </w:t>
      </w:r>
      <w:r w:rsidRPr="005C64DC">
        <w:rPr>
          <w:rFonts w:ascii="Times New Roman" w:hAnsi="Times New Roman" w:cs="Times New Roman"/>
          <w:sz w:val="24"/>
          <w:szCs w:val="24"/>
          <w:lang w:val="sr-Cyrl-RS"/>
        </w:rPr>
        <w:t>пажњу на потребу унапређења поштених и сигурних услова рада за сезонске раднике. Поред тога, Агенција за безбедност и здравље на раду ЕУ спроводи, у сарадњи вишим инспекторима рада, истраживање о ставовима инспектора рада из о високо ризичним занимањима.</w:t>
      </w:r>
    </w:p>
    <w:p w14:paraId="5EEF89E1" w14:textId="2A3DBE99" w:rsidR="002369CA" w:rsidRPr="005C64DC" w:rsidRDefault="002369CA" w:rsidP="005C64DC">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sz w:val="24"/>
          <w:szCs w:val="24"/>
          <w:lang w:val="sr-Cyrl-RS"/>
        </w:rPr>
        <w:lastRenderedPageBreak/>
        <w:t>Иако је приступ ЕУ за заштиту на раду усмерен на превенцију, такође је важно подржати заражене раднике и породице које су изгубиле чланове породице због изложености SARS-CоV-2 на послу. У том циљу, већина држава чланица и</w:t>
      </w:r>
      <w:r w:rsidR="00105C09" w:rsidRPr="005C64DC">
        <w:rPr>
          <w:rFonts w:ascii="Times New Roman" w:hAnsi="Times New Roman" w:cs="Times New Roman"/>
          <w:sz w:val="24"/>
          <w:szCs w:val="24"/>
          <w:lang w:val="sr-Cyrl-RS"/>
        </w:rPr>
        <w:t xml:space="preserve">звестила је да признају COVID-19 </w:t>
      </w:r>
      <w:r w:rsidRPr="005C64DC">
        <w:rPr>
          <w:rFonts w:ascii="Times New Roman" w:hAnsi="Times New Roman" w:cs="Times New Roman"/>
          <w:sz w:val="24"/>
          <w:szCs w:val="24"/>
          <w:lang w:val="sr-Cyrl-RS"/>
        </w:rPr>
        <w:t xml:space="preserve"> као професионалну болест. </w:t>
      </w:r>
    </w:p>
    <w:p w14:paraId="26896C15" w14:textId="77777777" w:rsidR="002369CA" w:rsidRPr="005C64DC" w:rsidRDefault="002369CA" w:rsidP="005C64DC">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sz w:val="24"/>
          <w:szCs w:val="24"/>
          <w:lang w:val="sr-Cyrl-RS"/>
        </w:rPr>
        <w:t>Национална култура безбедности и здравља на раду је она у којој се право на безбедну и здраву радну средину поштује на свим нивоима, где влада, послодавци и запослени активно учествују кроз систем дефинисаних права, одговорности и обавеза и где се највећи приоритет примењује на принципу превенције.</w:t>
      </w:r>
    </w:p>
    <w:p w14:paraId="34E2F2DE" w14:textId="74EA714C" w:rsidR="00E364A9" w:rsidRPr="005C64DC" w:rsidRDefault="002369CA" w:rsidP="00E3008F">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sz w:val="24"/>
          <w:szCs w:val="24"/>
          <w:lang w:val="sr-Cyrl-RS"/>
        </w:rPr>
        <w:t>На националном нивоу, изградња и одржавање културе превенције у области безбедности и здравља на раду захтева коришћење свих расположивих средстава како би се повећали општа свест, знање о опасностима и ризицима и разумевање њихове превенције и контроле. Дијалог на трипартитном нивоу и националне активности, кључни су за стварање дугорочних унапређења у области безбедности и здравља на раду. Томе доприноси омогућавање размене искуства и примера добре праксе у области безбедности и здравља на раду.</w:t>
      </w:r>
      <w:bookmarkStart w:id="31" w:name="_Toc126746534"/>
    </w:p>
    <w:p w14:paraId="610976AF" w14:textId="3FE3B7E6" w:rsidR="002369CA" w:rsidRPr="005C64DC" w:rsidRDefault="00E364A9" w:rsidP="005C64DC">
      <w:pPr>
        <w:spacing w:after="120" w:line="264" w:lineRule="auto"/>
        <w:ind w:firstLine="720"/>
        <w:jc w:val="both"/>
        <w:rPr>
          <w:rFonts w:ascii="Times New Roman" w:hAnsi="Times New Roman" w:cs="Times New Roman"/>
          <w:b/>
          <w:sz w:val="24"/>
          <w:szCs w:val="24"/>
          <w:lang w:val="sr-Cyrl-RS"/>
        </w:rPr>
      </w:pPr>
      <w:r w:rsidRPr="005C64DC">
        <w:rPr>
          <w:rFonts w:ascii="Times New Roman" w:hAnsi="Times New Roman" w:cs="Times New Roman"/>
          <w:b/>
          <w:sz w:val="24"/>
          <w:szCs w:val="24"/>
          <w:lang w:val="sr-Cyrl-RS"/>
        </w:rPr>
        <w:t xml:space="preserve">4.3. </w:t>
      </w:r>
      <w:r w:rsidR="002369CA" w:rsidRPr="005C64DC">
        <w:rPr>
          <w:rFonts w:ascii="Times New Roman" w:hAnsi="Times New Roman" w:cs="Times New Roman"/>
          <w:b/>
          <w:sz w:val="24"/>
          <w:szCs w:val="24"/>
          <w:lang w:val="sr-Cyrl-RS"/>
        </w:rPr>
        <w:t>Утицај дигитализације и технолошких промена</w:t>
      </w:r>
      <w:bookmarkEnd w:id="31"/>
    </w:p>
    <w:p w14:paraId="7F0C0A47" w14:textId="2A417348" w:rsidR="002369CA" w:rsidRPr="00E3008F" w:rsidRDefault="002369CA" w:rsidP="005C64DC">
      <w:pPr>
        <w:spacing w:after="120" w:line="264" w:lineRule="auto"/>
        <w:ind w:firstLine="720"/>
        <w:jc w:val="both"/>
        <w:rPr>
          <w:rFonts w:ascii="Times New Roman" w:hAnsi="Times New Roman" w:cs="Times New Roman"/>
          <w:sz w:val="24"/>
          <w:szCs w:val="24"/>
          <w:lang w:val="sr-Cyrl-RS"/>
        </w:rPr>
      </w:pPr>
      <w:r w:rsidRPr="005C64DC">
        <w:rPr>
          <w:rFonts w:ascii="Times New Roman" w:hAnsi="Times New Roman" w:cs="Times New Roman"/>
          <w:sz w:val="24"/>
          <w:szCs w:val="24"/>
          <w:lang w:val="sr-Cyrl-RS"/>
        </w:rPr>
        <w:t xml:space="preserve">Поред социо-психолошких компоненти, постоје и физичке. На пример, мањи број запослених има ергономски дизајнирано радно место, док време седења због рада пред </w:t>
      </w:r>
      <w:r w:rsidRPr="00EB6894">
        <w:rPr>
          <w:rFonts w:ascii="Times New Roman" w:hAnsi="Times New Roman" w:cs="Times New Roman"/>
          <w:sz w:val="24"/>
          <w:szCs w:val="24"/>
          <w:lang w:val="sr-Cyrl-RS"/>
        </w:rPr>
        <w:t>екраном постаје све дуже, а посебно од пандемије. Долази до значајног смањења кретања</w:t>
      </w:r>
      <w:r w:rsidRPr="00EB6894">
        <w:rPr>
          <w:rFonts w:ascii="Times New Roman" w:hAnsi="Times New Roman" w:cs="Times New Roman"/>
          <w:sz w:val="24"/>
          <w:szCs w:val="24"/>
        </w:rPr>
        <w:t>, а д</w:t>
      </w:r>
      <w:r w:rsidRPr="00EB6894">
        <w:rPr>
          <w:rFonts w:ascii="Times New Roman" w:hAnsi="Times New Roman" w:cs="Times New Roman"/>
          <w:sz w:val="24"/>
          <w:szCs w:val="24"/>
          <w:lang w:val="sr-Cyrl-RS"/>
        </w:rPr>
        <w:t xml:space="preserve">уго и нединамично седење доводи до мишићно-скелетних поремећаја. </w:t>
      </w:r>
      <w:r w:rsidRPr="00EB6894">
        <w:rPr>
          <w:rFonts w:ascii="Times New Roman" w:hAnsi="Times New Roman" w:cs="Times New Roman"/>
          <w:sz w:val="24"/>
          <w:szCs w:val="24"/>
        </w:rPr>
        <w:t xml:space="preserve">Такође, </w:t>
      </w:r>
      <w:r w:rsidRPr="00EB6894">
        <w:rPr>
          <w:rFonts w:ascii="Times New Roman" w:hAnsi="Times New Roman" w:cs="Times New Roman"/>
          <w:sz w:val="24"/>
          <w:szCs w:val="24"/>
          <w:lang w:val="sr-Cyrl-RS"/>
        </w:rPr>
        <w:t>долази до оштећења вида и упала тетива услед мо</w:t>
      </w:r>
      <w:r w:rsidR="00EB6894" w:rsidRPr="00EB6894">
        <w:rPr>
          <w:rFonts w:ascii="Times New Roman" w:hAnsi="Times New Roman" w:cs="Times New Roman"/>
          <w:sz w:val="24"/>
          <w:szCs w:val="24"/>
          <w:lang w:val="sr-Cyrl-RS"/>
        </w:rPr>
        <w:t xml:space="preserve">нотоних и понављајућих покрета. </w:t>
      </w:r>
      <w:r w:rsidRPr="00EB6894">
        <w:rPr>
          <w:rFonts w:ascii="Times New Roman" w:hAnsi="Times New Roman" w:cs="Times New Roman"/>
          <w:sz w:val="24"/>
          <w:szCs w:val="24"/>
        </w:rPr>
        <w:t>Коначно, с</w:t>
      </w:r>
      <w:r w:rsidRPr="00EB6894">
        <w:rPr>
          <w:rFonts w:ascii="Times New Roman" w:hAnsi="Times New Roman" w:cs="Times New Roman"/>
          <w:sz w:val="24"/>
          <w:szCs w:val="24"/>
          <w:lang w:val="sr-Cyrl-RS"/>
        </w:rPr>
        <w:t xml:space="preserve">тални ментални и физички стрес изазван </w:t>
      </w:r>
      <w:r w:rsidR="00EB6894" w:rsidRPr="00EB6894">
        <w:rPr>
          <w:rFonts w:ascii="Times New Roman" w:hAnsi="Times New Roman" w:cs="Times New Roman"/>
          <w:sz w:val="24"/>
          <w:szCs w:val="24"/>
        </w:rPr>
        <w:t>све учесталијим радом услов</w:t>
      </w:r>
      <w:r w:rsidR="00EB6894" w:rsidRPr="00EB6894">
        <w:rPr>
          <w:rFonts w:ascii="Times New Roman" w:hAnsi="Times New Roman" w:cs="Times New Roman"/>
          <w:sz w:val="24"/>
          <w:szCs w:val="24"/>
          <w:lang w:val="sr-Cyrl-RS"/>
        </w:rPr>
        <w:t>љ</w:t>
      </w:r>
      <w:r w:rsidRPr="00EB6894">
        <w:rPr>
          <w:rFonts w:ascii="Times New Roman" w:hAnsi="Times New Roman" w:cs="Times New Roman"/>
          <w:sz w:val="24"/>
          <w:szCs w:val="24"/>
        </w:rPr>
        <w:t xml:space="preserve">ен дигитализацијом </w:t>
      </w:r>
      <w:r w:rsidRPr="00EB6894">
        <w:rPr>
          <w:rFonts w:ascii="Times New Roman" w:hAnsi="Times New Roman" w:cs="Times New Roman"/>
          <w:sz w:val="24"/>
          <w:szCs w:val="24"/>
          <w:lang w:val="sr-Cyrl-RS"/>
        </w:rPr>
        <w:t xml:space="preserve">доводи до типичних распрострањених болести као што су сагоревање, кардиоваскуларне болести (срчани удари, мождани удари) и дегенеративне болести мишићно-скелетног система. Имплементацијом дигиталне трансформације и транзиције очекује се пораст овог тренда. </w:t>
      </w:r>
    </w:p>
    <w:p w14:paraId="0BF33750" w14:textId="0460AC05" w:rsidR="002369CA" w:rsidRPr="00E3008F" w:rsidRDefault="00E364A9" w:rsidP="00E3008F">
      <w:pPr>
        <w:spacing w:after="120" w:line="264" w:lineRule="auto"/>
        <w:ind w:firstLine="720"/>
        <w:jc w:val="both"/>
        <w:rPr>
          <w:rFonts w:ascii="Times New Roman" w:hAnsi="Times New Roman" w:cs="Times New Roman"/>
          <w:b/>
          <w:sz w:val="24"/>
          <w:szCs w:val="24"/>
          <w:lang w:val="sr-Cyrl-RS"/>
        </w:rPr>
      </w:pPr>
      <w:bookmarkStart w:id="32" w:name="_Toc126746535"/>
      <w:r w:rsidRPr="00E3008F">
        <w:rPr>
          <w:rFonts w:ascii="Times New Roman" w:hAnsi="Times New Roman" w:cs="Times New Roman"/>
          <w:b/>
          <w:sz w:val="24"/>
          <w:szCs w:val="24"/>
          <w:lang w:val="sr-Cyrl-RS"/>
        </w:rPr>
        <w:t xml:space="preserve">4.4. </w:t>
      </w:r>
      <w:r w:rsidR="002369CA" w:rsidRPr="00E3008F">
        <w:rPr>
          <w:rFonts w:ascii="Times New Roman" w:hAnsi="Times New Roman" w:cs="Times New Roman"/>
          <w:b/>
          <w:sz w:val="24"/>
          <w:szCs w:val="24"/>
          <w:lang w:val="sr-Cyrl-RS"/>
        </w:rPr>
        <w:t>Утицај инвестиција на безбедност и здравље на раду</w:t>
      </w:r>
      <w:bookmarkEnd w:id="32"/>
    </w:p>
    <w:p w14:paraId="0C9DB2BC" w14:textId="77777777" w:rsidR="002369CA" w:rsidRPr="008F0E1F" w:rsidRDefault="002369CA" w:rsidP="008F0E1F">
      <w:pPr>
        <w:spacing w:after="120" w:line="264" w:lineRule="auto"/>
        <w:ind w:firstLine="720"/>
        <w:jc w:val="both"/>
        <w:rPr>
          <w:rFonts w:ascii="Times New Roman" w:hAnsi="Times New Roman" w:cs="Times New Roman"/>
          <w:sz w:val="24"/>
          <w:szCs w:val="24"/>
          <w:lang w:val="sr-Cyrl-RS"/>
        </w:rPr>
      </w:pPr>
      <w:r w:rsidRPr="00E3008F">
        <w:rPr>
          <w:rFonts w:ascii="Times New Roman" w:hAnsi="Times New Roman" w:cs="Times New Roman"/>
          <w:sz w:val="24"/>
          <w:szCs w:val="24"/>
          <w:lang w:val="sr-Cyrl-RS"/>
        </w:rPr>
        <w:t xml:space="preserve">Инвестиције у безбедност и здравље на раду у основи чине улагање у унапређење безбедности и здравља на раду и услова рада, набавку нове опреме, замену опасних </w:t>
      </w:r>
      <w:r w:rsidRPr="002D6A3F">
        <w:rPr>
          <w:rFonts w:ascii="Times New Roman" w:hAnsi="Times New Roman" w:cs="Times New Roman"/>
          <w:color w:val="000000"/>
          <w:sz w:val="24"/>
          <w:szCs w:val="24"/>
          <w:lang w:val="sr-Cyrl-RS"/>
        </w:rPr>
        <w:t xml:space="preserve">хемикалија безопасним или мање опасним, набавку средстава и опреме за личну заштиту на раду, праћење здравственог стања, оспособљавање запослених, организацију послова безбедности и здравља на раду и др. Улагање средстава у унапређење безбедности и здравља на раду и подизање културе превенције стална је потреба послодаваца, запослених и друштвене заједнице. Разумевање безбедности и здравља на раду као </w:t>
      </w:r>
      <w:r w:rsidRPr="008F0E1F">
        <w:rPr>
          <w:rFonts w:ascii="Times New Roman" w:hAnsi="Times New Roman" w:cs="Times New Roman"/>
          <w:sz w:val="24"/>
          <w:szCs w:val="24"/>
          <w:lang w:val="sr-Cyrl-RS"/>
        </w:rPr>
        <w:t>економског, социјалног и техничко-технолошког феномена од стране послодаваца и запослених је предуслов успешне превенције повреда на раду и професионалних болести.</w:t>
      </w:r>
    </w:p>
    <w:p w14:paraId="18DE9264" w14:textId="77777777" w:rsidR="002369CA" w:rsidRPr="008F0E1F" w:rsidRDefault="002369CA" w:rsidP="008F0E1F">
      <w:pPr>
        <w:spacing w:after="120" w:line="264" w:lineRule="auto"/>
        <w:ind w:firstLine="720"/>
        <w:jc w:val="both"/>
        <w:rPr>
          <w:rFonts w:ascii="Times New Roman" w:hAnsi="Times New Roman" w:cs="Times New Roman"/>
          <w:sz w:val="24"/>
          <w:szCs w:val="24"/>
          <w:lang w:val="sr-Cyrl-RS"/>
        </w:rPr>
      </w:pPr>
      <w:r w:rsidRPr="008F0E1F">
        <w:rPr>
          <w:rFonts w:ascii="Times New Roman" w:hAnsi="Times New Roman" w:cs="Times New Roman"/>
          <w:sz w:val="24"/>
          <w:szCs w:val="24"/>
          <w:lang w:val="sr-Cyrl-RS"/>
        </w:rPr>
        <w:t>Основни економски елементи који имају утицај на безбедност и здравље на раду могу се сврстати у две групе:</w:t>
      </w:r>
    </w:p>
    <w:p w14:paraId="2DA2D3BB" w14:textId="77C8319B" w:rsidR="002369CA" w:rsidRPr="008F0E1F" w:rsidRDefault="00E364A9" w:rsidP="008F0E1F">
      <w:pPr>
        <w:spacing w:after="120" w:line="264" w:lineRule="auto"/>
        <w:ind w:firstLine="720"/>
        <w:jc w:val="both"/>
        <w:rPr>
          <w:rFonts w:ascii="Times New Roman" w:hAnsi="Times New Roman" w:cs="Times New Roman"/>
          <w:sz w:val="24"/>
          <w:szCs w:val="24"/>
          <w:lang w:val="sr-Cyrl-RS"/>
        </w:rPr>
      </w:pPr>
      <w:r w:rsidRPr="008F0E1F">
        <w:rPr>
          <w:rFonts w:ascii="Times New Roman" w:hAnsi="Times New Roman" w:cs="Times New Roman"/>
          <w:sz w:val="24"/>
          <w:szCs w:val="24"/>
          <w:lang w:val="sr-Cyrl-RS"/>
        </w:rPr>
        <w:t xml:space="preserve">1) </w:t>
      </w:r>
      <w:r w:rsidR="002369CA" w:rsidRPr="008F0E1F">
        <w:rPr>
          <w:rFonts w:ascii="Times New Roman" w:hAnsi="Times New Roman" w:cs="Times New Roman"/>
          <w:sz w:val="24"/>
          <w:szCs w:val="24"/>
          <w:lang w:val="sr-Cyrl-RS"/>
        </w:rPr>
        <w:t>инвестиције за обезбеђивање и унапређење услова рада којима се повреде на раду и професионалне болести смањују на најмању могућу меру;</w:t>
      </w:r>
    </w:p>
    <w:p w14:paraId="5AA178C2" w14:textId="3EC92A1A" w:rsidR="002369CA" w:rsidRPr="008F0E1F" w:rsidRDefault="00E364A9" w:rsidP="008F0E1F">
      <w:pPr>
        <w:spacing w:after="120" w:line="264" w:lineRule="auto"/>
        <w:ind w:firstLine="720"/>
        <w:jc w:val="both"/>
        <w:rPr>
          <w:rFonts w:ascii="Times New Roman" w:hAnsi="Times New Roman" w:cs="Times New Roman"/>
          <w:sz w:val="24"/>
          <w:szCs w:val="24"/>
          <w:lang w:val="sr-Cyrl-RS"/>
        </w:rPr>
      </w:pPr>
      <w:r w:rsidRPr="008F0E1F">
        <w:rPr>
          <w:rFonts w:ascii="Times New Roman" w:hAnsi="Times New Roman" w:cs="Times New Roman"/>
          <w:sz w:val="24"/>
          <w:szCs w:val="24"/>
          <w:lang w:val="sr-Cyrl-RS"/>
        </w:rPr>
        <w:t xml:space="preserve">2) </w:t>
      </w:r>
      <w:r w:rsidR="002369CA" w:rsidRPr="008F0E1F">
        <w:rPr>
          <w:rFonts w:ascii="Times New Roman" w:hAnsi="Times New Roman" w:cs="Times New Roman"/>
          <w:sz w:val="24"/>
          <w:szCs w:val="24"/>
          <w:lang w:val="sr-Cyrl-RS"/>
        </w:rPr>
        <w:t>трошкове последица повреда на раду и професионалних болести које, посредно или непосредно, сносе послодавци, повређени, њихове породице и друштвена заједница.</w:t>
      </w:r>
    </w:p>
    <w:p w14:paraId="7FA2A3C8" w14:textId="77777777" w:rsidR="002369CA" w:rsidRPr="008F0E1F" w:rsidRDefault="002369CA" w:rsidP="008F0E1F">
      <w:pPr>
        <w:spacing w:after="120" w:line="264" w:lineRule="auto"/>
        <w:ind w:firstLine="720"/>
        <w:jc w:val="both"/>
        <w:rPr>
          <w:rFonts w:ascii="Times New Roman" w:hAnsi="Times New Roman" w:cs="Times New Roman"/>
          <w:sz w:val="24"/>
          <w:szCs w:val="24"/>
          <w:lang w:val="sr-Cyrl-RS"/>
        </w:rPr>
      </w:pPr>
      <w:r w:rsidRPr="008F0E1F">
        <w:rPr>
          <w:rFonts w:ascii="Times New Roman" w:hAnsi="Times New Roman" w:cs="Times New Roman"/>
          <w:sz w:val="24"/>
          <w:szCs w:val="24"/>
          <w:lang w:val="sr-Cyrl-RS"/>
        </w:rPr>
        <w:lastRenderedPageBreak/>
        <w:t>Ове две групе су узајамно зависне по функцији и последицама тако да већа улагања у унапређење услова рада смањују трошкове последица повреда на раду и професионалних болести чиме директно утичу на пословање привредних субјеката.</w:t>
      </w:r>
    </w:p>
    <w:p w14:paraId="1D7232C9" w14:textId="77777777" w:rsidR="002369CA" w:rsidRPr="002D6A3F" w:rsidRDefault="002369CA" w:rsidP="00E364A9">
      <w:pPr>
        <w:spacing w:after="150"/>
        <w:ind w:firstLine="720"/>
        <w:jc w:val="both"/>
        <w:rPr>
          <w:rFonts w:ascii="Times New Roman" w:hAnsi="Times New Roman" w:cs="Times New Roman"/>
          <w:sz w:val="24"/>
          <w:szCs w:val="24"/>
          <w:lang w:val="sr-Cyrl-RS"/>
        </w:rPr>
      </w:pPr>
      <w:r w:rsidRPr="002D6A3F">
        <w:rPr>
          <w:rFonts w:ascii="Times New Roman" w:hAnsi="Times New Roman" w:cs="Times New Roman"/>
          <w:color w:val="000000"/>
          <w:sz w:val="24"/>
          <w:szCs w:val="24"/>
          <w:lang w:val="sr-Cyrl-RS"/>
        </w:rPr>
        <w:t>Трошкове последица повреда на раду и професионалних болести у основи чине трошкови накнаде запосленом због претрпљене штете, причињене материјалне штете, застоји у производњи и поремећаји у организацији рада, ангажовања других запослених због замене повређених, замене опреме, трошкови услед покретања прекршајних и/или кривичних поступака и административни трошкови. Ови трошкови утичу на губитак пословног угледа, као и на морал и мотивисаност запослених.</w:t>
      </w:r>
    </w:p>
    <w:p w14:paraId="4112F7B3" w14:textId="77777777" w:rsidR="002369CA" w:rsidRPr="002D6A3F" w:rsidRDefault="002369CA" w:rsidP="00E364A9">
      <w:pPr>
        <w:spacing w:after="150"/>
        <w:ind w:firstLine="720"/>
        <w:jc w:val="both"/>
        <w:rPr>
          <w:rFonts w:ascii="Times New Roman" w:hAnsi="Times New Roman" w:cs="Times New Roman"/>
          <w:color w:val="000000"/>
          <w:sz w:val="24"/>
          <w:szCs w:val="24"/>
          <w:lang w:val="sr-Cyrl-RS"/>
        </w:rPr>
      </w:pPr>
      <w:r w:rsidRPr="002D6A3F">
        <w:rPr>
          <w:rFonts w:ascii="Times New Roman" w:hAnsi="Times New Roman" w:cs="Times New Roman"/>
          <w:color w:val="000000"/>
          <w:sz w:val="24"/>
          <w:szCs w:val="24"/>
          <w:lang w:val="sr-Cyrl-RS"/>
        </w:rPr>
        <w:t>Сви трошкови који настају као последица повреда на раду, професионалних болести и болести у вези са радом могу се поделити на директне и индиректне. На нивоу послодавца трошкови се прате и на основу изгубљених радних сати због повреда на раду и професионалних болести. На нивоу државе део трошкова повреда на раду и професионалних болести сносе Републички фонд за здравствено осигурање и Републички фонд за пензијско и инвалидско осигурање.</w:t>
      </w:r>
    </w:p>
    <w:p w14:paraId="0FB56E17" w14:textId="306A4284" w:rsidR="002369CA" w:rsidRPr="00536FEA" w:rsidRDefault="00E364A9" w:rsidP="000D1CE7">
      <w:pPr>
        <w:spacing w:after="150"/>
        <w:ind w:firstLine="720"/>
        <w:jc w:val="both"/>
        <w:rPr>
          <w:rFonts w:ascii="Times New Roman" w:hAnsi="Times New Roman" w:cs="Times New Roman"/>
          <w:b/>
          <w:color w:val="000000"/>
          <w:sz w:val="24"/>
          <w:szCs w:val="24"/>
          <w:lang w:val="sr-Cyrl-RS"/>
        </w:rPr>
      </w:pPr>
      <w:r w:rsidRPr="00536FEA">
        <w:rPr>
          <w:rFonts w:ascii="Times New Roman" w:hAnsi="Times New Roman" w:cs="Times New Roman"/>
          <w:b/>
          <w:color w:val="000000"/>
          <w:sz w:val="24"/>
          <w:szCs w:val="24"/>
          <w:lang w:val="sr-Cyrl-RS"/>
        </w:rPr>
        <w:t xml:space="preserve">4.5. </w:t>
      </w:r>
      <w:r w:rsidR="002369CA" w:rsidRPr="00536FEA">
        <w:rPr>
          <w:rFonts w:ascii="Times New Roman" w:hAnsi="Times New Roman" w:cs="Times New Roman"/>
          <w:b/>
          <w:color w:val="000000"/>
          <w:sz w:val="24"/>
          <w:szCs w:val="24"/>
          <w:lang w:val="sr-Cyrl-RS"/>
        </w:rPr>
        <w:t>Утицај миграторних кретања</w:t>
      </w:r>
    </w:p>
    <w:p w14:paraId="3E4D1696" w14:textId="5D92D52D" w:rsidR="002369CA" w:rsidRPr="000D1CE7" w:rsidRDefault="000D1CE7" w:rsidP="00E364A9">
      <w:pPr>
        <w:spacing w:after="150"/>
        <w:ind w:firstLine="720"/>
        <w:jc w:val="both"/>
        <w:rPr>
          <w:rFonts w:ascii="Times New Roman" w:hAnsi="Times New Roman" w:cs="Times New Roman"/>
          <w:color w:val="000000"/>
          <w:sz w:val="24"/>
          <w:szCs w:val="24"/>
          <w:lang w:val="sr-Cyrl-RS"/>
        </w:rPr>
      </w:pPr>
      <w:r w:rsidRPr="000D1CE7">
        <w:rPr>
          <w:rFonts w:ascii="Times New Roman" w:hAnsi="Times New Roman" w:cs="Times New Roman"/>
          <w:color w:val="000000"/>
          <w:sz w:val="24"/>
          <w:szCs w:val="24"/>
          <w:lang w:val="sr-Cyrl-RS"/>
        </w:rPr>
        <w:t xml:space="preserve">У 2022. години, у Републици </w:t>
      </w:r>
      <w:r w:rsidR="002369CA" w:rsidRPr="000D1CE7">
        <w:rPr>
          <w:rFonts w:ascii="Times New Roman" w:hAnsi="Times New Roman" w:cs="Times New Roman"/>
          <w:color w:val="000000"/>
          <w:sz w:val="24"/>
          <w:szCs w:val="24"/>
          <w:lang w:val="sr-Cyrl-RS"/>
        </w:rPr>
        <w:t xml:space="preserve">Србији  издато је укупно 35.174 дозвола за рад страним држављанима, у 2021. години 23.662, а у 2020. години 12.932 дозвола за рад. Национална служба за запошљавање </w:t>
      </w:r>
      <w:r w:rsidRPr="000D1CE7">
        <w:rPr>
          <w:rFonts w:ascii="Times New Roman" w:hAnsi="Times New Roman" w:cs="Times New Roman"/>
          <w:color w:val="000000"/>
          <w:sz w:val="24"/>
          <w:szCs w:val="24"/>
          <w:lang w:val="sr-Cyrl-RS"/>
        </w:rPr>
        <w:t xml:space="preserve">је </w:t>
      </w:r>
      <w:r w:rsidR="002369CA" w:rsidRPr="000D1CE7">
        <w:rPr>
          <w:rFonts w:ascii="Times New Roman" w:hAnsi="Times New Roman" w:cs="Times New Roman"/>
          <w:color w:val="000000"/>
          <w:sz w:val="24"/>
          <w:szCs w:val="24"/>
          <w:lang w:val="sr-Cyrl-RS"/>
        </w:rPr>
        <w:t xml:space="preserve">у прва два месеца 2023. године странцима издала више од 8.000 дозвола за рад. Процењује се </w:t>
      </w:r>
      <w:r w:rsidRPr="000D1CE7">
        <w:rPr>
          <w:rFonts w:ascii="Times New Roman" w:hAnsi="Times New Roman" w:cs="Times New Roman"/>
          <w:color w:val="000000"/>
          <w:sz w:val="24"/>
          <w:szCs w:val="24"/>
          <w:lang w:val="sr-Cyrl-RS"/>
        </w:rPr>
        <w:t xml:space="preserve">да </w:t>
      </w:r>
      <w:r w:rsidR="002369CA" w:rsidRPr="000D1CE7">
        <w:rPr>
          <w:rFonts w:ascii="Times New Roman" w:hAnsi="Times New Roman" w:cs="Times New Roman"/>
          <w:color w:val="000000"/>
          <w:sz w:val="24"/>
          <w:szCs w:val="24"/>
          <w:lang w:val="sr-Cyrl-RS"/>
        </w:rPr>
        <w:t>од напред наведених издатих дозвола за рад ок</w:t>
      </w:r>
      <w:r w:rsidRPr="000D1CE7">
        <w:rPr>
          <w:rFonts w:ascii="Times New Roman" w:hAnsi="Times New Roman" w:cs="Times New Roman"/>
          <w:color w:val="000000"/>
          <w:sz w:val="24"/>
          <w:szCs w:val="24"/>
          <w:lang w:val="sr-Cyrl-RS"/>
        </w:rPr>
        <w:t>о 30% страних држављана ради у „</w:t>
      </w:r>
      <w:r w:rsidR="002369CA" w:rsidRPr="000D1CE7">
        <w:rPr>
          <w:rFonts w:ascii="Times New Roman" w:hAnsi="Times New Roman" w:cs="Times New Roman"/>
          <w:color w:val="000000"/>
          <w:sz w:val="24"/>
          <w:szCs w:val="24"/>
          <w:lang w:val="sr-Cyrl-RS"/>
        </w:rPr>
        <w:t>сивој зони</w:t>
      </w:r>
      <w:r w:rsidRPr="000D1CE7">
        <w:rPr>
          <w:rFonts w:ascii="Times New Roman" w:hAnsi="Times New Roman" w:cs="Times New Roman"/>
          <w:color w:val="000000"/>
          <w:sz w:val="24"/>
          <w:szCs w:val="24"/>
          <w:lang w:val="sr-Cyrl-RS"/>
        </w:rPr>
        <w:t>” или „</w:t>
      </w:r>
      <w:r w:rsidR="002369CA" w:rsidRPr="000D1CE7">
        <w:rPr>
          <w:rFonts w:ascii="Times New Roman" w:hAnsi="Times New Roman" w:cs="Times New Roman"/>
          <w:color w:val="000000"/>
          <w:sz w:val="24"/>
          <w:szCs w:val="24"/>
          <w:lang w:val="sr-Cyrl-RS"/>
        </w:rPr>
        <w:t xml:space="preserve">ради на црно”. </w:t>
      </w:r>
    </w:p>
    <w:p w14:paraId="2E68551B" w14:textId="42DB914F" w:rsidR="002369CA" w:rsidRPr="000D1CE7" w:rsidRDefault="002369CA" w:rsidP="00E364A9">
      <w:pPr>
        <w:spacing w:after="150"/>
        <w:ind w:firstLine="720"/>
        <w:jc w:val="both"/>
        <w:rPr>
          <w:rFonts w:ascii="Times New Roman" w:hAnsi="Times New Roman" w:cs="Times New Roman"/>
          <w:color w:val="000000"/>
          <w:sz w:val="24"/>
          <w:szCs w:val="24"/>
          <w:lang w:val="sr-Cyrl-RS"/>
        </w:rPr>
      </w:pPr>
      <w:r w:rsidRPr="000D1CE7">
        <w:rPr>
          <w:rFonts w:ascii="Times New Roman" w:hAnsi="Times New Roman" w:cs="Times New Roman"/>
          <w:color w:val="000000"/>
          <w:sz w:val="24"/>
          <w:szCs w:val="24"/>
          <w:lang w:val="sr-Cyrl-RS"/>
        </w:rPr>
        <w:t>Највећи број страних радника у претходној години био је ангажован пре свега у области грађевинарства. Ради се о различитим проф</w:t>
      </w:r>
      <w:r w:rsidR="000D1CE7">
        <w:rPr>
          <w:rFonts w:ascii="Times New Roman" w:hAnsi="Times New Roman" w:cs="Times New Roman"/>
          <w:color w:val="000000"/>
          <w:sz w:val="24"/>
          <w:szCs w:val="24"/>
          <w:lang w:val="sr-Cyrl-RS"/>
        </w:rPr>
        <w:t xml:space="preserve">илима грађевинских радника – </w:t>
      </w:r>
      <w:r w:rsidRPr="000D1CE7">
        <w:rPr>
          <w:rFonts w:ascii="Times New Roman" w:hAnsi="Times New Roman" w:cs="Times New Roman"/>
          <w:color w:val="000000"/>
          <w:sz w:val="24"/>
          <w:szCs w:val="24"/>
          <w:lang w:val="sr-Cyrl-RS"/>
        </w:rPr>
        <w:t xml:space="preserve"> зидарима, армирачима, помоћним грађевинским радницима, гипсарима, тесарима, столарима. Велики број дозвола издат је и вариоцима. Такође, већи број дозвола за рад издат је ИТ стручњацима из различитих области ИТ делатности.</w:t>
      </w:r>
    </w:p>
    <w:p w14:paraId="7395B3C3" w14:textId="77777777" w:rsidR="002369CA" w:rsidRPr="000D1CE7" w:rsidRDefault="002369CA" w:rsidP="00E364A9">
      <w:pPr>
        <w:spacing w:after="150"/>
        <w:ind w:firstLine="720"/>
        <w:jc w:val="both"/>
        <w:rPr>
          <w:rFonts w:ascii="Times New Roman" w:hAnsi="Times New Roman" w:cs="Times New Roman"/>
          <w:color w:val="000000"/>
          <w:sz w:val="24"/>
          <w:szCs w:val="24"/>
          <w:lang w:val="sr-Cyrl-RS"/>
        </w:rPr>
      </w:pPr>
      <w:r w:rsidRPr="000D1CE7">
        <w:rPr>
          <w:rFonts w:ascii="Times New Roman" w:hAnsi="Times New Roman" w:cs="Times New Roman"/>
          <w:color w:val="000000"/>
          <w:sz w:val="24"/>
          <w:szCs w:val="24"/>
          <w:lang w:val="sr-Cyrl-RS"/>
        </w:rPr>
        <w:t>Осим тога, значајан број странаца ангажовани су као помоћни радници у различитим гранама привреде, попут услужних делатности, у угоститељству и хотелијерству. Процењује се да у угоститељству у Србији тренутно недостаје 20.000 до 25.000 радника. Од оних који су напуштали хотеле, а таквих је годинама уназад детектовано више од 6.000, око половина је одлазила да ради у компаније у другим делатностима.</w:t>
      </w:r>
    </w:p>
    <w:p w14:paraId="511E4091" w14:textId="5E0D9364" w:rsidR="002369CA" w:rsidRPr="000D1CE7" w:rsidRDefault="002369CA" w:rsidP="00E364A9">
      <w:pPr>
        <w:spacing w:after="150"/>
        <w:ind w:firstLine="720"/>
        <w:jc w:val="both"/>
        <w:rPr>
          <w:rFonts w:ascii="Times New Roman" w:hAnsi="Times New Roman" w:cs="Times New Roman"/>
          <w:color w:val="000000"/>
          <w:sz w:val="24"/>
          <w:szCs w:val="24"/>
          <w:lang w:val="sr-Cyrl-RS"/>
        </w:rPr>
      </w:pPr>
      <w:r w:rsidRPr="000D1CE7">
        <w:rPr>
          <w:rFonts w:ascii="Times New Roman" w:hAnsi="Times New Roman" w:cs="Times New Roman"/>
          <w:color w:val="000000"/>
          <w:sz w:val="24"/>
          <w:szCs w:val="24"/>
          <w:lang w:val="sr-Cyrl-RS"/>
        </w:rPr>
        <w:t>Министарство  грађевинарства, саобраћаја</w:t>
      </w:r>
      <w:r w:rsidR="00B023EB">
        <w:rPr>
          <w:rFonts w:ascii="Times New Roman" w:hAnsi="Times New Roman" w:cs="Times New Roman"/>
          <w:color w:val="000000"/>
          <w:sz w:val="24"/>
          <w:szCs w:val="24"/>
          <w:lang w:val="sr-Cyrl-RS"/>
        </w:rPr>
        <w:t xml:space="preserve"> и инфраструктуре оцењује </w:t>
      </w:r>
      <w:r w:rsidRPr="000D1CE7">
        <w:rPr>
          <w:rFonts w:ascii="Times New Roman" w:hAnsi="Times New Roman" w:cs="Times New Roman"/>
          <w:color w:val="000000"/>
          <w:sz w:val="24"/>
          <w:szCs w:val="24"/>
          <w:lang w:val="sr-Cyrl-RS"/>
        </w:rPr>
        <w:t>да су у Србији 30 одсто свих запослених у</w:t>
      </w:r>
      <w:r w:rsidR="00B023EB">
        <w:rPr>
          <w:rFonts w:ascii="Times New Roman" w:hAnsi="Times New Roman" w:cs="Times New Roman"/>
          <w:color w:val="000000"/>
          <w:sz w:val="24"/>
          <w:szCs w:val="24"/>
          <w:lang w:val="sr-Cyrl-RS"/>
        </w:rPr>
        <w:t xml:space="preserve"> грађевинарству странци</w:t>
      </w:r>
      <w:r w:rsidRPr="000D1CE7">
        <w:rPr>
          <w:rFonts w:ascii="Times New Roman" w:hAnsi="Times New Roman" w:cs="Times New Roman"/>
          <w:color w:val="000000"/>
          <w:sz w:val="24"/>
          <w:szCs w:val="24"/>
          <w:lang w:val="sr-Cyrl-RS"/>
        </w:rPr>
        <w:t>. Трећина свих запослених у грађевинарству у Србији су странци, у пољопривреди и више.</w:t>
      </w:r>
    </w:p>
    <w:p w14:paraId="4430599D" w14:textId="77777777" w:rsidR="00E364A9" w:rsidRPr="00B023EB" w:rsidRDefault="00E364A9" w:rsidP="00B023EB">
      <w:pPr>
        <w:spacing w:after="150"/>
        <w:ind w:firstLine="720"/>
        <w:jc w:val="both"/>
        <w:rPr>
          <w:rFonts w:ascii="Times New Roman" w:hAnsi="Times New Roman" w:cs="Times New Roman"/>
          <w:b/>
          <w:color w:val="000000"/>
          <w:sz w:val="24"/>
          <w:szCs w:val="24"/>
          <w:lang w:val="sr-Cyrl-RS"/>
        </w:rPr>
      </w:pPr>
      <w:bookmarkStart w:id="33" w:name="_Toc126746536"/>
      <w:r w:rsidRPr="00B023EB">
        <w:rPr>
          <w:rFonts w:ascii="Times New Roman" w:hAnsi="Times New Roman" w:cs="Times New Roman"/>
          <w:b/>
          <w:color w:val="000000"/>
          <w:sz w:val="24"/>
          <w:szCs w:val="24"/>
          <w:lang w:val="sr-Cyrl-RS"/>
        </w:rPr>
        <w:t xml:space="preserve">4.6. </w:t>
      </w:r>
      <w:r w:rsidR="002369CA" w:rsidRPr="00B023EB">
        <w:rPr>
          <w:rFonts w:ascii="Times New Roman" w:hAnsi="Times New Roman" w:cs="Times New Roman"/>
          <w:b/>
          <w:color w:val="000000"/>
          <w:sz w:val="24"/>
          <w:szCs w:val="24"/>
          <w:lang w:val="sr-Cyrl-RS"/>
        </w:rPr>
        <w:t>Правци за даље унапређење безбедности и здравља на раду</w:t>
      </w:r>
      <w:bookmarkEnd w:id="33"/>
    </w:p>
    <w:p w14:paraId="5F04997C" w14:textId="7AFC82BC" w:rsidR="002369CA" w:rsidRPr="00EB7F4C" w:rsidRDefault="002369CA" w:rsidP="00E364A9">
      <w:pPr>
        <w:spacing w:after="150"/>
        <w:ind w:firstLine="720"/>
        <w:jc w:val="both"/>
        <w:rPr>
          <w:rFonts w:ascii="Times New Roman" w:hAnsi="Times New Roman" w:cs="Times New Roman"/>
          <w:color w:val="000000"/>
          <w:sz w:val="24"/>
          <w:szCs w:val="24"/>
          <w:lang w:val="sr-Cyrl-RS"/>
        </w:rPr>
      </w:pPr>
      <w:r w:rsidRPr="002D6A3F">
        <w:rPr>
          <w:rFonts w:ascii="Times New Roman" w:hAnsi="Times New Roman" w:cs="Times New Roman"/>
          <w:color w:val="000000"/>
          <w:sz w:val="24"/>
          <w:szCs w:val="24"/>
          <w:lang w:val="sr-Cyrl-RS"/>
        </w:rPr>
        <w:t>Како би се унапредио систем безбедности и здравља на раду потребно је наставити активности на унапређењу, прилагођавању законодавства и вршењем инспекцијских надзора над применом прописа, увођењу јединственог регистра повреда на раду, увођењу посебног осигурања од повреда на раду и професионалних болести, унапређењу социјалног дијалога, здравља на раду, образовања и обука професионалног развоја, као и превазилажењу препознатих проблема у примени прописа.</w:t>
      </w:r>
    </w:p>
    <w:p w14:paraId="4E811904" w14:textId="77777777" w:rsidR="002369CA" w:rsidRPr="00EB7F4C" w:rsidRDefault="002369CA" w:rsidP="00E364A9">
      <w:pPr>
        <w:spacing w:after="150"/>
        <w:ind w:firstLine="720"/>
        <w:jc w:val="both"/>
        <w:rPr>
          <w:rFonts w:ascii="Times New Roman" w:hAnsi="Times New Roman" w:cs="Times New Roman"/>
          <w:sz w:val="24"/>
          <w:szCs w:val="24"/>
          <w:lang w:val="sr-Cyrl-RS"/>
        </w:rPr>
      </w:pPr>
      <w:r w:rsidRPr="00EB7F4C">
        <w:rPr>
          <w:rFonts w:ascii="Times New Roman" w:hAnsi="Times New Roman" w:cs="Times New Roman"/>
          <w:color w:val="000000"/>
          <w:sz w:val="24"/>
          <w:szCs w:val="24"/>
          <w:lang w:val="sr-Cyrl-RS"/>
        </w:rPr>
        <w:lastRenderedPageBreak/>
        <w:t xml:space="preserve">Увођење јединственог регистра повреда на раду јесте основ за праћење стања, анализу и успостављање ефикасније националне политике у овој области. </w:t>
      </w:r>
      <w:r w:rsidRPr="002D6A3F">
        <w:rPr>
          <w:rFonts w:ascii="Times New Roman" w:hAnsi="Times New Roman" w:cs="Times New Roman"/>
          <w:color w:val="000000"/>
          <w:sz w:val="24"/>
          <w:szCs w:val="24"/>
          <w:lang w:val="sr-Cyrl-RS"/>
        </w:rPr>
        <w:t xml:space="preserve">Имајући у виду приоритете Владе Републике Србијеза успостављање дигитализације на свим нивоима у државној управи, намеће се обавеза успостављања електронског регистра </w:t>
      </w:r>
      <w:r w:rsidRPr="00EB7F4C">
        <w:rPr>
          <w:rFonts w:ascii="Times New Roman" w:hAnsi="Times New Roman" w:cs="Times New Roman"/>
          <w:sz w:val="24"/>
          <w:szCs w:val="24"/>
          <w:lang w:val="sr-Cyrl-RS"/>
        </w:rPr>
        <w:t>повреда на раду. Увођење јединственог регистра повреда на раду према Европској методологији повреда на раду (ESAW) је обавеза која је проистекла из Преговарачког поглавља 18 – Статистика.</w:t>
      </w:r>
    </w:p>
    <w:p w14:paraId="49A988AB" w14:textId="77777777" w:rsidR="002369CA" w:rsidRPr="00EB7F4C" w:rsidRDefault="002369CA" w:rsidP="00E364A9">
      <w:pPr>
        <w:ind w:firstLine="720"/>
        <w:jc w:val="both"/>
        <w:rPr>
          <w:rFonts w:ascii="Times New Roman" w:hAnsi="Times New Roman" w:cs="Times New Roman"/>
          <w:sz w:val="24"/>
          <w:szCs w:val="24"/>
          <w:lang w:val="sr-Cyrl-RS"/>
        </w:rPr>
      </w:pPr>
      <w:r w:rsidRPr="00EB7F4C">
        <w:rPr>
          <w:rFonts w:ascii="Times New Roman" w:hAnsi="Times New Roman" w:cs="Times New Roman"/>
          <w:sz w:val="24"/>
          <w:szCs w:val="24"/>
          <w:lang w:val="sr-Cyrl-CS"/>
        </w:rPr>
        <w:t xml:space="preserve">Управа за безбедност и здравље на раду припремила је софтвер – Регистар повреда на раду који треба да обезбеди да се евиденција о повредама на раду води у електронској форми. Како би овај софтвер постао потпуно функционалан неопходно је </w:t>
      </w:r>
      <w:r w:rsidRPr="00EB7F4C">
        <w:rPr>
          <w:rFonts w:ascii="Times New Roman" w:hAnsi="Times New Roman" w:cs="Times New Roman"/>
          <w:sz w:val="24"/>
          <w:szCs w:val="24"/>
          <w:lang w:val="sr-Cyrl-RS"/>
        </w:rPr>
        <w:t xml:space="preserve">обезбедити његову комуникацију, путем е-портала, са </w:t>
      </w:r>
      <w:r w:rsidRPr="00EB7F4C">
        <w:rPr>
          <w:rFonts w:ascii="Times New Roman" w:hAnsi="Times New Roman" w:cs="Times New Roman"/>
          <w:sz w:val="24"/>
          <w:szCs w:val="24"/>
        </w:rPr>
        <w:t>Интегрисаним здравственим информациони</w:t>
      </w:r>
      <w:r w:rsidRPr="00EB7F4C">
        <w:rPr>
          <w:rFonts w:ascii="Times New Roman" w:hAnsi="Times New Roman" w:cs="Times New Roman"/>
          <w:sz w:val="24"/>
          <w:szCs w:val="24"/>
          <w:lang w:val="sr-Cyrl-RS"/>
        </w:rPr>
        <w:t>м</w:t>
      </w:r>
      <w:r w:rsidRPr="00EB7F4C">
        <w:rPr>
          <w:rFonts w:ascii="Times New Roman" w:hAnsi="Times New Roman" w:cs="Times New Roman"/>
          <w:sz w:val="24"/>
          <w:szCs w:val="24"/>
        </w:rPr>
        <w:t xml:space="preserve"> систем</w:t>
      </w:r>
      <w:r w:rsidRPr="00EB7F4C">
        <w:rPr>
          <w:rFonts w:ascii="Times New Roman" w:hAnsi="Times New Roman" w:cs="Times New Roman"/>
          <w:sz w:val="24"/>
          <w:szCs w:val="24"/>
          <w:lang w:val="sr-Cyrl-RS"/>
        </w:rPr>
        <w:t>ом</w:t>
      </w:r>
      <w:r w:rsidRPr="00EB7F4C">
        <w:rPr>
          <w:rFonts w:ascii="Times New Roman" w:hAnsi="Times New Roman" w:cs="Times New Roman"/>
          <w:sz w:val="24"/>
          <w:szCs w:val="24"/>
        </w:rPr>
        <w:t xml:space="preserve"> Републике Србије</w:t>
      </w:r>
      <w:r w:rsidRPr="00EB7F4C">
        <w:rPr>
          <w:rFonts w:ascii="Times New Roman" w:hAnsi="Times New Roman" w:cs="Times New Roman"/>
          <w:sz w:val="24"/>
          <w:szCs w:val="24"/>
          <w:lang w:val="sr-Cyrl-RS"/>
        </w:rPr>
        <w:t xml:space="preserve"> који води Министарство здравља и софтвером Републичког фонда за здравствено осигурање, а по потреби и са другим софтверима који воде надлежни органи.</w:t>
      </w:r>
    </w:p>
    <w:p w14:paraId="07ECD646" w14:textId="77777777" w:rsidR="002369CA" w:rsidRPr="00EB7F4C" w:rsidRDefault="002369CA" w:rsidP="00E364A9">
      <w:pPr>
        <w:spacing w:after="150"/>
        <w:ind w:firstLine="720"/>
        <w:jc w:val="both"/>
        <w:rPr>
          <w:rFonts w:ascii="Times New Roman" w:hAnsi="Times New Roman" w:cs="Times New Roman"/>
          <w:sz w:val="24"/>
          <w:szCs w:val="24"/>
          <w:lang w:val="sr-Cyrl-RS"/>
        </w:rPr>
      </w:pPr>
      <w:r w:rsidRPr="00EB7F4C">
        <w:rPr>
          <w:rFonts w:ascii="Times New Roman" w:hAnsi="Times New Roman" w:cs="Times New Roman"/>
          <w:sz w:val="24"/>
          <w:szCs w:val="24"/>
          <w:lang w:val="sr-Cyrl-RS"/>
        </w:rPr>
        <w:t>Јединствени регистар повреда на раду може обезбедити бројне позитивне ефекте: електронску пријаву повреда на раду, смањење трошкова, уштеду времена за послодавце, убрзавање процеса остваривања права, доступности података о извору и узроку повреда на раду, систематску обраду и анализирање података. Такође, свим учесницима у систему безбедности и здравља на раду и заинтересованим странама (Управа за безбедност и здравље на раду, Инспекторат за рад, Републички фонд за здравствено осигурање, Републички фонд за пензијско и инвалидско осигурање, институти за медицину рада, образовне установе, послодавци, запослени, медији) могу бити доступни релевантни подаци о броју повреда на раду.</w:t>
      </w:r>
    </w:p>
    <w:p w14:paraId="23E50037" w14:textId="77777777" w:rsidR="002369CA" w:rsidRPr="00EB7F4C" w:rsidRDefault="002369CA" w:rsidP="00E364A9">
      <w:pPr>
        <w:spacing w:after="150"/>
        <w:ind w:firstLine="720"/>
        <w:jc w:val="both"/>
        <w:rPr>
          <w:rFonts w:ascii="Times New Roman" w:hAnsi="Times New Roman" w:cs="Times New Roman"/>
          <w:sz w:val="24"/>
          <w:szCs w:val="24"/>
          <w:lang w:val="sr-Cyrl-RS"/>
        </w:rPr>
      </w:pPr>
      <w:r w:rsidRPr="00EB7F4C">
        <w:rPr>
          <w:rFonts w:ascii="Times New Roman" w:hAnsi="Times New Roman" w:cs="Times New Roman"/>
          <w:sz w:val="24"/>
          <w:szCs w:val="24"/>
          <w:lang w:val="sr-Cyrl-RS"/>
        </w:rPr>
        <w:t>Важан инструмент за бољу примену прописа из области безбедности и здравља на раду су инспекцијски надзори. Тек након спроведеног инспекцијског надзора многи послодавци и запослени постану свесни својих обавеза из ове области. Инспектори рада имају кључну улогу у борби против фактичког рада и у примени мера безбедности и здравља на раду. Ефективност Инспектората за рад у многоме зависи од стручности инспектора рада. Због тога је потребно обезбедити посебне обуке за инспекторе рада да препознају постојеће, нове и ризике у настајању, као и обуке у вези нових технологија.</w:t>
      </w:r>
    </w:p>
    <w:p w14:paraId="23460E15" w14:textId="77777777" w:rsidR="002369CA" w:rsidRPr="00EB7F4C" w:rsidRDefault="002369CA" w:rsidP="00E364A9">
      <w:pPr>
        <w:spacing w:after="150"/>
        <w:ind w:firstLine="720"/>
        <w:jc w:val="both"/>
        <w:rPr>
          <w:rFonts w:ascii="Times New Roman" w:hAnsi="Times New Roman" w:cs="Times New Roman"/>
          <w:sz w:val="24"/>
          <w:szCs w:val="24"/>
          <w:lang w:val="sr-Cyrl-RS"/>
        </w:rPr>
      </w:pPr>
      <w:r w:rsidRPr="00EB7F4C">
        <w:rPr>
          <w:rFonts w:ascii="Times New Roman" w:hAnsi="Times New Roman" w:cs="Times New Roman"/>
          <w:sz w:val="24"/>
          <w:szCs w:val="24"/>
          <w:lang w:val="sr-Cyrl-RS"/>
        </w:rPr>
        <w:t>Социјални дијалог на нивоу Републике Србије представља трипартитни процес између представника репрезентативних синдиката и удружења послодаваца, са једне стране и Владе, аутономне покрајине и јединице локалне самоуправе са друге стране, а његови најважнији облици су колективно преговарање и социјално-економски савети. Када је реч о колективном преговарању може се оценити да је исти систем у значајној мери развијен у областима јавних служби, државних органа и јавних предузећа. Поред успостављених законских процедура, потребно је иницирати и друге активности које ће допринети унапређењу социјалног дијалога у Републици Србији.</w:t>
      </w:r>
    </w:p>
    <w:p w14:paraId="5196F5C6" w14:textId="77777777" w:rsidR="002369CA" w:rsidRPr="00EB7F4C" w:rsidRDefault="002369CA" w:rsidP="00E364A9">
      <w:pPr>
        <w:spacing w:after="150"/>
        <w:ind w:firstLine="720"/>
        <w:jc w:val="both"/>
        <w:rPr>
          <w:rFonts w:ascii="Times New Roman" w:hAnsi="Times New Roman" w:cs="Times New Roman"/>
          <w:sz w:val="24"/>
          <w:szCs w:val="24"/>
          <w:lang w:val="sr-Cyrl-RS"/>
        </w:rPr>
      </w:pPr>
      <w:r w:rsidRPr="00EB7F4C">
        <w:rPr>
          <w:rFonts w:ascii="Times New Roman" w:hAnsi="Times New Roman" w:cs="Times New Roman"/>
          <w:sz w:val="24"/>
          <w:szCs w:val="24"/>
          <w:lang w:val="sr-Cyrl-RS"/>
        </w:rPr>
        <w:t xml:space="preserve">Посебну пажњу потребно је посветити даљем унапређењу здравља на раду чији је главни носилац здравствена установа која обавља делатност медицине рада. Термин „здравље на раду” традиционално подразумева не само превенцију професионалних болести и повреда на раду већ и очување и унапређење здравља и радне способности запослених, као и унапређење радне средине и стварање безбедних и здравих радних места. Здравље на раду представља важну политику како за обезбеђивање здравих услова за рад, тако и позитиван допринос националној економији кроз повећану </w:t>
      </w:r>
      <w:r w:rsidRPr="00EB7F4C">
        <w:rPr>
          <w:rFonts w:ascii="Times New Roman" w:hAnsi="Times New Roman" w:cs="Times New Roman"/>
          <w:sz w:val="24"/>
          <w:szCs w:val="24"/>
          <w:lang w:val="sr-Cyrl-RS"/>
        </w:rPr>
        <w:lastRenderedPageBreak/>
        <w:t>продуктивност, побољшан квалитет производа, већу радну мотивацију, изражено задовољство послом и допринос кроз свеукупни квалитет живота запослених и друштва у целини. Здравствена установа која обавља делатност медицине рада има за циљ унапређење и обезбеђивање највећег степена физичког, менталног и социјалног благостања запослених у свим професијама, са посебним фокусом на превенцију, заштиту здравља запослених и њихову радну способност и капацитет.</w:t>
      </w:r>
    </w:p>
    <w:p w14:paraId="275F84F9" w14:textId="77777777" w:rsidR="002369CA" w:rsidRPr="00EB7F4C" w:rsidRDefault="002369CA" w:rsidP="00E364A9">
      <w:pPr>
        <w:spacing w:after="150"/>
        <w:ind w:firstLine="720"/>
        <w:jc w:val="both"/>
        <w:rPr>
          <w:rFonts w:ascii="Times New Roman" w:hAnsi="Times New Roman" w:cs="Times New Roman"/>
          <w:sz w:val="24"/>
          <w:szCs w:val="24"/>
          <w:lang w:val="sr-Cyrl-RS"/>
        </w:rPr>
      </w:pPr>
      <w:r w:rsidRPr="00EB7F4C">
        <w:rPr>
          <w:rFonts w:ascii="Times New Roman" w:hAnsi="Times New Roman" w:cs="Times New Roman"/>
          <w:sz w:val="24"/>
          <w:szCs w:val="24"/>
          <w:lang w:val="sr-Cyrl-RS"/>
        </w:rPr>
        <w:t xml:space="preserve">У систему безбедности и здравља на раду, концепт целоживотног учења и образовања сматра се стратешким концептом као одговор на </w:t>
      </w:r>
      <w:r w:rsidRPr="00EB7F4C">
        <w:rPr>
          <w:rFonts w:ascii="Times New Roman" w:hAnsi="Times New Roman" w:cs="Times New Roman"/>
          <w:sz w:val="24"/>
          <w:szCs w:val="24"/>
          <w:lang w:val="sr-Latn-RS"/>
        </w:rPr>
        <w:t>промене</w:t>
      </w:r>
      <w:r w:rsidRPr="00EB7F4C">
        <w:rPr>
          <w:rFonts w:ascii="Times New Roman" w:hAnsi="Times New Roman" w:cs="Times New Roman"/>
          <w:sz w:val="24"/>
          <w:szCs w:val="24"/>
          <w:lang w:val="sr-Cyrl-RS"/>
        </w:rPr>
        <w:t xml:space="preserve"> у новом свету рада донесеним зеленим, дигиталним и демографским транзицијама, професионалне ризике и друге захтеве за унапређење знања и вештина. Полазећи од чињенице да су основне одреднице целоживотног учења и образовања континуитет и интеграција намеће се потреба развоја свести од најранијег узраста о важности сопственог здравља и безбедности преко свих нивоа формалног образовања до различитих облика неформалног образовања. Поред образовно-васпитне делатности, потребно је подстицати развој научно-истраживачког рада, сарадњу и умрежавање високошколских установа (у националним, регионалним и међународним оквирима) кроз покретање пројеката, трансфер научних знања и пракси и других научних активности у овој области. Да би се ишло у корак са временом, технолошким и другим променама и одговорило, односно управљало ризицима у радној средини, неопходно је учење током целог живота. Зато се поред стеченог формалног образовања, знања из области безбедности и здравља на раду стичу неформалним образовањем и учењем. Када је реч о неформалном образовању, од посебног је значаја оспособљавање запослених, послодаваца, инспектора рада, саветника/сарадника за безбедност и здравље на раду и координатора кроз обуке континуалног професионалног развоја и друге облике неформалног образовања из области безбедности и здравља на раду. Стицање знања о безбедности и здрављу на раду у раном узрасту ствара добру основу за спречавање повреда на раду и професионалних болести касније током професионалног ангажовања.</w:t>
      </w:r>
    </w:p>
    <w:p w14:paraId="167D0858" w14:textId="77777777" w:rsidR="002369CA" w:rsidRPr="00EB7F4C" w:rsidRDefault="002369CA" w:rsidP="00E364A9">
      <w:pPr>
        <w:spacing w:after="150"/>
        <w:ind w:firstLine="720"/>
        <w:jc w:val="both"/>
        <w:rPr>
          <w:rFonts w:ascii="Times New Roman" w:hAnsi="Times New Roman" w:cs="Times New Roman"/>
          <w:sz w:val="24"/>
          <w:szCs w:val="24"/>
          <w:lang w:val="sr-Cyrl-RS"/>
        </w:rPr>
      </w:pPr>
      <w:r w:rsidRPr="00EB7F4C">
        <w:rPr>
          <w:rFonts w:ascii="Times New Roman" w:hAnsi="Times New Roman" w:cs="Times New Roman"/>
          <w:sz w:val="24"/>
          <w:szCs w:val="24"/>
          <w:lang w:val="sr-Cyrl-RS"/>
        </w:rPr>
        <w:t>Потребно је олакшати успостављање система безбедности и здравља на раду за микро и мала предузећа у циљу примене мера за спречавање ризика. Посебна пажња фокусирана је на увођење Е-алата као помоћ микро и малим предузећима у спровођењу захтева из прописа безбедности и здравља на раду.</w:t>
      </w:r>
    </w:p>
    <w:p w14:paraId="55B5E12C" w14:textId="77777777" w:rsidR="002369CA" w:rsidRPr="00EB7F4C" w:rsidRDefault="002369CA" w:rsidP="00E364A9">
      <w:pPr>
        <w:spacing w:after="150"/>
        <w:ind w:firstLine="720"/>
        <w:jc w:val="both"/>
        <w:rPr>
          <w:rFonts w:ascii="Times New Roman" w:hAnsi="Times New Roman" w:cs="Times New Roman"/>
          <w:sz w:val="24"/>
          <w:szCs w:val="24"/>
          <w:lang w:val="sr-Cyrl-RS"/>
        </w:rPr>
      </w:pPr>
      <w:r w:rsidRPr="00EB7F4C">
        <w:rPr>
          <w:rFonts w:ascii="Times New Roman" w:hAnsi="Times New Roman" w:cs="Times New Roman"/>
          <w:sz w:val="24"/>
          <w:szCs w:val="24"/>
          <w:lang w:val="sr-Cyrl-RS"/>
        </w:rPr>
        <w:t>Поред претходно наведених активности потребно је радити на променама навика и подизању свести према области безбедности и здравља на раду што се може остварити организацијом различитих манифестација.</w:t>
      </w:r>
    </w:p>
    <w:p w14:paraId="3D8C4095" w14:textId="77777777" w:rsidR="002369CA" w:rsidRPr="002D6A3F" w:rsidRDefault="002369CA" w:rsidP="00E364A9">
      <w:pPr>
        <w:spacing w:after="150"/>
        <w:ind w:firstLine="720"/>
        <w:jc w:val="both"/>
        <w:rPr>
          <w:rFonts w:ascii="Times New Roman" w:hAnsi="Times New Roman" w:cs="Times New Roman"/>
          <w:sz w:val="24"/>
          <w:szCs w:val="24"/>
          <w:lang w:val="sr-Cyrl-RS"/>
        </w:rPr>
      </w:pPr>
      <w:r w:rsidRPr="002D6A3F">
        <w:rPr>
          <w:rFonts w:ascii="Times New Roman" w:hAnsi="Times New Roman" w:cs="Times New Roman"/>
          <w:color w:val="000000"/>
          <w:sz w:val="24"/>
          <w:szCs w:val="24"/>
          <w:lang w:val="sr-Cyrl-RS"/>
        </w:rPr>
        <w:t xml:space="preserve">Ризици који погађају одређене старосне групе, запослене са инвалидитетом и жене захтевају посебну пажњу и активности усмерене искључиво ка овим групама. Потребно је наставити рад на унапређењу заштите посебно осетљивих група запослених (труднице, млади, старији запослени, особе са </w:t>
      </w:r>
      <w:r w:rsidRPr="002D6A3F">
        <w:rPr>
          <w:rFonts w:ascii="Times New Roman" w:hAnsi="Times New Roman" w:cs="Times New Roman"/>
          <w:sz w:val="24"/>
          <w:szCs w:val="24"/>
          <w:lang w:val="sr-Cyrl-RS"/>
        </w:rPr>
        <w:t>инвалидитетом и др</w:t>
      </w:r>
      <w:r w:rsidRPr="00EB7F4C">
        <w:rPr>
          <w:rFonts w:ascii="Times New Roman" w:hAnsi="Times New Roman" w:cs="Times New Roman"/>
          <w:sz w:val="24"/>
          <w:szCs w:val="24"/>
          <w:lang w:val="sr-Cyrl-RS"/>
        </w:rPr>
        <w:t>.).</w:t>
      </w:r>
    </w:p>
    <w:p w14:paraId="3EDA194B" w14:textId="4E9B5D5D" w:rsidR="001A6EA6" w:rsidRDefault="001A6EA6" w:rsidP="001579D6">
      <w:pPr>
        <w:spacing w:after="150"/>
        <w:jc w:val="both"/>
        <w:rPr>
          <w:rFonts w:ascii="Times New Roman" w:hAnsi="Times New Roman" w:cs="Times New Roman"/>
          <w:b/>
          <w:color w:val="000000"/>
          <w:sz w:val="24"/>
          <w:szCs w:val="24"/>
          <w:lang w:val="sr-Cyrl-RS"/>
        </w:rPr>
      </w:pPr>
      <w:bookmarkStart w:id="34" w:name="_Toc126746537"/>
    </w:p>
    <w:p w14:paraId="6B299057" w14:textId="52CDDE68" w:rsidR="00C565C0" w:rsidRPr="00C565C0" w:rsidRDefault="00C565C0" w:rsidP="00C565C0">
      <w:pPr>
        <w:spacing w:after="150"/>
        <w:ind w:firstLine="720"/>
        <w:jc w:val="both"/>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Cyrl-RS"/>
        </w:rPr>
        <w:t>5</w:t>
      </w:r>
      <w:r w:rsidRPr="00C565C0">
        <w:rPr>
          <w:rFonts w:ascii="Times New Roman" w:hAnsi="Times New Roman" w:cs="Times New Roman"/>
          <w:b/>
          <w:color w:val="000000"/>
          <w:sz w:val="24"/>
          <w:szCs w:val="24"/>
          <w:lang w:val="sr-Cyrl-RS"/>
        </w:rPr>
        <w:t>. МИСИЈА И ВИЗИЈА СТРАТЕГИЈЕ</w:t>
      </w:r>
      <w:bookmarkEnd w:id="34"/>
    </w:p>
    <w:p w14:paraId="7F4F8D0F" w14:textId="770CF161" w:rsidR="00C565C0" w:rsidRPr="00C565C0" w:rsidRDefault="00C565C0" w:rsidP="00C565C0">
      <w:pPr>
        <w:spacing w:after="150"/>
        <w:ind w:firstLine="720"/>
        <w:jc w:val="both"/>
        <w:rPr>
          <w:rFonts w:ascii="Times New Roman" w:hAnsi="Times New Roman" w:cs="Times New Roman"/>
          <w:color w:val="000000"/>
          <w:sz w:val="24"/>
          <w:szCs w:val="24"/>
          <w:lang w:val="sr-Cyrl-RS"/>
        </w:rPr>
      </w:pPr>
      <w:bookmarkStart w:id="35" w:name="_Toc126746538"/>
      <w:r w:rsidRPr="00C565C0">
        <w:rPr>
          <w:rFonts w:ascii="Times New Roman" w:hAnsi="Times New Roman" w:cs="Times New Roman"/>
          <w:color w:val="000000"/>
          <w:sz w:val="24"/>
          <w:szCs w:val="24"/>
          <w:lang w:val="sr-Cyrl-RS"/>
        </w:rPr>
        <w:t xml:space="preserve">Мисија Стратегије је унапређење система којим се остварују безбедни и здрави радни услови, а који у највећој могућој мери обезбеђују смањење повреда на раду, професионалних болести и болести у вези са радом. Жељена промена се односи на све привредне субјекте и радно активно становништво и подразумева стварање </w:t>
      </w:r>
      <w:r w:rsidRPr="00C565C0">
        <w:rPr>
          <w:rFonts w:ascii="Times New Roman" w:hAnsi="Times New Roman" w:cs="Times New Roman"/>
          <w:color w:val="000000"/>
          <w:sz w:val="24"/>
          <w:szCs w:val="24"/>
          <w:lang w:val="sr-Cyrl-RS"/>
        </w:rPr>
        <w:lastRenderedPageBreak/>
        <w:t>претпоставки ка бољој примени и поштовању прописа, а посебно у високоризичним делатностима (грађевинарство, пољопривреда, шумарство и рибарство, рударство, прерађивачка индустрија, снабдевање електричном енергијом, гасом, паром и климатизација, снабдевање водом, управљање отпадним водама, контролисање процеса уклањања отпада и сличне активности и здравствена и социјална заштитa), као и према посебно осетљивим групама запослених (труднице, млади, старији запослени, особе са инвалидитетом и др) и сарадњу свих заинтересованих страна у систему</w:t>
      </w:r>
      <w:r>
        <w:rPr>
          <w:rFonts w:ascii="Times New Roman" w:hAnsi="Times New Roman" w:cs="Times New Roman"/>
          <w:color w:val="000000"/>
          <w:sz w:val="24"/>
          <w:szCs w:val="24"/>
          <w:lang w:val="sr-Cyrl-RS"/>
        </w:rPr>
        <w:t xml:space="preserve"> безбедности и здравља на раду.</w:t>
      </w:r>
    </w:p>
    <w:p w14:paraId="29E36253" w14:textId="77777777"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 xml:space="preserve">Визија Стратегије je стални рад на унапређењу безбедности и здравља на раду кроз даље усаглашавање прописа са прописима ЕУ и заједнички рад послодаваца, запослених, државе, научноистраживачких установа, стручних институција и удружења грађана невладиних организација на подизању свести у овој области, унапређење знања и вештина, односно успостављање културе рада и стварање предуслова добробити на раду и квалитета живота и здравља на раду. </w:t>
      </w:r>
    </w:p>
    <w:p w14:paraId="133FD6F5" w14:textId="77777777" w:rsidR="00C565C0" w:rsidRPr="00C565C0" w:rsidRDefault="00C565C0" w:rsidP="00C565C0">
      <w:pPr>
        <w:spacing w:after="150"/>
        <w:ind w:firstLine="720"/>
        <w:jc w:val="both"/>
        <w:rPr>
          <w:rFonts w:ascii="Times New Roman" w:hAnsi="Times New Roman" w:cs="Times New Roman"/>
          <w:color w:val="000000"/>
          <w:sz w:val="24"/>
          <w:szCs w:val="24"/>
          <w:lang w:val="sr-Cyrl-RS"/>
        </w:rPr>
      </w:pPr>
    </w:p>
    <w:p w14:paraId="13262F73" w14:textId="19825F47" w:rsidR="00C565C0" w:rsidRPr="00C565C0" w:rsidRDefault="00C565C0" w:rsidP="00C565C0">
      <w:pPr>
        <w:spacing w:after="150"/>
        <w:ind w:firstLine="720"/>
        <w:jc w:val="both"/>
        <w:rPr>
          <w:rFonts w:ascii="Times New Roman" w:hAnsi="Times New Roman" w:cs="Times New Roman"/>
          <w:b/>
          <w:color w:val="000000"/>
          <w:sz w:val="24"/>
          <w:szCs w:val="24"/>
          <w:lang w:val="sr-Cyrl-RS"/>
        </w:rPr>
      </w:pPr>
      <w:r w:rsidRPr="00C565C0">
        <w:rPr>
          <w:rFonts w:ascii="Times New Roman" w:hAnsi="Times New Roman" w:cs="Times New Roman"/>
          <w:b/>
          <w:color w:val="000000"/>
          <w:sz w:val="24"/>
          <w:szCs w:val="24"/>
          <w:lang w:val="sr-Latn-RS"/>
        </w:rPr>
        <w:t xml:space="preserve">6. </w:t>
      </w:r>
      <w:r w:rsidRPr="00C565C0">
        <w:rPr>
          <w:rFonts w:ascii="Times New Roman" w:hAnsi="Times New Roman" w:cs="Times New Roman"/>
          <w:b/>
          <w:color w:val="000000"/>
          <w:sz w:val="24"/>
          <w:szCs w:val="24"/>
          <w:lang w:val="sr-Cyrl-RS"/>
        </w:rPr>
        <w:t>ЦИЉЕВИ СТРАТЕГИЈЕ</w:t>
      </w:r>
      <w:bookmarkEnd w:id="35"/>
    </w:p>
    <w:p w14:paraId="3AF71C54" w14:textId="77777777"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Приликом утврђивања циљева Стратегије и активности за њено спровођење полази се од следећих принципа:</w:t>
      </w:r>
    </w:p>
    <w:p w14:paraId="35069C48" w14:textId="01FAC68D"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1</w:t>
      </w:r>
      <w:r w:rsidR="00536FEA" w:rsidRPr="00C565C0">
        <w:rPr>
          <w:rFonts w:ascii="Times New Roman" w:hAnsi="Times New Roman" w:cs="Times New Roman"/>
          <w:color w:val="000000"/>
          <w:sz w:val="24"/>
          <w:szCs w:val="24"/>
          <w:lang w:val="sr-Cyrl-RS"/>
        </w:rPr>
        <w:t>) п</w:t>
      </w:r>
      <w:r w:rsidRPr="00C565C0">
        <w:rPr>
          <w:rFonts w:ascii="Times New Roman" w:hAnsi="Times New Roman" w:cs="Times New Roman"/>
          <w:color w:val="000000"/>
          <w:sz w:val="24"/>
          <w:szCs w:val="24"/>
          <w:lang w:val="sr-Cyrl-RS"/>
        </w:rPr>
        <w:t>ромоција – промена свести код целокупне јавности о важности примене мера безбедности и здравља на раду кроз организацију различитих п</w:t>
      </w:r>
      <w:r w:rsidR="00995D3A">
        <w:rPr>
          <w:rFonts w:ascii="Times New Roman" w:hAnsi="Times New Roman" w:cs="Times New Roman"/>
          <w:color w:val="000000"/>
          <w:sz w:val="24"/>
          <w:szCs w:val="24"/>
          <w:lang w:val="sr-Cyrl-RS"/>
        </w:rPr>
        <w:t>ромотивних активности и кампања;</w:t>
      </w:r>
    </w:p>
    <w:p w14:paraId="59A640DC" w14:textId="5B09E325"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 xml:space="preserve">2) </w:t>
      </w:r>
      <w:r w:rsidR="00536FEA" w:rsidRPr="00C565C0">
        <w:rPr>
          <w:rFonts w:ascii="Times New Roman" w:hAnsi="Times New Roman" w:cs="Times New Roman"/>
          <w:color w:val="000000"/>
          <w:sz w:val="24"/>
          <w:szCs w:val="24"/>
          <w:lang w:val="sr-Cyrl-RS"/>
        </w:rPr>
        <w:t>п</w:t>
      </w:r>
      <w:r w:rsidRPr="00C565C0">
        <w:rPr>
          <w:rFonts w:ascii="Times New Roman" w:hAnsi="Times New Roman" w:cs="Times New Roman"/>
          <w:color w:val="000000"/>
          <w:sz w:val="24"/>
          <w:szCs w:val="24"/>
          <w:lang w:val="sr-Cyrl-RS"/>
        </w:rPr>
        <w:t>ревенција – континуиране активности у вези са безбедношћу и здрављем на радном месту треба да се усредсреде на превенцију повреда на раду, професионалних бо</w:t>
      </w:r>
      <w:r w:rsidR="00995D3A">
        <w:rPr>
          <w:rFonts w:ascii="Times New Roman" w:hAnsi="Times New Roman" w:cs="Times New Roman"/>
          <w:color w:val="000000"/>
          <w:sz w:val="24"/>
          <w:szCs w:val="24"/>
          <w:lang w:val="sr-Cyrl-RS"/>
        </w:rPr>
        <w:t>лести и болести у вези са радом;</w:t>
      </w:r>
    </w:p>
    <w:p w14:paraId="5A13156E" w14:textId="21591CE2"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 xml:space="preserve">3) </w:t>
      </w:r>
      <w:r w:rsidR="00536FEA" w:rsidRPr="00C565C0">
        <w:rPr>
          <w:rFonts w:ascii="Times New Roman" w:hAnsi="Times New Roman" w:cs="Times New Roman"/>
          <w:color w:val="000000"/>
          <w:sz w:val="24"/>
          <w:szCs w:val="24"/>
          <w:lang w:val="sr-Cyrl-RS"/>
        </w:rPr>
        <w:t>у</w:t>
      </w:r>
      <w:r w:rsidRPr="00C565C0">
        <w:rPr>
          <w:rFonts w:ascii="Times New Roman" w:hAnsi="Times New Roman" w:cs="Times New Roman"/>
          <w:color w:val="000000"/>
          <w:sz w:val="24"/>
          <w:szCs w:val="24"/>
          <w:lang w:val="sr-Cyrl-RS"/>
        </w:rPr>
        <w:t>кључивање свих заинтересованих – побољшања у области безбедности и здравља на радном месту и у радној околини, могу се на најбољи начин остварити ако се укључе сви учесници у систему безбедности и здравља на раду. На радном месту, то обухвата запослене који обављају рад и њихове представнике за питања безбедности и здравља на раду. На нивоу привреде и целе земље, то укључује послодавце, синдикате, државне органе, невладине организације, образовне уста</w:t>
      </w:r>
      <w:r w:rsidR="00995D3A">
        <w:rPr>
          <w:rFonts w:ascii="Times New Roman" w:hAnsi="Times New Roman" w:cs="Times New Roman"/>
          <w:color w:val="000000"/>
          <w:sz w:val="24"/>
          <w:szCs w:val="24"/>
          <w:lang w:val="sr-Cyrl-RS"/>
        </w:rPr>
        <w:t>нове, научне институције, и др.;</w:t>
      </w:r>
    </w:p>
    <w:p w14:paraId="292A112D" w14:textId="6D6802F6"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 xml:space="preserve">4) </w:t>
      </w:r>
      <w:r w:rsidR="00536FEA" w:rsidRPr="00C565C0">
        <w:rPr>
          <w:rFonts w:ascii="Times New Roman" w:hAnsi="Times New Roman" w:cs="Times New Roman"/>
          <w:color w:val="000000"/>
          <w:sz w:val="24"/>
          <w:szCs w:val="24"/>
          <w:lang w:val="sr-Cyrl-RS"/>
        </w:rPr>
        <w:t>о</w:t>
      </w:r>
      <w:r w:rsidRPr="00C565C0">
        <w:rPr>
          <w:rFonts w:ascii="Times New Roman" w:hAnsi="Times New Roman" w:cs="Times New Roman"/>
          <w:color w:val="000000"/>
          <w:sz w:val="24"/>
          <w:szCs w:val="24"/>
          <w:lang w:val="sr-Cyrl-RS"/>
        </w:rPr>
        <w:t>дговорност – послодавци имају највећу одговорност за безбедност и здравље на раду. Најважнија обавеза послодаваца је да запосленима омогуће безбедно и здраво радно место и да их укључе у разматрање свих питања везаних за безбедност и здравље на раду. Запослени имају одговорност за сопствену безбедност, што се огледа у начину на који пос</w:t>
      </w:r>
      <w:r w:rsidR="00995D3A">
        <w:rPr>
          <w:rFonts w:ascii="Times New Roman" w:hAnsi="Times New Roman" w:cs="Times New Roman"/>
          <w:color w:val="000000"/>
          <w:sz w:val="24"/>
          <w:szCs w:val="24"/>
          <w:lang w:val="sr-Cyrl-RS"/>
        </w:rPr>
        <w:t>тупају на својим радним местима;</w:t>
      </w:r>
    </w:p>
    <w:p w14:paraId="67C14658" w14:textId="79D8BA94"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 xml:space="preserve">5) </w:t>
      </w:r>
      <w:r w:rsidR="00536FEA" w:rsidRPr="00C565C0">
        <w:rPr>
          <w:rFonts w:ascii="Times New Roman" w:hAnsi="Times New Roman" w:cs="Times New Roman"/>
          <w:color w:val="000000"/>
          <w:sz w:val="24"/>
          <w:szCs w:val="24"/>
          <w:lang w:val="sr-Cyrl-RS"/>
        </w:rPr>
        <w:t>п</w:t>
      </w:r>
      <w:r w:rsidRPr="00C565C0">
        <w:rPr>
          <w:rFonts w:ascii="Times New Roman" w:hAnsi="Times New Roman" w:cs="Times New Roman"/>
          <w:color w:val="000000"/>
          <w:sz w:val="24"/>
          <w:szCs w:val="24"/>
          <w:lang w:val="sr-Cyrl-RS"/>
        </w:rPr>
        <w:t xml:space="preserve">римена – активности у вези са безбедношћу </w:t>
      </w:r>
      <w:r>
        <w:rPr>
          <w:rFonts w:ascii="Times New Roman" w:hAnsi="Times New Roman" w:cs="Times New Roman"/>
          <w:color w:val="000000"/>
          <w:sz w:val="24"/>
          <w:szCs w:val="24"/>
          <w:lang w:val="sr-Cyrl-RS"/>
        </w:rPr>
        <w:t>и здрављем на раду заснивају се</w:t>
      </w:r>
      <w:r>
        <w:rPr>
          <w:rFonts w:ascii="Times New Roman" w:hAnsi="Times New Roman" w:cs="Times New Roman"/>
          <w:color w:val="000000"/>
          <w:sz w:val="24"/>
          <w:szCs w:val="24"/>
          <w:lang w:val="sr-Latn-RS"/>
        </w:rPr>
        <w:t xml:space="preserve"> </w:t>
      </w:r>
      <w:r w:rsidRPr="00C565C0">
        <w:rPr>
          <w:rFonts w:ascii="Times New Roman" w:hAnsi="Times New Roman" w:cs="Times New Roman"/>
          <w:color w:val="000000"/>
          <w:sz w:val="24"/>
          <w:szCs w:val="24"/>
          <w:lang w:val="sr-Cyrl-RS"/>
        </w:rPr>
        <w:t>на примени мера безбедности и здравља на раду и унапређењу знања и вештина учесника у систему и издвајању неопходних финансијских средстава за спровођење тих мера ради остваривања безбедних и здравих радних услова.</w:t>
      </w:r>
    </w:p>
    <w:p w14:paraId="7CB47CF9" w14:textId="713C541C" w:rsidR="00C565C0" w:rsidRPr="00C565C0" w:rsidRDefault="00C565C0" w:rsidP="00C565C0">
      <w:pPr>
        <w:spacing w:after="150"/>
        <w:ind w:firstLine="720"/>
        <w:jc w:val="both"/>
        <w:rPr>
          <w:rFonts w:ascii="Times New Roman" w:hAnsi="Times New Roman" w:cs="Times New Roman"/>
          <w:b/>
          <w:color w:val="000000"/>
          <w:sz w:val="24"/>
          <w:szCs w:val="24"/>
          <w:lang w:val="sr-Cyrl-RS"/>
        </w:rPr>
      </w:pPr>
      <w:bookmarkStart w:id="36" w:name="_Toc126746539"/>
      <w:r w:rsidRPr="00C565C0">
        <w:rPr>
          <w:rFonts w:ascii="Times New Roman" w:hAnsi="Times New Roman" w:cs="Times New Roman"/>
          <w:b/>
          <w:color w:val="000000"/>
          <w:sz w:val="24"/>
          <w:szCs w:val="24"/>
          <w:lang w:val="sr-Latn-RS"/>
        </w:rPr>
        <w:t xml:space="preserve">6.1. </w:t>
      </w:r>
      <w:r w:rsidRPr="00C565C0">
        <w:rPr>
          <w:rFonts w:ascii="Times New Roman" w:hAnsi="Times New Roman" w:cs="Times New Roman"/>
          <w:b/>
          <w:color w:val="000000"/>
          <w:sz w:val="24"/>
          <w:szCs w:val="24"/>
          <w:lang w:val="sr-Cyrl-RS"/>
        </w:rPr>
        <w:t>Општи циљ</w:t>
      </w:r>
      <w:bookmarkEnd w:id="36"/>
    </w:p>
    <w:p w14:paraId="332B68F3" w14:textId="77777777"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 xml:space="preserve">Претходном Стратегијом је предвиђено да се оствари смањење броја повреда на раду од 5%, односно циљна вредност износи 4.762. У периоду од 2018. до 2022. године </w:t>
      </w:r>
      <w:r w:rsidRPr="00C565C0">
        <w:rPr>
          <w:rFonts w:ascii="Times New Roman" w:hAnsi="Times New Roman" w:cs="Times New Roman"/>
          <w:color w:val="000000"/>
          <w:sz w:val="24"/>
          <w:szCs w:val="24"/>
          <w:lang w:val="sr-Cyrl-RS"/>
        </w:rPr>
        <w:lastRenderedPageBreak/>
        <w:t xml:space="preserve">узимајући у обзир и 323 извршена надзора  поводом лаких повреда на раду, достигнута је и превазиђена циљана вредност за 99.  </w:t>
      </w:r>
    </w:p>
    <w:p w14:paraId="2365FBEF" w14:textId="77777777"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 xml:space="preserve">Међутим, ако се пореде годишњи просеци у периоду спровођења претходне у односу на период спровођења тренутне стратегије добија се пад од 3.3%. Тиме, иако је реч о позитивном тренду, није у потпуности испуњен циљ од 5%. </w:t>
      </w:r>
    </w:p>
    <w:p w14:paraId="1A7EC882" w14:textId="77777777"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 xml:space="preserve">Проблем са тако дефинисаним показатељем је што се он односи на апсолутни број повреда на раду, а не на стопу учесталости, што ограничава упоредивост. Наиме, према подацима Анкете о радној снази, дошло је до значајног повећања броја запослених. У трећем кварталу 2022. године број запослених износио је 2.94 милиона, док је тај број у првом кварталу 2018. године био 2.68 милиона (повећање од 9.7%). Стога је у новој Стратегији узет у обзир и овај однос те је циљ изражен као смањење од  5% у погледу стопе учесталости. </w:t>
      </w:r>
    </w:p>
    <w:p w14:paraId="0CDEDE0C" w14:textId="717ECE18" w:rsidR="00C565C0" w:rsidRPr="00C565C0" w:rsidRDefault="003E1F64" w:rsidP="00C565C0">
      <w:pPr>
        <w:spacing w:after="150"/>
        <w:ind w:firstLine="720"/>
        <w:jc w:val="both"/>
        <w:rPr>
          <w:rFonts w:ascii="Times New Roman" w:hAnsi="Times New Roman" w:cs="Times New Roman"/>
          <w:color w:val="000000"/>
          <w:sz w:val="24"/>
          <w:szCs w:val="24"/>
          <w:lang w:val="sr-Cyrl-RS"/>
        </w:rPr>
      </w:pPr>
      <w:bookmarkStart w:id="37" w:name="_Hlk126671666"/>
      <w:r>
        <w:rPr>
          <w:rFonts w:ascii="Times New Roman" w:hAnsi="Times New Roman" w:cs="Times New Roman"/>
          <w:color w:val="000000"/>
          <w:sz w:val="24"/>
          <w:szCs w:val="24"/>
          <w:lang w:val="sr-Cyrl-RS"/>
        </w:rPr>
        <w:t>Општи циљ Стратегије</w:t>
      </w:r>
      <w:r w:rsidR="00C565C0" w:rsidRPr="00C565C0">
        <w:rPr>
          <w:rFonts w:ascii="Times New Roman" w:hAnsi="Times New Roman" w:cs="Times New Roman"/>
          <w:color w:val="000000"/>
          <w:sz w:val="24"/>
          <w:szCs w:val="24"/>
          <w:lang w:val="sr-Cyrl-RS"/>
        </w:rPr>
        <w:t xml:space="preserve"> безбедности и здравља на раду у Републици Србији за период од 2023. до 2027. године са Акционим планом за њено спровођење, и даље остаје унапређење безбедности на раду и очување здравља радно активног становништва, односно унапређење услова рада ради спречавања повреда на раду, професионалних болести и болести у вези са радом и њиховог свођења на најмању могућу меру, односно отклањање или смањење професионалних ризика. Стратегија тежи да се у периоду њеног спровођења број повреда на раду у Републици Србији смањи за 5%, у односу на укупан број повреда на раду за претходни петогодишњи период спровођења Стратегије, према евиденцији коју води Инспекторат за рад.</w:t>
      </w:r>
    </w:p>
    <w:p w14:paraId="5CF93C63" w14:textId="601DFE27" w:rsidR="00C565C0" w:rsidRPr="00C565C0" w:rsidRDefault="00C565C0" w:rsidP="00C565C0">
      <w:pPr>
        <w:spacing w:after="150"/>
        <w:ind w:firstLine="720"/>
        <w:jc w:val="both"/>
        <w:rPr>
          <w:rFonts w:ascii="Times New Roman" w:hAnsi="Times New Roman" w:cs="Times New Roman"/>
          <w:color w:val="000000"/>
          <w:sz w:val="24"/>
          <w:szCs w:val="24"/>
        </w:rPr>
      </w:pPr>
      <w:r w:rsidRPr="00C565C0">
        <w:rPr>
          <w:rFonts w:ascii="Times New Roman" w:hAnsi="Times New Roman" w:cs="Times New Roman"/>
          <w:color w:val="000000"/>
          <w:sz w:val="24"/>
          <w:szCs w:val="24"/>
        </w:rPr>
        <w:t xml:space="preserve">Показатељ се </w:t>
      </w:r>
      <w:r w:rsidRPr="00C565C0">
        <w:rPr>
          <w:rFonts w:ascii="Times New Roman" w:hAnsi="Times New Roman" w:cs="Times New Roman"/>
          <w:color w:val="000000"/>
          <w:sz w:val="24"/>
          <w:szCs w:val="24"/>
          <w:lang w:val="sr-Cyrl-RS"/>
        </w:rPr>
        <w:t>добија када се број смртних слу</w:t>
      </w:r>
      <w:r w:rsidRPr="00C565C0">
        <w:rPr>
          <w:rFonts w:ascii="Times New Roman" w:hAnsi="Times New Roman" w:cs="Times New Roman"/>
          <w:color w:val="000000"/>
          <w:sz w:val="24"/>
          <w:szCs w:val="24"/>
        </w:rPr>
        <w:t>ч</w:t>
      </w:r>
      <w:r w:rsidRPr="00C565C0">
        <w:rPr>
          <w:rFonts w:ascii="Times New Roman" w:hAnsi="Times New Roman" w:cs="Times New Roman"/>
          <w:color w:val="000000"/>
          <w:sz w:val="24"/>
          <w:szCs w:val="24"/>
          <w:lang w:val="sr-Cyrl-RS"/>
        </w:rPr>
        <w:t>ајева и те</w:t>
      </w:r>
      <w:r w:rsidRPr="00C565C0">
        <w:rPr>
          <w:rFonts w:ascii="Times New Roman" w:hAnsi="Times New Roman" w:cs="Times New Roman"/>
          <w:color w:val="000000"/>
          <w:sz w:val="24"/>
          <w:szCs w:val="24"/>
        </w:rPr>
        <w:t>ш</w:t>
      </w:r>
      <w:r w:rsidRPr="00C565C0">
        <w:rPr>
          <w:rFonts w:ascii="Times New Roman" w:hAnsi="Times New Roman" w:cs="Times New Roman"/>
          <w:color w:val="000000"/>
          <w:sz w:val="24"/>
          <w:szCs w:val="24"/>
          <w:lang w:val="sr-Cyrl-RS"/>
        </w:rPr>
        <w:t xml:space="preserve">ких провреда према подацима </w:t>
      </w:r>
      <w:r w:rsidRPr="00C565C0">
        <w:rPr>
          <w:rFonts w:ascii="Times New Roman" w:hAnsi="Times New Roman" w:cs="Times New Roman"/>
          <w:color w:val="000000"/>
          <w:sz w:val="24"/>
          <w:szCs w:val="24"/>
        </w:rPr>
        <w:t>Ии</w:t>
      </w:r>
      <w:r w:rsidRPr="00C565C0">
        <w:rPr>
          <w:rFonts w:ascii="Times New Roman" w:hAnsi="Times New Roman" w:cs="Times New Roman"/>
          <w:color w:val="000000"/>
          <w:sz w:val="24"/>
          <w:szCs w:val="24"/>
          <w:lang w:val="sr-Cyrl-RS"/>
        </w:rPr>
        <w:t>нспектората</w:t>
      </w:r>
      <w:r w:rsidRPr="00C565C0">
        <w:rPr>
          <w:rFonts w:ascii="Times New Roman" w:hAnsi="Times New Roman" w:cs="Times New Roman"/>
          <w:color w:val="000000"/>
          <w:sz w:val="24"/>
          <w:szCs w:val="24"/>
        </w:rPr>
        <w:t xml:space="preserve"> за рад</w:t>
      </w:r>
      <w:r w:rsidRPr="00C565C0">
        <w:rPr>
          <w:rFonts w:ascii="Times New Roman" w:hAnsi="Times New Roman" w:cs="Times New Roman"/>
          <w:color w:val="000000"/>
          <w:sz w:val="24"/>
          <w:szCs w:val="24"/>
          <w:lang w:val="sr-Cyrl-RS"/>
        </w:rPr>
        <w:t xml:space="preserve"> подели са бројем запослених из Анкет</w:t>
      </w:r>
      <w:r w:rsidRPr="00C565C0">
        <w:rPr>
          <w:rFonts w:ascii="Times New Roman" w:hAnsi="Times New Roman" w:cs="Times New Roman"/>
          <w:color w:val="000000"/>
          <w:sz w:val="24"/>
          <w:szCs w:val="24"/>
        </w:rPr>
        <w:t>е</w:t>
      </w:r>
      <w:r w:rsidRPr="00C565C0">
        <w:rPr>
          <w:rFonts w:ascii="Times New Roman" w:hAnsi="Times New Roman" w:cs="Times New Roman"/>
          <w:color w:val="000000"/>
          <w:sz w:val="24"/>
          <w:szCs w:val="24"/>
          <w:lang w:val="sr-Cyrl-RS"/>
        </w:rPr>
        <w:t xml:space="preserve"> о радној снази.</w:t>
      </w:r>
      <w:r w:rsidRPr="00C565C0">
        <w:rPr>
          <w:rFonts w:ascii="Times New Roman" w:hAnsi="Times New Roman" w:cs="Times New Roman"/>
          <w:color w:val="000000"/>
          <w:sz w:val="24"/>
          <w:szCs w:val="24"/>
        </w:rPr>
        <w:t xml:space="preserve"> </w:t>
      </w:r>
      <w:r w:rsidRPr="00C565C0">
        <w:rPr>
          <w:rFonts w:ascii="Times New Roman" w:hAnsi="Times New Roman" w:cs="Times New Roman"/>
          <w:color w:val="000000"/>
          <w:sz w:val="24"/>
          <w:szCs w:val="24"/>
          <w:lang w:val="sr-Cyrl-RS"/>
        </w:rPr>
        <w:t xml:space="preserve">Подаци о броју смртних </w:t>
      </w:r>
      <w:r w:rsidRPr="00C565C0">
        <w:rPr>
          <w:rFonts w:ascii="Times New Roman" w:hAnsi="Times New Roman" w:cs="Times New Roman"/>
          <w:color w:val="000000"/>
          <w:sz w:val="24"/>
          <w:szCs w:val="24"/>
        </w:rPr>
        <w:t>и</w:t>
      </w:r>
      <w:r w:rsidRPr="00C565C0">
        <w:rPr>
          <w:rFonts w:ascii="Times New Roman" w:hAnsi="Times New Roman" w:cs="Times New Roman"/>
          <w:color w:val="000000"/>
          <w:sz w:val="24"/>
          <w:szCs w:val="24"/>
          <w:lang w:val="sr-Cyrl-RS"/>
        </w:rPr>
        <w:t xml:space="preserve"> тешких повреда преузети су из </w:t>
      </w:r>
      <w:r w:rsidRPr="00C565C0">
        <w:rPr>
          <w:rFonts w:ascii="Times New Roman" w:hAnsi="Times New Roman" w:cs="Times New Roman"/>
          <w:color w:val="000000"/>
          <w:sz w:val="24"/>
          <w:szCs w:val="24"/>
        </w:rPr>
        <w:t>и</w:t>
      </w:r>
      <w:r w:rsidRPr="00C565C0">
        <w:rPr>
          <w:rFonts w:ascii="Times New Roman" w:hAnsi="Times New Roman" w:cs="Times New Roman"/>
          <w:color w:val="000000"/>
          <w:sz w:val="24"/>
          <w:szCs w:val="24"/>
          <w:lang w:val="sr-Cyrl-RS"/>
        </w:rPr>
        <w:t xml:space="preserve">звештаја </w:t>
      </w:r>
      <w:r w:rsidR="00E45EC4" w:rsidRPr="00C565C0">
        <w:rPr>
          <w:rFonts w:ascii="Times New Roman" w:hAnsi="Times New Roman" w:cs="Times New Roman"/>
          <w:color w:val="000000"/>
          <w:sz w:val="24"/>
          <w:szCs w:val="24"/>
          <w:lang w:val="sr-Cyrl-RS"/>
        </w:rPr>
        <w:t>И</w:t>
      </w:r>
      <w:r w:rsidRPr="00C565C0">
        <w:rPr>
          <w:rFonts w:ascii="Times New Roman" w:hAnsi="Times New Roman" w:cs="Times New Roman"/>
          <w:color w:val="000000"/>
          <w:sz w:val="24"/>
          <w:szCs w:val="24"/>
          <w:lang w:val="sr-Cyrl-RS"/>
        </w:rPr>
        <w:t>нспектората</w:t>
      </w:r>
      <w:r w:rsidRPr="00C565C0">
        <w:rPr>
          <w:rFonts w:ascii="Times New Roman" w:hAnsi="Times New Roman" w:cs="Times New Roman"/>
          <w:color w:val="000000"/>
          <w:sz w:val="24"/>
          <w:szCs w:val="24"/>
        </w:rPr>
        <w:t xml:space="preserve"> за рад</w:t>
      </w:r>
      <w:r w:rsidRPr="00C565C0">
        <w:rPr>
          <w:rFonts w:ascii="Times New Roman" w:hAnsi="Times New Roman" w:cs="Times New Roman"/>
          <w:color w:val="000000"/>
          <w:sz w:val="24"/>
          <w:szCs w:val="24"/>
          <w:lang w:val="sr-Cyrl-RS"/>
        </w:rPr>
        <w:t>.</w:t>
      </w:r>
      <w:r w:rsidRPr="00C565C0">
        <w:rPr>
          <w:rFonts w:ascii="Times New Roman" w:hAnsi="Times New Roman" w:cs="Times New Roman"/>
          <w:color w:val="000000"/>
          <w:sz w:val="24"/>
          <w:szCs w:val="24"/>
        </w:rPr>
        <w:t xml:space="preserve"> У 2022. години укупан број повреда са смртним исходом износи </w:t>
      </w:r>
      <w:r w:rsidRPr="00C565C0">
        <w:rPr>
          <w:rFonts w:ascii="Times New Roman" w:hAnsi="Times New Roman" w:cs="Times New Roman"/>
          <w:color w:val="000000"/>
          <w:sz w:val="24"/>
          <w:szCs w:val="24"/>
          <w:lang w:val="sr-Cyrl-RS"/>
        </w:rPr>
        <w:t xml:space="preserve">56. Укупан број тешких повреда на раду износи 844, тако да је укупан број који се користи у </w:t>
      </w:r>
      <w:r w:rsidRPr="00C565C0">
        <w:rPr>
          <w:rFonts w:ascii="Times New Roman" w:hAnsi="Times New Roman" w:cs="Times New Roman"/>
          <w:color w:val="000000"/>
          <w:sz w:val="24"/>
          <w:szCs w:val="24"/>
        </w:rPr>
        <w:t>бројиоцу 90</w:t>
      </w:r>
      <w:r w:rsidRPr="00C565C0">
        <w:rPr>
          <w:rFonts w:ascii="Times New Roman" w:hAnsi="Times New Roman" w:cs="Times New Roman"/>
          <w:color w:val="000000"/>
          <w:sz w:val="24"/>
          <w:szCs w:val="24"/>
          <w:lang w:val="sr-Cyrl-RS"/>
        </w:rPr>
        <w:t>0</w:t>
      </w:r>
      <w:r w:rsidRPr="00C565C0">
        <w:rPr>
          <w:rFonts w:ascii="Times New Roman" w:hAnsi="Times New Roman" w:cs="Times New Roman"/>
          <w:color w:val="000000"/>
          <w:sz w:val="24"/>
          <w:szCs w:val="24"/>
        </w:rPr>
        <w:t xml:space="preserve">. Према подацима из Анкете о радној снази </w:t>
      </w:r>
      <w:r w:rsidRPr="00C565C0">
        <w:rPr>
          <w:rFonts w:ascii="Times New Roman" w:hAnsi="Times New Roman" w:cs="Times New Roman"/>
          <w:color w:val="000000"/>
          <w:sz w:val="24"/>
          <w:szCs w:val="24"/>
          <w:lang w:val="sr-Cyrl-RS"/>
        </w:rPr>
        <w:t xml:space="preserve">укупан број запослених </w:t>
      </w:r>
      <w:r w:rsidRPr="00C565C0">
        <w:rPr>
          <w:rFonts w:ascii="Times New Roman" w:hAnsi="Times New Roman" w:cs="Times New Roman"/>
          <w:color w:val="000000"/>
          <w:sz w:val="24"/>
          <w:szCs w:val="24"/>
        </w:rPr>
        <w:t xml:space="preserve">за 2022. </w:t>
      </w:r>
      <w:proofErr w:type="gramStart"/>
      <w:r w:rsidRPr="00C565C0">
        <w:rPr>
          <w:rFonts w:ascii="Times New Roman" w:hAnsi="Times New Roman" w:cs="Times New Roman"/>
          <w:color w:val="000000"/>
          <w:sz w:val="24"/>
          <w:szCs w:val="24"/>
        </w:rPr>
        <w:t>годину</w:t>
      </w:r>
      <w:proofErr w:type="gramEnd"/>
      <w:r w:rsidRPr="00C565C0">
        <w:rPr>
          <w:rFonts w:ascii="Times New Roman" w:hAnsi="Times New Roman" w:cs="Times New Roman"/>
          <w:color w:val="000000"/>
          <w:sz w:val="24"/>
          <w:szCs w:val="24"/>
        </w:rPr>
        <w:t xml:space="preserve"> </w:t>
      </w:r>
      <w:r w:rsidRPr="00C565C0">
        <w:rPr>
          <w:rFonts w:ascii="Times New Roman" w:hAnsi="Times New Roman" w:cs="Times New Roman"/>
          <w:color w:val="000000"/>
          <w:sz w:val="24"/>
          <w:szCs w:val="24"/>
          <w:lang w:val="sr-Cyrl-RS"/>
        </w:rPr>
        <w:t>износи 2</w:t>
      </w:r>
      <w:r w:rsidRPr="00C565C0">
        <w:rPr>
          <w:rFonts w:ascii="Times New Roman" w:hAnsi="Times New Roman" w:cs="Times New Roman"/>
          <w:color w:val="000000"/>
          <w:sz w:val="24"/>
          <w:szCs w:val="24"/>
        </w:rPr>
        <w:t>.</w:t>
      </w:r>
      <w:r w:rsidRPr="00C565C0">
        <w:rPr>
          <w:rFonts w:ascii="Times New Roman" w:hAnsi="Times New Roman" w:cs="Times New Roman"/>
          <w:color w:val="000000"/>
          <w:sz w:val="24"/>
          <w:szCs w:val="24"/>
          <w:lang w:val="sr-Cyrl-RS"/>
        </w:rPr>
        <w:t>913</w:t>
      </w:r>
      <w:r w:rsidRPr="00C565C0">
        <w:rPr>
          <w:rFonts w:ascii="Times New Roman" w:hAnsi="Times New Roman" w:cs="Times New Roman"/>
          <w:color w:val="000000"/>
          <w:sz w:val="24"/>
          <w:szCs w:val="24"/>
        </w:rPr>
        <w:t>.</w:t>
      </w:r>
      <w:r w:rsidRPr="00C565C0">
        <w:rPr>
          <w:rFonts w:ascii="Times New Roman" w:hAnsi="Times New Roman" w:cs="Times New Roman"/>
          <w:color w:val="000000"/>
          <w:sz w:val="24"/>
          <w:szCs w:val="24"/>
          <w:lang w:val="sr-Cyrl-RS"/>
        </w:rPr>
        <w:t>500</w:t>
      </w:r>
      <w:r w:rsidR="00F94CB2">
        <w:rPr>
          <w:rFonts w:ascii="Times New Roman" w:hAnsi="Times New Roman" w:cs="Times New Roman"/>
          <w:color w:val="000000"/>
          <w:sz w:val="24"/>
          <w:szCs w:val="24"/>
          <w:lang w:val="sr-Cyrl-RS"/>
        </w:rPr>
        <w:t>.</w:t>
      </w:r>
      <w:r w:rsidRPr="00F94CB2">
        <w:rPr>
          <w:rFonts w:ascii="Times New Roman" w:hAnsi="Times New Roman" w:cs="Times New Roman"/>
          <w:color w:val="000000"/>
          <w:sz w:val="24"/>
          <w:szCs w:val="24"/>
          <w:vertAlign w:val="superscript"/>
          <w:lang w:val="sr-Cyrl-RS"/>
        </w:rPr>
        <w:footnoteReference w:id="23"/>
      </w:r>
      <w:r w:rsidRPr="00F94CB2">
        <w:rPr>
          <w:rFonts w:ascii="Times New Roman" w:hAnsi="Times New Roman" w:cs="Times New Roman"/>
          <w:color w:val="000000"/>
          <w:sz w:val="24"/>
          <w:szCs w:val="24"/>
          <w:vertAlign w:val="superscript"/>
          <w:lang w:val="sr-Cyrl-RS"/>
        </w:rPr>
        <w:t xml:space="preserve"> </w:t>
      </w:r>
      <w:r w:rsidRPr="00C565C0">
        <w:rPr>
          <w:rFonts w:ascii="Times New Roman" w:hAnsi="Times New Roman" w:cs="Times New Roman"/>
          <w:color w:val="000000"/>
          <w:sz w:val="24"/>
          <w:szCs w:val="24"/>
          <w:lang w:val="sr-Cyrl-RS"/>
        </w:rPr>
        <w:t xml:space="preserve"> Добијена вредност износи 0.0003089</w:t>
      </w:r>
      <w:r w:rsidRPr="00C565C0">
        <w:rPr>
          <w:rFonts w:ascii="Times New Roman" w:hAnsi="Times New Roman" w:cs="Times New Roman"/>
          <w:color w:val="000000"/>
          <w:sz w:val="24"/>
          <w:szCs w:val="24"/>
        </w:rPr>
        <w:t>, односно с</w:t>
      </w:r>
      <w:r w:rsidRPr="00C565C0">
        <w:rPr>
          <w:rFonts w:ascii="Times New Roman" w:hAnsi="Times New Roman" w:cs="Times New Roman"/>
          <w:color w:val="000000"/>
          <w:sz w:val="24"/>
          <w:szCs w:val="24"/>
          <w:lang w:val="sr-Cyrl-RS"/>
        </w:rPr>
        <w:t xml:space="preserve"> обзиром да </w:t>
      </w:r>
      <w:r w:rsidRPr="00C565C0">
        <w:rPr>
          <w:rFonts w:ascii="Times New Roman" w:hAnsi="Times New Roman" w:cs="Times New Roman"/>
          <w:color w:val="000000"/>
          <w:sz w:val="24"/>
          <w:szCs w:val="24"/>
        </w:rPr>
        <w:t>вредност посматра на</w:t>
      </w:r>
      <w:r w:rsidRPr="00C565C0">
        <w:rPr>
          <w:rFonts w:ascii="Times New Roman" w:hAnsi="Times New Roman" w:cs="Times New Roman"/>
          <w:color w:val="000000"/>
          <w:sz w:val="24"/>
          <w:szCs w:val="24"/>
          <w:lang w:val="sr-Cyrl-RS"/>
        </w:rPr>
        <w:t xml:space="preserve"> 100.000 запослених, то значи да је 30.89 запослених на 100.000 имало тешке повреде или је дошло до смртног исхода.</w:t>
      </w:r>
      <w:r w:rsidRPr="00C565C0">
        <w:rPr>
          <w:rFonts w:ascii="Times New Roman" w:hAnsi="Times New Roman" w:cs="Times New Roman"/>
          <w:color w:val="000000"/>
          <w:sz w:val="24"/>
          <w:szCs w:val="24"/>
        </w:rPr>
        <w:t xml:space="preserve"> Циљ Стратегије је смањење од 5% што износи 29.35 таквих исхода на 100.000 запослених.</w:t>
      </w:r>
      <w:r w:rsidRPr="00C565C0">
        <w:rPr>
          <w:rFonts w:ascii="Times New Roman" w:hAnsi="Times New Roman" w:cs="Times New Roman"/>
          <w:color w:val="000000"/>
          <w:sz w:val="24"/>
          <w:szCs w:val="24"/>
          <w:lang w:val="sr-Cyrl-RS"/>
        </w:rPr>
        <w:t xml:space="preserve"> </w:t>
      </w:r>
      <w:r w:rsidRPr="00C565C0">
        <w:rPr>
          <w:rFonts w:ascii="Times New Roman" w:hAnsi="Times New Roman" w:cs="Times New Roman"/>
          <w:color w:val="000000"/>
          <w:sz w:val="24"/>
          <w:szCs w:val="24"/>
        </w:rPr>
        <w:t xml:space="preserve">Поред тога могуће је пратити и само случајеве са смртним исходом. У том случају показатељ за 2022. годину износи 1,82 на 100.000 запослених, а очекивано смањење од 5% довело би до 1,73 таква исхода на 100.000 запослених. Поређења ради у 2019. </w:t>
      </w:r>
      <w:proofErr w:type="gramStart"/>
      <w:r w:rsidRPr="00C565C0">
        <w:rPr>
          <w:rFonts w:ascii="Times New Roman" w:hAnsi="Times New Roman" w:cs="Times New Roman"/>
          <w:color w:val="000000"/>
          <w:sz w:val="24"/>
          <w:szCs w:val="24"/>
        </w:rPr>
        <w:t>години</w:t>
      </w:r>
      <w:proofErr w:type="gramEnd"/>
      <w:r w:rsidRPr="00C565C0">
        <w:rPr>
          <w:rFonts w:ascii="Times New Roman" w:hAnsi="Times New Roman" w:cs="Times New Roman"/>
          <w:color w:val="000000"/>
          <w:sz w:val="24"/>
          <w:szCs w:val="24"/>
        </w:rPr>
        <w:t xml:space="preserve"> на нивоу ЕУ овај показатељ износи 2.19.</w:t>
      </w:r>
      <w:r w:rsidRPr="00971B24">
        <w:rPr>
          <w:rFonts w:ascii="Times New Roman" w:hAnsi="Times New Roman" w:cs="Times New Roman"/>
          <w:color w:val="000000"/>
          <w:sz w:val="24"/>
          <w:szCs w:val="24"/>
          <w:vertAlign w:val="superscript"/>
        </w:rPr>
        <w:footnoteReference w:id="24"/>
      </w:r>
    </w:p>
    <w:bookmarkEnd w:id="37"/>
    <w:p w14:paraId="0B4EBB9F" w14:textId="59C6A407" w:rsidR="00E3008F" w:rsidRPr="001A6EA6" w:rsidRDefault="00C565C0" w:rsidP="001A6EA6">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Карактеристике рада у Републици Србији стално се мењају како би се ефикасно одговорило на технолошке и демографске промене. Ове промене доводе до стварања нових ризика, прилагођавања познатих околности излагања професионалним ризицима, а истовремено пружају прилику да се побољшају услови безбедности и здравља на раду.</w:t>
      </w:r>
      <w:bookmarkStart w:id="38" w:name="_Toc126746540"/>
    </w:p>
    <w:p w14:paraId="5653D09E" w14:textId="77777777" w:rsidR="001579D6" w:rsidRDefault="001579D6" w:rsidP="00C565C0">
      <w:pPr>
        <w:spacing w:after="150"/>
        <w:ind w:firstLine="720"/>
        <w:jc w:val="both"/>
        <w:rPr>
          <w:rFonts w:ascii="Times New Roman" w:hAnsi="Times New Roman" w:cs="Times New Roman"/>
          <w:b/>
          <w:color w:val="000000"/>
          <w:sz w:val="24"/>
          <w:szCs w:val="24"/>
          <w:lang w:val="sr-Latn-RS"/>
        </w:rPr>
      </w:pPr>
    </w:p>
    <w:p w14:paraId="64B675D0" w14:textId="677D8B3F" w:rsidR="00C565C0" w:rsidRPr="00971B24" w:rsidRDefault="00971B24" w:rsidP="00C565C0">
      <w:pPr>
        <w:spacing w:after="150"/>
        <w:ind w:firstLine="720"/>
        <w:jc w:val="both"/>
        <w:rPr>
          <w:rFonts w:ascii="Times New Roman" w:hAnsi="Times New Roman" w:cs="Times New Roman"/>
          <w:b/>
          <w:color w:val="000000"/>
          <w:sz w:val="24"/>
          <w:szCs w:val="24"/>
          <w:lang w:val="sr-Cyrl-RS"/>
        </w:rPr>
      </w:pPr>
      <w:r>
        <w:rPr>
          <w:rFonts w:ascii="Times New Roman" w:hAnsi="Times New Roman" w:cs="Times New Roman"/>
          <w:b/>
          <w:color w:val="000000"/>
          <w:sz w:val="24"/>
          <w:szCs w:val="24"/>
          <w:lang w:val="sr-Latn-RS"/>
        </w:rPr>
        <w:lastRenderedPageBreak/>
        <w:t xml:space="preserve">6.2. </w:t>
      </w:r>
      <w:r w:rsidR="00C565C0" w:rsidRPr="00971B24">
        <w:rPr>
          <w:rFonts w:ascii="Times New Roman" w:hAnsi="Times New Roman" w:cs="Times New Roman"/>
          <w:b/>
          <w:color w:val="000000"/>
          <w:sz w:val="24"/>
          <w:szCs w:val="24"/>
          <w:lang w:val="sr-Cyrl-RS"/>
        </w:rPr>
        <w:t>Посебни циљеви</w:t>
      </w:r>
      <w:bookmarkEnd w:id="38"/>
    </w:p>
    <w:p w14:paraId="46D2867A" w14:textId="77777777" w:rsidR="00C565C0" w:rsidRP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Посебни циљеви у спровођењу Стратегије безбедности и здравља на раду у Републици Србији за период од 2023. до 2027. године јесу:</w:t>
      </w:r>
    </w:p>
    <w:p w14:paraId="157DCEF7" w14:textId="131C6F77" w:rsidR="00C565C0" w:rsidRPr="00C565C0" w:rsidRDefault="000B14AB" w:rsidP="00C565C0">
      <w:pPr>
        <w:spacing w:after="150"/>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1) </w:t>
      </w:r>
      <w:r w:rsidR="00536FEA" w:rsidRPr="00C565C0">
        <w:rPr>
          <w:rFonts w:ascii="Times New Roman" w:hAnsi="Times New Roman" w:cs="Times New Roman"/>
          <w:color w:val="000000"/>
          <w:sz w:val="24"/>
          <w:szCs w:val="24"/>
          <w:lang w:val="sr-Cyrl-RS"/>
        </w:rPr>
        <w:t>с</w:t>
      </w:r>
      <w:r w:rsidR="00C565C0" w:rsidRPr="00C565C0">
        <w:rPr>
          <w:rFonts w:ascii="Times New Roman" w:hAnsi="Times New Roman" w:cs="Times New Roman"/>
          <w:color w:val="000000"/>
          <w:sz w:val="24"/>
          <w:szCs w:val="24"/>
          <w:lang w:val="sr-Cyrl-RS"/>
        </w:rPr>
        <w:t>мањивање броја п</w:t>
      </w:r>
      <w:r w:rsidR="00922C57">
        <w:rPr>
          <w:rFonts w:ascii="Times New Roman" w:hAnsi="Times New Roman" w:cs="Times New Roman"/>
          <w:color w:val="000000"/>
          <w:sz w:val="24"/>
          <w:szCs w:val="24"/>
          <w:lang w:val="sr-Cyrl-RS"/>
        </w:rPr>
        <w:t xml:space="preserve">овреда на раду и професионалних обољења </w:t>
      </w:r>
      <w:r w:rsidR="00C565C0" w:rsidRPr="00C565C0">
        <w:rPr>
          <w:rFonts w:ascii="Times New Roman" w:hAnsi="Times New Roman" w:cs="Times New Roman"/>
          <w:color w:val="000000"/>
          <w:sz w:val="24"/>
          <w:szCs w:val="24"/>
          <w:lang w:val="sr-Cyrl-RS"/>
        </w:rPr>
        <w:t xml:space="preserve">путем  минимизирања ризика везаних за радна места и радну средину; </w:t>
      </w:r>
    </w:p>
    <w:p w14:paraId="167988A3" w14:textId="1646D67B" w:rsidR="00C565C0" w:rsidRPr="00C565C0" w:rsidRDefault="000B14AB" w:rsidP="00C565C0">
      <w:pPr>
        <w:spacing w:after="150"/>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2) </w:t>
      </w:r>
      <w:r w:rsidR="00536FEA" w:rsidRPr="00C565C0">
        <w:rPr>
          <w:rFonts w:ascii="Times New Roman" w:hAnsi="Times New Roman" w:cs="Times New Roman"/>
          <w:color w:val="000000"/>
          <w:sz w:val="24"/>
          <w:szCs w:val="24"/>
          <w:lang w:val="sr-Cyrl-RS"/>
        </w:rPr>
        <w:t>п</w:t>
      </w:r>
      <w:r w:rsidR="00C565C0" w:rsidRPr="00C565C0">
        <w:rPr>
          <w:rFonts w:ascii="Times New Roman" w:hAnsi="Times New Roman" w:cs="Times New Roman"/>
          <w:color w:val="000000"/>
          <w:sz w:val="24"/>
          <w:szCs w:val="24"/>
          <w:lang w:val="sr-Cyrl-RS"/>
        </w:rPr>
        <w:t>ромоција значаја (културе) превенције у области безбедности и здравља на раду (подизање свести и информисање јавности);</w:t>
      </w:r>
    </w:p>
    <w:p w14:paraId="4F7BA3D0" w14:textId="1A63727B" w:rsidR="00C565C0" w:rsidRPr="00C565C0" w:rsidRDefault="000B14AB" w:rsidP="00C565C0">
      <w:pPr>
        <w:spacing w:after="150"/>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3) </w:t>
      </w:r>
      <w:r w:rsidR="00536FEA" w:rsidRPr="00C565C0">
        <w:rPr>
          <w:rFonts w:ascii="Times New Roman" w:hAnsi="Times New Roman" w:cs="Times New Roman"/>
          <w:color w:val="000000"/>
          <w:sz w:val="24"/>
          <w:szCs w:val="24"/>
          <w:lang w:val="sr-Cyrl-RS"/>
        </w:rPr>
        <w:t>у</w:t>
      </w:r>
      <w:r w:rsidR="00C565C0" w:rsidRPr="00C565C0">
        <w:rPr>
          <w:rFonts w:ascii="Times New Roman" w:hAnsi="Times New Roman" w:cs="Times New Roman"/>
          <w:color w:val="000000"/>
          <w:sz w:val="24"/>
          <w:szCs w:val="24"/>
          <w:lang w:val="sr-Cyrl-RS"/>
        </w:rPr>
        <w:t>напређење административног капацитета Инспектората за рад и Управе за безбедност и здравље на раду;</w:t>
      </w:r>
    </w:p>
    <w:p w14:paraId="55485128" w14:textId="30FA035E" w:rsidR="00C565C0" w:rsidRPr="00C565C0" w:rsidRDefault="000B14AB" w:rsidP="00C565C0">
      <w:pPr>
        <w:spacing w:after="150"/>
        <w:ind w:firstLine="720"/>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4) </w:t>
      </w:r>
      <w:r w:rsidR="00536FEA" w:rsidRPr="00C565C0">
        <w:rPr>
          <w:rFonts w:ascii="Times New Roman" w:hAnsi="Times New Roman" w:cs="Times New Roman"/>
          <w:color w:val="000000"/>
          <w:sz w:val="24"/>
          <w:szCs w:val="24"/>
          <w:lang w:val="sr-Cyrl-RS"/>
        </w:rPr>
        <w:t>у</w:t>
      </w:r>
      <w:r w:rsidR="00C565C0" w:rsidRPr="00C565C0">
        <w:rPr>
          <w:rFonts w:ascii="Times New Roman" w:hAnsi="Times New Roman" w:cs="Times New Roman"/>
          <w:color w:val="000000"/>
          <w:sz w:val="24"/>
          <w:szCs w:val="24"/>
          <w:lang w:val="sr-Cyrl-RS"/>
        </w:rPr>
        <w:t>вођење електронске евиденције о повредама на раду.</w:t>
      </w:r>
    </w:p>
    <w:p w14:paraId="525E4944" w14:textId="7A096BD2" w:rsidR="00C565C0" w:rsidRDefault="00C565C0" w:rsidP="00C565C0">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Кључни показатељи учинака општег и посебних циљева приказани су у Акционом плану за спровођење Стратегије безбедности и здравља на раду у Републици Србији за период од 2023. до 2027. године (у даљем тексту: Акциони план).</w:t>
      </w:r>
    </w:p>
    <w:p w14:paraId="567A5D09" w14:textId="77777777" w:rsidR="00971B24" w:rsidRPr="00C565C0" w:rsidRDefault="00971B24" w:rsidP="00C565C0">
      <w:pPr>
        <w:spacing w:after="150"/>
        <w:ind w:firstLine="720"/>
        <w:jc w:val="both"/>
        <w:rPr>
          <w:rFonts w:ascii="Times New Roman" w:hAnsi="Times New Roman" w:cs="Times New Roman"/>
          <w:color w:val="000000"/>
          <w:sz w:val="24"/>
          <w:szCs w:val="24"/>
          <w:lang w:val="sr-Cyrl-RS"/>
        </w:rPr>
      </w:pPr>
    </w:p>
    <w:p w14:paraId="062D9876" w14:textId="57E1D4BC" w:rsidR="00C565C0" w:rsidRPr="00971B24" w:rsidRDefault="00971B24" w:rsidP="00C565C0">
      <w:pPr>
        <w:spacing w:after="150"/>
        <w:ind w:firstLine="720"/>
        <w:jc w:val="both"/>
        <w:rPr>
          <w:rFonts w:ascii="Times New Roman" w:hAnsi="Times New Roman" w:cs="Times New Roman"/>
          <w:b/>
          <w:color w:val="000000"/>
          <w:sz w:val="24"/>
          <w:szCs w:val="24"/>
          <w:lang w:val="sr-Cyrl-RS"/>
        </w:rPr>
      </w:pPr>
      <w:bookmarkStart w:id="39" w:name="_Toc126746541"/>
      <w:r w:rsidRPr="00971B24">
        <w:rPr>
          <w:rFonts w:ascii="Times New Roman" w:hAnsi="Times New Roman" w:cs="Times New Roman"/>
          <w:b/>
          <w:color w:val="000000"/>
          <w:sz w:val="24"/>
          <w:szCs w:val="24"/>
          <w:lang w:val="sr-Latn-RS"/>
        </w:rPr>
        <w:t xml:space="preserve">7. </w:t>
      </w:r>
      <w:r w:rsidR="00C565C0" w:rsidRPr="00971B24">
        <w:rPr>
          <w:rFonts w:ascii="Times New Roman" w:hAnsi="Times New Roman" w:cs="Times New Roman"/>
          <w:b/>
          <w:color w:val="000000"/>
          <w:sz w:val="24"/>
          <w:szCs w:val="24"/>
          <w:lang w:val="sr-Cyrl-RS"/>
        </w:rPr>
        <w:t>МЕРЕ ЗА ПОСТИЗАЊЕ ЦИЉЕВА</w:t>
      </w:r>
      <w:bookmarkEnd w:id="39"/>
    </w:p>
    <w:p w14:paraId="359F6E0E" w14:textId="218E792A" w:rsidR="00C52D6B" w:rsidRDefault="00C565C0" w:rsidP="00C52D6B">
      <w:pPr>
        <w:spacing w:after="150"/>
        <w:ind w:firstLine="720"/>
        <w:jc w:val="both"/>
        <w:rPr>
          <w:rFonts w:ascii="Times New Roman" w:hAnsi="Times New Roman" w:cs="Times New Roman"/>
          <w:color w:val="000000"/>
          <w:sz w:val="24"/>
          <w:szCs w:val="24"/>
          <w:lang w:val="sr-Cyrl-RS"/>
        </w:rPr>
      </w:pPr>
      <w:r w:rsidRPr="00C565C0">
        <w:rPr>
          <w:rFonts w:ascii="Times New Roman" w:hAnsi="Times New Roman" w:cs="Times New Roman"/>
          <w:color w:val="000000"/>
          <w:sz w:val="24"/>
          <w:szCs w:val="24"/>
          <w:lang w:val="sr-Cyrl-RS"/>
        </w:rPr>
        <w:t>Поред анализе примене претходне стратегије, и претходно спроведене анализе области, разматрене су мере које су примењене у чланицама ЕУ. Начелно мере које предузимају чланице ЕУ одговарају класификацији коју је установио Закон о планском систему, при чему се оне могу и додатно рашчлањивати. Поред регулатрних мера, велики број земаља у својим документима јавнихи политика формулише информативно едукативне мере</w:t>
      </w:r>
      <w:r w:rsidR="00750ACA">
        <w:rPr>
          <w:rFonts w:ascii="Times New Roman" w:hAnsi="Times New Roman" w:cs="Times New Roman"/>
          <w:color w:val="000000"/>
          <w:sz w:val="24"/>
          <w:szCs w:val="24"/>
          <w:lang w:val="sr-Cyrl-RS"/>
        </w:rPr>
        <w:t>.</w:t>
      </w:r>
    </w:p>
    <w:p w14:paraId="71CAFC5A" w14:textId="64400F44" w:rsidR="001F7B68" w:rsidRPr="001F7B68" w:rsidRDefault="001F7B68" w:rsidP="00C52D6B">
      <w:pPr>
        <w:spacing w:after="150"/>
        <w:ind w:firstLine="720"/>
        <w:jc w:val="both"/>
        <w:rPr>
          <w:rFonts w:ascii="Times New Roman" w:hAnsi="Times New Roman" w:cs="Times New Roman"/>
          <w:b/>
          <w:sz w:val="24"/>
          <w:szCs w:val="24"/>
          <w:lang w:val="sr-Cyrl-RS"/>
        </w:rPr>
      </w:pPr>
      <w:r w:rsidRPr="001F7B68">
        <w:rPr>
          <w:rFonts w:ascii="Times New Roman" w:hAnsi="Times New Roman" w:cs="Times New Roman"/>
          <w:b/>
          <w:sz w:val="24"/>
          <w:szCs w:val="24"/>
        </w:rPr>
        <w:t>Посебан циљ 1.</w:t>
      </w:r>
      <w:r w:rsidRPr="001F7B68">
        <w:rPr>
          <w:rFonts w:ascii="Times New Roman" w:hAnsi="Times New Roman" w:cs="Times New Roman"/>
          <w:b/>
          <w:sz w:val="24"/>
          <w:szCs w:val="24"/>
          <w:lang w:val="sr-Cyrl-RS"/>
        </w:rPr>
        <w:t xml:space="preserve"> Смањивање броја повреда на раду и професионалних обољења путем </w:t>
      </w:r>
      <w:r w:rsidRPr="001F7B68">
        <w:rPr>
          <w:rFonts w:ascii="Times New Roman" w:hAnsi="Times New Roman" w:cs="Times New Roman"/>
          <w:b/>
          <w:sz w:val="24"/>
          <w:szCs w:val="24"/>
        </w:rPr>
        <w:t xml:space="preserve"> м</w:t>
      </w:r>
      <w:r w:rsidRPr="001F7B68">
        <w:rPr>
          <w:rFonts w:ascii="Times New Roman" w:hAnsi="Times New Roman" w:cs="Times New Roman"/>
          <w:b/>
          <w:sz w:val="24"/>
          <w:szCs w:val="24"/>
          <w:lang w:val="sr-Cyrl-RS"/>
        </w:rPr>
        <w:t>инимизирања ризика везаних за радна места и радну средину</w:t>
      </w:r>
    </w:p>
    <w:p w14:paraId="077AA2F2" w14:textId="7A6834DF" w:rsidR="00C52D6B" w:rsidRPr="001F7B68" w:rsidRDefault="00C52D6B" w:rsidP="00C52D6B">
      <w:pPr>
        <w:spacing w:after="150"/>
        <w:ind w:firstLine="720"/>
        <w:jc w:val="both"/>
        <w:rPr>
          <w:rFonts w:ascii="Times New Roman" w:hAnsi="Times New Roman" w:cs="Times New Roman"/>
          <w:b/>
          <w:color w:val="000000"/>
          <w:sz w:val="24"/>
          <w:szCs w:val="24"/>
          <w:lang w:val="sr-Cyrl-RS"/>
        </w:rPr>
      </w:pPr>
      <w:r w:rsidRPr="002419CE">
        <w:rPr>
          <w:rFonts w:ascii="Times New Roman" w:hAnsi="Times New Roman" w:cs="Times New Roman"/>
          <w:b/>
          <w:color w:val="000000"/>
          <w:sz w:val="24"/>
          <w:szCs w:val="24"/>
          <w:lang w:val="sr-Latn-RS"/>
        </w:rPr>
        <w:t>Мера 1.1. Израда смерница за спровођење мера безбедности и здравља на раду (регулаторна)</w:t>
      </w:r>
      <w:r w:rsidR="001F7B68">
        <w:rPr>
          <w:rFonts w:ascii="Times New Roman" w:hAnsi="Times New Roman" w:cs="Times New Roman"/>
          <w:b/>
          <w:color w:val="000000"/>
          <w:sz w:val="24"/>
          <w:szCs w:val="24"/>
          <w:lang w:val="sr-Cyrl-RS"/>
        </w:rPr>
        <w:t>.</w:t>
      </w:r>
    </w:p>
    <w:p w14:paraId="06C9DC55" w14:textId="1E28A769" w:rsidR="00C52D6B" w:rsidRPr="00AD4C85" w:rsidRDefault="00C52D6B" w:rsidP="00C52D6B">
      <w:pPr>
        <w:spacing w:after="150"/>
        <w:ind w:firstLine="720"/>
        <w:jc w:val="both"/>
        <w:rPr>
          <w:rFonts w:ascii="Times New Roman" w:hAnsi="Times New Roman" w:cs="Times New Roman"/>
          <w:b/>
          <w:color w:val="000000"/>
          <w:sz w:val="24"/>
          <w:szCs w:val="24"/>
          <w:lang w:val="sr-Cyrl-RS"/>
        </w:rPr>
      </w:pPr>
      <w:r w:rsidRPr="002419CE">
        <w:rPr>
          <w:rFonts w:ascii="Times New Roman" w:hAnsi="Times New Roman" w:cs="Times New Roman"/>
          <w:b/>
          <w:color w:val="000000"/>
          <w:sz w:val="24"/>
          <w:szCs w:val="24"/>
          <w:lang w:val="sr-Latn-RS"/>
        </w:rPr>
        <w:t>Мера 1.2. Унапредити контролне листе у области безбедности и здравља на раду  (регулаторна)</w:t>
      </w:r>
      <w:r w:rsidR="00AD4C85">
        <w:rPr>
          <w:rFonts w:ascii="Times New Roman" w:hAnsi="Times New Roman" w:cs="Times New Roman"/>
          <w:b/>
          <w:color w:val="000000"/>
          <w:sz w:val="24"/>
          <w:szCs w:val="24"/>
          <w:lang w:val="sr-Cyrl-RS"/>
        </w:rPr>
        <w:t>.</w:t>
      </w:r>
    </w:p>
    <w:p w14:paraId="78C1F997" w14:textId="46148FCA" w:rsidR="001F7B68" w:rsidRDefault="00C52D6B" w:rsidP="001F7B68">
      <w:pPr>
        <w:spacing w:after="150"/>
        <w:ind w:firstLine="720"/>
        <w:jc w:val="both"/>
        <w:rPr>
          <w:rFonts w:ascii="Times New Roman" w:hAnsi="Times New Roman" w:cs="Times New Roman"/>
          <w:b/>
          <w:color w:val="000000"/>
          <w:sz w:val="24"/>
          <w:szCs w:val="24"/>
          <w:lang w:val="sr-Cyrl-RS"/>
        </w:rPr>
      </w:pPr>
      <w:r w:rsidRPr="002419CE">
        <w:rPr>
          <w:rFonts w:ascii="Times New Roman" w:hAnsi="Times New Roman" w:cs="Times New Roman"/>
          <w:b/>
          <w:color w:val="000000"/>
          <w:sz w:val="24"/>
          <w:szCs w:val="24"/>
          <w:lang w:val="sr-Latn-RS"/>
        </w:rPr>
        <w:t>Мера 1.3. Анализа сектора предузетника и привредних друштава које се баве пословима у области безбедности и здравља на раду и унапређење надзора (институци</w:t>
      </w:r>
      <w:r w:rsidR="001F7B68">
        <w:rPr>
          <w:rFonts w:ascii="Times New Roman" w:hAnsi="Times New Roman" w:cs="Times New Roman"/>
          <w:b/>
          <w:color w:val="000000"/>
          <w:sz w:val="24"/>
          <w:szCs w:val="24"/>
          <w:lang w:val="sr-Latn-RS"/>
        </w:rPr>
        <w:t>онално управљачко организациона</w:t>
      </w:r>
      <w:r w:rsidRPr="002419CE">
        <w:rPr>
          <w:rFonts w:ascii="Times New Roman" w:hAnsi="Times New Roman" w:cs="Times New Roman"/>
          <w:b/>
          <w:color w:val="000000"/>
          <w:sz w:val="24"/>
          <w:szCs w:val="24"/>
          <w:lang w:val="sr-Latn-RS"/>
        </w:rPr>
        <w:t>)</w:t>
      </w:r>
      <w:r w:rsidR="001F7B68">
        <w:rPr>
          <w:rFonts w:ascii="Times New Roman" w:hAnsi="Times New Roman" w:cs="Times New Roman"/>
          <w:b/>
          <w:color w:val="000000"/>
          <w:sz w:val="24"/>
          <w:szCs w:val="24"/>
          <w:lang w:val="sr-Cyrl-RS"/>
        </w:rPr>
        <w:t>.</w:t>
      </w:r>
    </w:p>
    <w:p w14:paraId="4E6DE6FD" w14:textId="0CDB6117" w:rsidR="001F7B68" w:rsidRPr="001F7B68" w:rsidRDefault="001F7B68" w:rsidP="00C52D6B">
      <w:pPr>
        <w:spacing w:after="150"/>
        <w:ind w:firstLine="720"/>
        <w:jc w:val="both"/>
        <w:rPr>
          <w:rFonts w:ascii="Times New Roman" w:hAnsi="Times New Roman" w:cs="Times New Roman"/>
          <w:b/>
          <w:color w:val="000000"/>
          <w:sz w:val="24"/>
          <w:szCs w:val="24"/>
          <w:lang w:val="sr-Cyrl-RS"/>
        </w:rPr>
      </w:pPr>
      <w:r w:rsidRPr="001F7B68">
        <w:rPr>
          <w:rFonts w:ascii="Times New Roman" w:hAnsi="Times New Roman" w:cs="Times New Roman"/>
          <w:b/>
          <w:bCs/>
          <w:sz w:val="24"/>
          <w:szCs w:val="24"/>
        </w:rPr>
        <w:t>Посебан циљ 2.</w:t>
      </w:r>
      <w:r w:rsidRPr="001F7B68">
        <w:rPr>
          <w:rFonts w:ascii="Times New Roman" w:hAnsi="Times New Roman" w:cs="Times New Roman"/>
          <w:b/>
          <w:sz w:val="24"/>
          <w:szCs w:val="24"/>
          <w:lang w:val="sr-Cyrl-RS"/>
        </w:rPr>
        <w:t xml:space="preserve"> Промоција  значаја (културе) превенције у области безбедности и здравља на раду и области радних односа</w:t>
      </w:r>
    </w:p>
    <w:p w14:paraId="5C4266EC" w14:textId="22D5DBB5" w:rsidR="00C52D6B" w:rsidRPr="002419CE" w:rsidRDefault="00C52D6B" w:rsidP="00C52D6B">
      <w:pPr>
        <w:spacing w:after="150"/>
        <w:ind w:firstLine="720"/>
        <w:jc w:val="both"/>
        <w:rPr>
          <w:rFonts w:ascii="Times New Roman" w:hAnsi="Times New Roman" w:cs="Times New Roman"/>
          <w:b/>
          <w:color w:val="000000"/>
          <w:sz w:val="24"/>
          <w:szCs w:val="24"/>
          <w:lang w:val="sr-Latn-RS"/>
        </w:rPr>
      </w:pPr>
      <w:r w:rsidRPr="002419CE">
        <w:rPr>
          <w:rFonts w:ascii="Times New Roman" w:hAnsi="Times New Roman" w:cs="Times New Roman"/>
          <w:b/>
          <w:color w:val="000000"/>
          <w:sz w:val="24"/>
          <w:szCs w:val="24"/>
          <w:lang w:val="sr-Latn-RS"/>
        </w:rPr>
        <w:t>Мера 2.1. Подизање свести и информисање јавности и заинтересованих страна (информативно-едукативне)</w:t>
      </w:r>
    </w:p>
    <w:p w14:paraId="7A73518F"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 xml:space="preserve">Превенција ризика и промовисање безбеднијих и здравијих услова на радном месту су важни, не само за побољшање квалитета посла и услова за рад, већ и за промовисање конкурентности. Здравље запослених има директан и мерљив позитиван утицај на продуктивност и доприноси унапређењу одрживости система социјалне заштите. Спречавање обољевања запослених од професионалних болести, као и </w:t>
      </w:r>
      <w:r w:rsidRPr="00C52D6B">
        <w:rPr>
          <w:rFonts w:ascii="Times New Roman" w:hAnsi="Times New Roman" w:cs="Times New Roman"/>
          <w:color w:val="000000"/>
          <w:sz w:val="24"/>
          <w:szCs w:val="24"/>
          <w:lang w:val="sr-Latn-RS"/>
        </w:rPr>
        <w:lastRenderedPageBreak/>
        <w:t>спречавање повреда на раду и промовисање здравља, од првих радних дана на даље, је кључ одрживог радног века.</w:t>
      </w:r>
    </w:p>
    <w:p w14:paraId="350CD562"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Професионалне болести, укључујући болести у вези са радом, представљају велико оптерећење за запослене, привредне субјекте и системе социјалног осигурања. Иако су многе нове технологије и иновације у организацији рада значајно унапредиле благостање на раду, као и услове за рад, ефикасна превенција професионалних болести захтева предвиђање потенцијалних негативних утицаја нових технологија на безбедност и здравље на раду. Примена нових технологија у индустрији води до нових производа и процеса, који морају да се тестирају у довољној мери, као и да се провере како би се уверили да су безбедни и да не представљају опасност за запослене. Промене у организацији рада које су резултат развоја информационих технологија отварају многе могућности за флексибилне и интерактивне процесе рада.</w:t>
      </w:r>
    </w:p>
    <w:p w14:paraId="4862E2F3"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Због технолошких и економских разлога најчешће није могуће уклонити све здравствене ризике са радног места. Из ових разлога, праћење здравственог стања запослених има велики значај и обухвата медицинске процене ефеката на здравље који се развијају као резултат излагања запослених ризицима на радном месту. Главна сврха праћења здравственог стања је очување здравља и процена радне способности за обављање одређених послова, како би се проценило било које здравствено оштећење које може бити повезано са излагањем ризицима који су карактеристични за одређен процес рада и како би се препознале професионалне болести у складу са националним законодавством.</w:t>
      </w:r>
    </w:p>
    <w:p w14:paraId="14A94FA8"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Ефикасан систем безбедности и здравља на раду је неопходан, на првом месту због одрживог радног века и активног и здравог старења, што захтева стварање здравог окружења. Како би се то достигло, неопходно је успоставити и унапредити културу превенције.</w:t>
      </w:r>
    </w:p>
    <w:p w14:paraId="3E61AF88"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Успешност одрживог радног века у многоме зависи од правилног прилагођавања радних места и организације рада, укључујући и радно време, приступачност радном месту и осталим активностима намењеним старијим запосленима.</w:t>
      </w:r>
    </w:p>
    <w:p w14:paraId="4497C388"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Мере рехабилитације које омогућавају рано враћање на посао након повреде на раду или професионалне болести су неопходне како би се избегло трајно искључивање запослених са тржишта рада.</w:t>
      </w:r>
    </w:p>
    <w:p w14:paraId="0D350B0E" w14:textId="77777777" w:rsidR="00C52D6B" w:rsidRPr="002419CE" w:rsidRDefault="00C52D6B" w:rsidP="00C52D6B">
      <w:pPr>
        <w:spacing w:after="150"/>
        <w:ind w:firstLine="720"/>
        <w:jc w:val="both"/>
        <w:rPr>
          <w:rFonts w:ascii="Times New Roman" w:hAnsi="Times New Roman" w:cs="Times New Roman"/>
          <w:b/>
          <w:color w:val="000000"/>
          <w:sz w:val="24"/>
          <w:szCs w:val="24"/>
          <w:lang w:val="sr-Latn-RS"/>
        </w:rPr>
      </w:pPr>
      <w:r w:rsidRPr="002419CE">
        <w:rPr>
          <w:rFonts w:ascii="Times New Roman" w:hAnsi="Times New Roman" w:cs="Times New Roman"/>
          <w:b/>
          <w:color w:val="000000"/>
          <w:sz w:val="24"/>
          <w:szCs w:val="24"/>
          <w:lang w:val="sr-Latn-RS"/>
        </w:rPr>
        <w:t>Мера 2.2. Образовање и обука (информативно едукативне)</w:t>
      </w:r>
    </w:p>
    <w:p w14:paraId="46F5D8F9"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Укључивање безбедности и здравља на раду у систем образовања на свим нивоима је важно за унапређење културе превенције. Поред других мера, кроз образовање и континуалне обуке професионалног развоја могуће је подићи свест и изградити дугорочно знање о безбедности и здрављу на раду. Основно знање о безбедности и здрављу на раду потребно је интегрисати у школски програм на одговарајући начин како би будући запослени били свесни своје безбедности и здравља. Добро образовање о безбедности и здрављу на раду омогућава студентима и ученицима да усвоје позитиван однос и понашање, како би стекли знање, развили вештине и способности да идентификују опасности и ризике и нађу решења.</w:t>
      </w:r>
    </w:p>
    <w:p w14:paraId="6091ADD5"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 xml:space="preserve">Међутим, потребно је радити на промоцији области безбедности и здравља на раду у систему основног, средњег и високог образовања како би се развила свест о </w:t>
      </w:r>
      <w:r w:rsidRPr="00C52D6B">
        <w:rPr>
          <w:rFonts w:ascii="Times New Roman" w:hAnsi="Times New Roman" w:cs="Times New Roman"/>
          <w:color w:val="000000"/>
          <w:sz w:val="24"/>
          <w:szCs w:val="24"/>
          <w:lang w:val="sr-Latn-RS"/>
        </w:rPr>
        <w:lastRenderedPageBreak/>
        <w:t>важности сопственог здравља и безбедности. Програм безбедности и здравља на раду обухвата заједничке активности школе, родитеља и локалне самоуправе.</w:t>
      </w:r>
    </w:p>
    <w:p w14:paraId="4FC6BB5D" w14:textId="123FB03F"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Младима често недостају знање и искуство о ризицима повезаним са њиховим радним задацима. Као резултат интеграције безбедности и здравља на раду у образовање, Република Србија је кроз модел дуалног образовања почела да укључује образовање о превенцији ризика у програме средњих стручних школа. Наиме, Законом о основном образовању и васпитању-члан 27 у школски програм уведена је област безбедности и заштите на раду, док је Законом о средњем образовању и васпитању, ова област у школски програм уведена чланом 11. став 1. тачка 18. Даље, потребно је развити приступ који се фокусира не само на садржај учења, већ на простор у којима се спроводи практично учење. Зато ученици имају активну улогу у безбедности и здрављу на раду кроз школске активности. Подизање свести о важности здравља и безбедности на раду код ученика у основном и средњем образовању и васпитању – обавезно у систему дуал</w:t>
      </w:r>
      <w:r w:rsidR="00925AEA">
        <w:rPr>
          <w:rFonts w:ascii="Times New Roman" w:hAnsi="Times New Roman" w:cs="Times New Roman"/>
          <w:color w:val="000000"/>
          <w:sz w:val="24"/>
          <w:szCs w:val="24"/>
          <w:lang w:val="sr-Latn-RS"/>
        </w:rPr>
        <w:t xml:space="preserve">ног образовања обавезан предмет – </w:t>
      </w:r>
      <w:r w:rsidRPr="00C52D6B">
        <w:rPr>
          <w:rFonts w:ascii="Times New Roman" w:hAnsi="Times New Roman" w:cs="Times New Roman"/>
          <w:color w:val="000000"/>
          <w:sz w:val="24"/>
          <w:szCs w:val="24"/>
          <w:lang w:val="sr-Latn-RS"/>
        </w:rPr>
        <w:t xml:space="preserve">програма, а кроз грађанско васпитање обавезни часови посвећени безбедности и здрављу на раду. </w:t>
      </w:r>
    </w:p>
    <w:p w14:paraId="160EC9B6"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 xml:space="preserve">У систему високог образовања, регулисаног Законом о високом образовању, у Републици Србији постоје акредитоване високошколске установе које образују стручњаке на студијским програмима у оквиру научне и стручне области инжењерства заштите животне средине и заштите на раду. У складу са принципима Болоњске декларације, потребно је унапређивање постојећих и имплементација нових академских и струковних студијских програма са циљем побољшања мобилности и афирмације социјалног дијалога у овој области. </w:t>
      </w:r>
    </w:p>
    <w:p w14:paraId="505D064F"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Савремени научни и стручни трендови имплицирају интердисциплинарност и мултидисциплинарност у области безбедности и здравља на раду као основе за развој техничко-технолошког и менаџерског приступа, интеграцију знања и послова и тимски рад с циљем побољшања перформанси безбедности и здравља на раду и економске ефикасности. Поред наставно-образовне делатности, потребно је подстицати развој научно-истраживачког рада, сарадњу и умрежавање високошколских установа (у националним, регионалним и међународним оквирима) кроз покретање научно-истраживачких пројеката, трансфер научних знања и других научних активности у овој области.</w:t>
      </w:r>
    </w:p>
    <w:p w14:paraId="5A807FE8" w14:textId="449B56A8" w:rsidR="00E3008F" w:rsidRPr="001A6EA6" w:rsidRDefault="00C52D6B" w:rsidP="001A6EA6">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Општи принцип образовања и васпитања за безбедност и здравље на раду је целоживотно учење које укључује све облике учења и подразумева учествовање у различитим облицима образовних активности током живота, који доприноси превенцији повреда на раду и професионалних болести. Према Закону о образовању одраслих, оно представља део јединственог система образовања у Републици Србији који обезбеђује одраслима стицање компетенција и квалификација потребних за лични и професионални развој, рад и запошљавање током целог живота. У циљу континуираног унапређења и развоја стручних компетенција за обављање послова из области безбедности и здравља на раду, треба подстицати професионално усавршавање и целоживотно учење лица која се баве овим пословима кроз учешће на научним и стручним скуповима, објављивање научних и стручних</w:t>
      </w:r>
      <w:r>
        <w:rPr>
          <w:rFonts w:ascii="Times New Roman" w:hAnsi="Times New Roman" w:cs="Times New Roman"/>
          <w:color w:val="000000"/>
          <w:sz w:val="24"/>
          <w:szCs w:val="24"/>
          <w:lang w:val="sr-Latn-RS"/>
        </w:rPr>
        <w:t xml:space="preserve"> радова, студијске посете и др.</w:t>
      </w:r>
    </w:p>
    <w:p w14:paraId="5BFDB2B0" w14:textId="77777777" w:rsidR="001579D6" w:rsidRDefault="001579D6" w:rsidP="00C52D6B">
      <w:pPr>
        <w:spacing w:after="150"/>
        <w:ind w:firstLine="720"/>
        <w:jc w:val="both"/>
        <w:rPr>
          <w:rFonts w:ascii="Times New Roman" w:hAnsi="Times New Roman" w:cs="Times New Roman"/>
          <w:b/>
          <w:color w:val="000000"/>
          <w:sz w:val="24"/>
          <w:szCs w:val="24"/>
          <w:lang w:val="sr-Latn-RS"/>
        </w:rPr>
      </w:pPr>
    </w:p>
    <w:p w14:paraId="1D276AA0" w14:textId="77777777" w:rsidR="001579D6" w:rsidRDefault="001579D6" w:rsidP="00C52D6B">
      <w:pPr>
        <w:spacing w:after="150"/>
        <w:ind w:firstLine="720"/>
        <w:jc w:val="both"/>
        <w:rPr>
          <w:rFonts w:ascii="Times New Roman" w:hAnsi="Times New Roman" w:cs="Times New Roman"/>
          <w:b/>
          <w:color w:val="000000"/>
          <w:sz w:val="24"/>
          <w:szCs w:val="24"/>
          <w:lang w:val="sr-Latn-RS"/>
        </w:rPr>
      </w:pPr>
    </w:p>
    <w:p w14:paraId="59E13974" w14:textId="110F9081" w:rsidR="00C52D6B" w:rsidRPr="002419CE" w:rsidRDefault="00C52D6B" w:rsidP="00C52D6B">
      <w:pPr>
        <w:spacing w:after="150"/>
        <w:ind w:firstLine="720"/>
        <w:jc w:val="both"/>
        <w:rPr>
          <w:rFonts w:ascii="Times New Roman" w:hAnsi="Times New Roman" w:cs="Times New Roman"/>
          <w:b/>
          <w:color w:val="000000"/>
          <w:sz w:val="24"/>
          <w:szCs w:val="24"/>
          <w:lang w:val="sr-Latn-RS"/>
        </w:rPr>
      </w:pPr>
      <w:r w:rsidRPr="002419CE">
        <w:rPr>
          <w:rFonts w:ascii="Times New Roman" w:hAnsi="Times New Roman" w:cs="Times New Roman"/>
          <w:b/>
          <w:color w:val="000000"/>
          <w:sz w:val="24"/>
          <w:szCs w:val="24"/>
          <w:lang w:val="sr-Latn-RS"/>
        </w:rPr>
        <w:lastRenderedPageBreak/>
        <w:t>Мера 2.3. Социјални дијалог</w:t>
      </w:r>
    </w:p>
    <w:p w14:paraId="3065F7CD"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Социјални партнери (репрезентативне организације запослених и послодаваца) имају значајну улогу у креирању, увођењу и спровођењу политика безбедности и здравља на раду, као и у промовисању безбедних и здравих услова на раду.</w:t>
      </w:r>
    </w:p>
    <w:p w14:paraId="52E03316"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 xml:space="preserve">Потребно је наставити подршку рада социјалних партнера и истицати важност закључивања колективних уговора како би се заузели ставови који задовољавају интересе запослених и послодаваца. </w:t>
      </w:r>
    </w:p>
    <w:p w14:paraId="7E14B4FF" w14:textId="08AD4D4D"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Имајући у виду значај социјалног дијалога, утврђена је потреба оснивања Стручне комисије за безбедност и здравље на раду на трипартитном нивоу која има саветодавну улогу и даје инцијативе за унапређење ове области Управи за безбедност и здравље на раду кроз анализу актуелног система безбедности и здравља на раду. Стручна комисија за безбедност и здравље на раду броји седам чланова (два члана из Министарства за рад, запошљавање, борачка и социјална питања, два члана из репрезентативних синдиката, два члана из репрезентативног удружења послодаваца и једног члана академске зај</w:t>
      </w:r>
      <w:r w:rsidR="0085639C">
        <w:rPr>
          <w:rFonts w:ascii="Times New Roman" w:hAnsi="Times New Roman" w:cs="Times New Roman"/>
          <w:color w:val="000000"/>
          <w:sz w:val="24"/>
          <w:szCs w:val="24"/>
          <w:lang w:val="sr-Latn-RS"/>
        </w:rPr>
        <w:t xml:space="preserve">еднице – </w:t>
      </w:r>
      <w:r w:rsidRPr="00C52D6B">
        <w:rPr>
          <w:rFonts w:ascii="Times New Roman" w:hAnsi="Times New Roman" w:cs="Times New Roman"/>
          <w:color w:val="000000"/>
          <w:sz w:val="24"/>
          <w:szCs w:val="24"/>
          <w:lang w:val="sr-Latn-RS"/>
        </w:rPr>
        <w:t>стручњака за одређену област).</w:t>
      </w:r>
    </w:p>
    <w:p w14:paraId="7B708AF3"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Циљеви и задаци Стручне комисије за безбедност и здравље на раду јесу:</w:t>
      </w:r>
    </w:p>
    <w:p w14:paraId="278F9745"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1) рад на „Превенцији изнад свега” у области безбедности и здрављу на раду;</w:t>
      </w:r>
    </w:p>
    <w:p w14:paraId="4AAB09CF"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2) анализа закона и подзаконских прописа;</w:t>
      </w:r>
    </w:p>
    <w:p w14:paraId="1EA41894"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3) анализа стања макро система, лоших појава, као и давање предлога за превазилажење истих;</w:t>
      </w:r>
    </w:p>
    <w:p w14:paraId="184F9918"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4) идентификовање примера добре праксе и њихово промовисање на нивоу Републике Србије;</w:t>
      </w:r>
    </w:p>
    <w:p w14:paraId="40B0F174"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5) учешће у изради водича и брошура;</w:t>
      </w:r>
    </w:p>
    <w:p w14:paraId="5F2BD0C5"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6) подршка образовању из области безбедности и здравља на раду у оквиру формалног и неформалног образовања;</w:t>
      </w:r>
    </w:p>
    <w:p w14:paraId="2EF50968"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7) учешће у организовању и обележавању 28. априла – Дана безбедности и здравља на раду у Републици Србији и додели националних признања из области безбедности и здравља на раду;</w:t>
      </w:r>
    </w:p>
    <w:p w14:paraId="0976AD95"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8) учешће у организовању и обележавању Европске недеље безбедности и здравља на раду;</w:t>
      </w:r>
    </w:p>
    <w:p w14:paraId="28EDD598"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9) учешће у раду информативне мреже безбедности и здравља на раду;</w:t>
      </w:r>
    </w:p>
    <w:p w14:paraId="4727DEFE"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10) учешће у медијским кампањама.</w:t>
      </w:r>
    </w:p>
    <w:p w14:paraId="5FA287A5" w14:textId="0491BFE7" w:rsid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Стручну комисију за безбедност и здравље на раду образује министар надлежан за рад на предлог Управе за безбедност и здравље на раду.</w:t>
      </w:r>
    </w:p>
    <w:p w14:paraId="667BB272" w14:textId="7C14E462" w:rsidR="00C52D6B" w:rsidRPr="001F7B68" w:rsidRDefault="001F7B68" w:rsidP="00C52D6B">
      <w:pPr>
        <w:spacing w:after="150"/>
        <w:ind w:firstLine="720"/>
        <w:jc w:val="both"/>
        <w:rPr>
          <w:rFonts w:ascii="Times New Roman" w:hAnsi="Times New Roman" w:cs="Times New Roman"/>
          <w:b/>
          <w:color w:val="000000"/>
          <w:sz w:val="24"/>
          <w:szCs w:val="24"/>
          <w:lang w:val="sr-Latn-RS"/>
        </w:rPr>
      </w:pPr>
      <w:r>
        <w:rPr>
          <w:rFonts w:ascii="Times New Roman" w:hAnsi="Times New Roman" w:cs="Times New Roman"/>
          <w:b/>
          <w:bCs/>
          <w:sz w:val="24"/>
          <w:szCs w:val="24"/>
        </w:rPr>
        <w:t>Посебан циљ 3</w:t>
      </w:r>
      <w:r w:rsidRPr="00C52D6B">
        <w:rPr>
          <w:rFonts w:ascii="Times New Roman" w:hAnsi="Times New Roman" w:cs="Times New Roman"/>
          <w:b/>
          <w:bCs/>
          <w:sz w:val="24"/>
          <w:szCs w:val="24"/>
        </w:rPr>
        <w:t>.</w:t>
      </w:r>
      <w:r w:rsidRPr="001F7B68">
        <w:rPr>
          <w:rFonts w:ascii="Times New Roman" w:hAnsi="Times New Roman" w:cs="Times New Roman"/>
          <w:sz w:val="24"/>
          <w:szCs w:val="24"/>
          <w:lang w:val="sr-Cyrl-RS"/>
        </w:rPr>
        <w:t xml:space="preserve"> </w:t>
      </w:r>
      <w:r w:rsidRPr="001F7B68">
        <w:rPr>
          <w:rFonts w:ascii="Times New Roman" w:hAnsi="Times New Roman" w:cs="Times New Roman"/>
          <w:b/>
          <w:sz w:val="24"/>
          <w:szCs w:val="24"/>
          <w:lang w:val="sr-Cyrl-RS"/>
        </w:rPr>
        <w:t>Унапређење административног капацитета Инспектората за рад</w:t>
      </w:r>
    </w:p>
    <w:p w14:paraId="2443236D" w14:textId="77777777" w:rsidR="00C52D6B" w:rsidRPr="002419CE" w:rsidRDefault="00C52D6B" w:rsidP="00C52D6B">
      <w:pPr>
        <w:spacing w:after="150"/>
        <w:ind w:firstLine="720"/>
        <w:jc w:val="both"/>
        <w:rPr>
          <w:rFonts w:ascii="Times New Roman" w:hAnsi="Times New Roman" w:cs="Times New Roman"/>
          <w:b/>
          <w:color w:val="000000"/>
          <w:sz w:val="24"/>
          <w:szCs w:val="24"/>
          <w:lang w:val="sr-Latn-RS"/>
        </w:rPr>
      </w:pPr>
      <w:r w:rsidRPr="002419CE">
        <w:rPr>
          <w:rFonts w:ascii="Times New Roman" w:hAnsi="Times New Roman" w:cs="Times New Roman"/>
          <w:b/>
          <w:color w:val="000000"/>
          <w:sz w:val="24"/>
          <w:szCs w:val="24"/>
          <w:lang w:val="sr-Latn-RS"/>
        </w:rPr>
        <w:t>Мера 3.1. Унапређење правног оквира за безбедност и здравље на раду (регулаторна мера)</w:t>
      </w:r>
    </w:p>
    <w:p w14:paraId="3EB2D9B3"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lastRenderedPageBreak/>
        <w:t>Систем безбедности и здравља на раду у Републици Србији уређен је Законом о безбедности и здрављу на раду који је у већем делу усклађен са захтевима из Директиве 89/391/ЕЕЗ о увођењу мера за подстицање побољшања безбедности и здравља на раду, као и подзаконским прописима којима су у национално законодавство транспоноване појединачне директиве ЕУ. Поред обавезе потпуног усаглашавања са директивама ЕУ потребно је наставити процес унапређења прописа како би се превазишли препознати проблеми из праксе.</w:t>
      </w:r>
    </w:p>
    <w:p w14:paraId="6E567E58"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 xml:space="preserve">Процес даљег усаглашавања са директивама ЕУ планиран је Националним програмом за усвајање правних тековина Европске уније који представља детаљан, вишегодишњи план усклађивања националних прописа са прописима ЕУ. </w:t>
      </w:r>
    </w:p>
    <w:p w14:paraId="5155F964" w14:textId="2899209A" w:rsidR="00C52D6B" w:rsidRPr="00C52D6B" w:rsidRDefault="00C52D6B" w:rsidP="00B83C78">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У оквиру ове мере сви учесници посебно и таксативно набројани морају активно учествовати у праћењу, али и развијању и иницирању закона како из области безбедности и здравља на раду, свакако укључујући  радно законодавство, као и из области социјалне и здравствене политике како би се успоставио систем безбедних и здравих услова на раду. Такође, у оквиру ове регулаторне мере подстицати и промовисати с</w:t>
      </w:r>
      <w:r w:rsidR="00B83C78">
        <w:rPr>
          <w:rFonts w:ascii="Times New Roman" w:hAnsi="Times New Roman" w:cs="Times New Roman"/>
          <w:color w:val="000000"/>
          <w:sz w:val="24"/>
          <w:szCs w:val="24"/>
          <w:lang w:val="sr-Latn-RS"/>
        </w:rPr>
        <w:t xml:space="preserve">истем колективног преговарања. </w:t>
      </w:r>
    </w:p>
    <w:p w14:paraId="34B3867D" w14:textId="7E30D4DB" w:rsidR="00C52D6B" w:rsidRPr="002419CE" w:rsidRDefault="00C52D6B" w:rsidP="00B83C78">
      <w:pPr>
        <w:spacing w:after="150"/>
        <w:ind w:firstLine="720"/>
        <w:jc w:val="both"/>
        <w:rPr>
          <w:rFonts w:ascii="Times New Roman" w:hAnsi="Times New Roman" w:cs="Times New Roman"/>
          <w:b/>
          <w:color w:val="000000"/>
          <w:sz w:val="24"/>
          <w:szCs w:val="24"/>
          <w:lang w:val="sr-Latn-RS"/>
        </w:rPr>
      </w:pPr>
      <w:r w:rsidRPr="002419CE">
        <w:rPr>
          <w:rFonts w:ascii="Times New Roman" w:hAnsi="Times New Roman" w:cs="Times New Roman"/>
          <w:b/>
          <w:color w:val="000000"/>
          <w:sz w:val="24"/>
          <w:szCs w:val="24"/>
          <w:lang w:val="sr-Latn-RS"/>
        </w:rPr>
        <w:t>Мера 3.2. Уређење института осигурања од повреда на раду и професионалних болести (регулаторна мера)</w:t>
      </w:r>
    </w:p>
    <w:p w14:paraId="663B3F20"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Потребно је наставити даље активности на доношењу Закона о осигурању од повреда на раду и професионалних болести којим ће се уредити ова питања.</w:t>
      </w:r>
    </w:p>
    <w:p w14:paraId="16A1DA24" w14:textId="2BFC8E7B" w:rsidR="00C52D6B" w:rsidRPr="00C52D6B" w:rsidRDefault="00C52D6B" w:rsidP="00B83C78">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Прописи из области безбедности и здравља на раду показали су своју вредност обезбеђујући концепт превенције као основ за смањење повреда на раду и професионалних болести. Законодавни оквир од кључног је значаја како би се обезбедио висок ниво заштите запослених и како би се створили једнаки услови за све привредне субјекте без обзира на њихову величину, локацију или сектор пословања. Доказано је да испуњавање законских обавеза и принудних мера које налажу инспектори за рад, остају кључни стимулатори за управљање безбедношћу и здрављем на раду у већини привредних субјеката.</w:t>
      </w:r>
    </w:p>
    <w:p w14:paraId="5A3A50B2" w14:textId="77777777" w:rsidR="00C52D6B" w:rsidRPr="002419CE" w:rsidRDefault="00C52D6B" w:rsidP="00C52D6B">
      <w:pPr>
        <w:spacing w:after="150"/>
        <w:ind w:firstLine="720"/>
        <w:jc w:val="both"/>
        <w:rPr>
          <w:rFonts w:ascii="Times New Roman" w:hAnsi="Times New Roman" w:cs="Times New Roman"/>
          <w:b/>
          <w:color w:val="000000"/>
          <w:sz w:val="24"/>
          <w:szCs w:val="24"/>
          <w:lang w:val="sr-Latn-RS"/>
        </w:rPr>
      </w:pPr>
      <w:r w:rsidRPr="002419CE">
        <w:rPr>
          <w:rFonts w:ascii="Times New Roman" w:hAnsi="Times New Roman" w:cs="Times New Roman"/>
          <w:b/>
          <w:color w:val="000000"/>
          <w:sz w:val="24"/>
          <w:szCs w:val="24"/>
          <w:lang w:val="sr-Latn-RS"/>
        </w:rPr>
        <w:t>Мера 3.3. Анализа података Инспектората за рад према типовима субјекта ради вршења надзора заснованог на анализи ризика - risk based assessment</w:t>
      </w:r>
    </w:p>
    <w:p w14:paraId="6F23D766" w14:textId="0C46CD5A" w:rsidR="00C52D6B" w:rsidRPr="00D77CB6" w:rsidRDefault="00C52D6B" w:rsidP="00B83C78">
      <w:pPr>
        <w:spacing w:after="150"/>
        <w:ind w:firstLine="720"/>
        <w:jc w:val="both"/>
        <w:rPr>
          <w:rFonts w:ascii="Times New Roman" w:hAnsi="Times New Roman" w:cs="Times New Roman"/>
          <w:color w:val="000000"/>
          <w:sz w:val="24"/>
          <w:szCs w:val="24"/>
          <w:lang w:val="sr-Cyrl-RS"/>
        </w:rPr>
      </w:pPr>
      <w:r w:rsidRPr="00C52D6B">
        <w:rPr>
          <w:rFonts w:ascii="Times New Roman" w:hAnsi="Times New Roman" w:cs="Times New Roman"/>
          <w:color w:val="000000"/>
          <w:sz w:val="24"/>
          <w:szCs w:val="24"/>
          <w:lang w:val="sr-Latn-RS"/>
        </w:rPr>
        <w:t>На основу вишегодишњих података Инспектората за рад могуће је унапредити категоризацију послодаваца према процењеном степену ризика што ће омогућити боље таргетирање и већи учинак инспекцијског надзора. На основу анализе могуће</w:t>
      </w:r>
      <w:r w:rsidR="00A07808">
        <w:rPr>
          <w:rFonts w:ascii="Times New Roman" w:hAnsi="Times New Roman" w:cs="Times New Roman"/>
          <w:color w:val="000000"/>
          <w:sz w:val="24"/>
          <w:szCs w:val="24"/>
          <w:lang w:val="sr-Latn-RS"/>
        </w:rPr>
        <w:t xml:space="preserve"> је унапредити планирање рада И</w:t>
      </w:r>
      <w:r w:rsidRPr="00C52D6B">
        <w:rPr>
          <w:rFonts w:ascii="Times New Roman" w:hAnsi="Times New Roman" w:cs="Times New Roman"/>
          <w:color w:val="000000"/>
          <w:sz w:val="24"/>
          <w:szCs w:val="24"/>
          <w:lang w:val="sr-Latn-RS"/>
        </w:rPr>
        <w:t>нспектората за рад, односно ревидирати процене о потреби учесталости инспекцијског надзора и потребном времену с</w:t>
      </w:r>
      <w:r w:rsidR="00B83C78">
        <w:rPr>
          <w:rFonts w:ascii="Times New Roman" w:hAnsi="Times New Roman" w:cs="Times New Roman"/>
          <w:color w:val="000000"/>
          <w:sz w:val="24"/>
          <w:szCs w:val="24"/>
          <w:lang w:val="sr-Latn-RS"/>
        </w:rPr>
        <w:t>провођења инспекцијског надзора</w:t>
      </w:r>
      <w:r w:rsidR="00D77CB6">
        <w:rPr>
          <w:rFonts w:ascii="Times New Roman" w:hAnsi="Times New Roman" w:cs="Times New Roman"/>
          <w:color w:val="000000"/>
          <w:sz w:val="24"/>
          <w:szCs w:val="24"/>
          <w:lang w:val="sr-Cyrl-RS"/>
        </w:rPr>
        <w:t>.</w:t>
      </w:r>
    </w:p>
    <w:p w14:paraId="4D0B5100" w14:textId="77777777" w:rsidR="00C52D6B" w:rsidRPr="002419CE" w:rsidRDefault="00C52D6B" w:rsidP="00C52D6B">
      <w:pPr>
        <w:spacing w:after="150"/>
        <w:ind w:firstLine="720"/>
        <w:jc w:val="both"/>
        <w:rPr>
          <w:rFonts w:ascii="Times New Roman" w:hAnsi="Times New Roman" w:cs="Times New Roman"/>
          <w:b/>
          <w:color w:val="000000"/>
          <w:sz w:val="24"/>
          <w:szCs w:val="24"/>
          <w:lang w:val="sr-Latn-RS"/>
        </w:rPr>
      </w:pPr>
      <w:r w:rsidRPr="002419CE">
        <w:rPr>
          <w:rFonts w:ascii="Times New Roman" w:hAnsi="Times New Roman" w:cs="Times New Roman"/>
          <w:b/>
          <w:color w:val="000000"/>
          <w:sz w:val="24"/>
          <w:szCs w:val="24"/>
          <w:lang w:val="sr-Latn-RS"/>
        </w:rPr>
        <w:t>Мера 3.4. Унапређење капацитета Инспектората за рад</w:t>
      </w:r>
    </w:p>
    <w:p w14:paraId="462F4B09" w14:textId="31B32245"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На иницијативу Координационе комисије за инспекцијски надзор, 2019.</w:t>
      </w:r>
      <w:r w:rsidR="0085639C">
        <w:rPr>
          <w:rFonts w:ascii="Times New Roman" w:hAnsi="Times New Roman" w:cs="Times New Roman"/>
          <w:color w:val="000000"/>
          <w:sz w:val="24"/>
          <w:szCs w:val="24"/>
          <w:lang w:val="sr-Cyrl-RS"/>
        </w:rPr>
        <w:t xml:space="preserve"> </w:t>
      </w:r>
      <w:r w:rsidRPr="00C52D6B">
        <w:rPr>
          <w:rFonts w:ascii="Times New Roman" w:hAnsi="Times New Roman" w:cs="Times New Roman"/>
          <w:color w:val="000000"/>
          <w:sz w:val="24"/>
          <w:szCs w:val="24"/>
          <w:lang w:val="sr-Latn-RS"/>
        </w:rPr>
        <w:t xml:space="preserve">године je израђена Функционална анализа републичких инспекција са анализом капацитета, у том моменту, за укупно  41 републичку инспекцију. </w:t>
      </w:r>
    </w:p>
    <w:p w14:paraId="1F5E708A" w14:textId="36D2E66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 xml:space="preserve">Функционална анализа је, узимајући у обзир број надзора и број субјеката надзора према степену ризичности, трајање инспекцијског надзора, број  расположивих </w:t>
      </w:r>
      <w:r w:rsidRPr="00C52D6B">
        <w:rPr>
          <w:rFonts w:ascii="Times New Roman" w:hAnsi="Times New Roman" w:cs="Times New Roman"/>
          <w:color w:val="000000"/>
          <w:sz w:val="24"/>
          <w:szCs w:val="24"/>
          <w:lang w:val="sr-Latn-RS"/>
        </w:rPr>
        <w:lastRenderedPageBreak/>
        <w:t>радних дана за обављање послова инспекцијског надзора и саветодавних п</w:t>
      </w:r>
      <w:r w:rsidR="0096533F">
        <w:rPr>
          <w:rFonts w:ascii="Times New Roman" w:hAnsi="Times New Roman" w:cs="Times New Roman"/>
          <w:color w:val="000000"/>
          <w:sz w:val="24"/>
          <w:szCs w:val="24"/>
          <w:lang w:val="sr-Latn-RS"/>
        </w:rPr>
        <w:t xml:space="preserve">осета на годишњем нивоу, као и </w:t>
      </w:r>
      <w:r w:rsidRPr="00C52D6B">
        <w:rPr>
          <w:rFonts w:ascii="Times New Roman" w:hAnsi="Times New Roman" w:cs="Times New Roman"/>
          <w:color w:val="000000"/>
          <w:sz w:val="24"/>
          <w:szCs w:val="24"/>
          <w:lang w:val="sr-Latn-RS"/>
        </w:rPr>
        <w:t>организацију и опремљеност инспекције, утврдила број инспектора који је потребан свакој инспекцији за вршење послова.</w:t>
      </w:r>
    </w:p>
    <w:p w14:paraId="05101090" w14:textId="6200B601"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Н</w:t>
      </w:r>
      <w:r w:rsidR="00E1348E">
        <w:rPr>
          <w:rFonts w:ascii="Times New Roman" w:hAnsi="Times New Roman" w:cs="Times New Roman"/>
          <w:color w:val="000000"/>
          <w:sz w:val="24"/>
          <w:szCs w:val="24"/>
          <w:lang w:val="sr-Latn-RS"/>
        </w:rPr>
        <w:t xml:space="preserve">а седници која је одржана дана </w:t>
      </w:r>
      <w:r w:rsidRPr="00C52D6B">
        <w:rPr>
          <w:rFonts w:ascii="Times New Roman" w:hAnsi="Times New Roman" w:cs="Times New Roman"/>
          <w:color w:val="000000"/>
          <w:sz w:val="24"/>
          <w:szCs w:val="24"/>
          <w:lang w:val="sr-Latn-RS"/>
        </w:rPr>
        <w:t>8. августа 2019.године, Влада Републике Србије je усвојила Трогодишњи акциони план за запошљавање државних службеника који обављају послове инспекцијског надзора у надлежности републичких инспекција.</w:t>
      </w:r>
    </w:p>
    <w:p w14:paraId="54582127"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Усвојеним планом, поред осталог, било је предвиђено до краја 2021. годинe додатно запошљавање још 40 инспектора рада, односно да је оптималан број инспектора рада 307. Додатно запошљавање је претходно захтевало  промену Правилника о унутрашњем уређењу и систематизацији радних места, тако да у Инспекторату за рад укупно буде систематизовано 318 радних места, од којих 307 радних места инспектора рада.</w:t>
      </w:r>
    </w:p>
    <w:p w14:paraId="53FCC1E3" w14:textId="77777777" w:rsidR="00C52D6B" w:rsidRP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 xml:space="preserve">С обзиром на велики број упражњених радних места, која су углавном настала смањењем броја инспектора рада због одласка у старосну пензију, који је у једном тренутку износио и  60 упражњених радних места, Инспекторат за рад није могао да добије сагласност  за повећање броја систематизованих радних места инспектора рада. </w:t>
      </w:r>
    </w:p>
    <w:p w14:paraId="4E0B9E10" w14:textId="2C51B251" w:rsidR="00B83C78" w:rsidRDefault="00C52D6B" w:rsidP="000B0908">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Инспекторат за рад континуирано  спроводи активности у циљу попуњавања упражњених, систематизованих радних места инспектора рада, а потом и додатног запошљавања инспектора рада, као и у циљу адекватне  техничке  опремљености инспекције рада.</w:t>
      </w:r>
    </w:p>
    <w:p w14:paraId="55329CD9" w14:textId="3CD4B698" w:rsidR="001F7B68" w:rsidRDefault="001F7B68" w:rsidP="000B0908">
      <w:pPr>
        <w:spacing w:after="150"/>
        <w:ind w:firstLine="720"/>
        <w:jc w:val="both"/>
        <w:rPr>
          <w:rFonts w:ascii="Times New Roman" w:hAnsi="Times New Roman" w:cs="Times New Roman"/>
          <w:color w:val="000000"/>
          <w:sz w:val="24"/>
          <w:szCs w:val="24"/>
          <w:lang w:val="sr-Latn-RS"/>
        </w:rPr>
      </w:pPr>
      <w:r>
        <w:rPr>
          <w:rFonts w:ascii="Times New Roman" w:hAnsi="Times New Roman" w:cs="Times New Roman"/>
          <w:b/>
          <w:bCs/>
          <w:sz w:val="24"/>
          <w:szCs w:val="24"/>
        </w:rPr>
        <w:t>Посебан циљ 4</w:t>
      </w:r>
      <w:r w:rsidRPr="001F7B68">
        <w:rPr>
          <w:rFonts w:ascii="Times New Roman" w:hAnsi="Times New Roman" w:cs="Times New Roman"/>
          <w:b/>
          <w:bCs/>
          <w:sz w:val="24"/>
          <w:szCs w:val="24"/>
        </w:rPr>
        <w:t>.</w:t>
      </w:r>
      <w:r w:rsidRPr="001F7B68">
        <w:rPr>
          <w:rFonts w:ascii="Times New Roman" w:hAnsi="Times New Roman" w:cs="Times New Roman"/>
          <w:b/>
          <w:sz w:val="24"/>
          <w:szCs w:val="24"/>
        </w:rPr>
        <w:t xml:space="preserve"> </w:t>
      </w:r>
      <w:r w:rsidRPr="001F7B68">
        <w:rPr>
          <w:rFonts w:ascii="Times New Roman" w:hAnsi="Times New Roman" w:cs="Times New Roman"/>
          <w:b/>
          <w:sz w:val="24"/>
          <w:szCs w:val="24"/>
          <w:lang w:val="sr-Cyrl-RS"/>
        </w:rPr>
        <w:t>Унапређење евиденције о повредама на раду</w:t>
      </w:r>
    </w:p>
    <w:p w14:paraId="739CFE51" w14:textId="77777777" w:rsidR="00C52D6B" w:rsidRPr="002419CE" w:rsidRDefault="00C52D6B" w:rsidP="00C52D6B">
      <w:pPr>
        <w:spacing w:after="150"/>
        <w:ind w:firstLine="720"/>
        <w:jc w:val="both"/>
        <w:rPr>
          <w:rFonts w:ascii="Times New Roman" w:hAnsi="Times New Roman" w:cs="Times New Roman"/>
          <w:b/>
          <w:color w:val="000000"/>
          <w:sz w:val="24"/>
          <w:szCs w:val="24"/>
          <w:lang w:val="sr-Latn-RS"/>
        </w:rPr>
      </w:pPr>
      <w:r w:rsidRPr="002419CE">
        <w:rPr>
          <w:rFonts w:ascii="Times New Roman" w:hAnsi="Times New Roman" w:cs="Times New Roman"/>
          <w:b/>
          <w:color w:val="000000"/>
          <w:sz w:val="24"/>
          <w:szCs w:val="24"/>
          <w:lang w:val="sr-Latn-RS"/>
        </w:rPr>
        <w:t>Мера 4.1. Увођење јединственог Регистра повреда на раду</w:t>
      </w:r>
    </w:p>
    <w:p w14:paraId="68D54E5A" w14:textId="4DA22410" w:rsidR="00C52D6B" w:rsidRDefault="00C52D6B" w:rsidP="00C52D6B">
      <w:pPr>
        <w:spacing w:after="150"/>
        <w:ind w:firstLine="720"/>
        <w:jc w:val="both"/>
        <w:rPr>
          <w:rFonts w:ascii="Times New Roman" w:hAnsi="Times New Roman" w:cs="Times New Roman"/>
          <w:color w:val="000000"/>
          <w:sz w:val="24"/>
          <w:szCs w:val="24"/>
          <w:lang w:val="sr-Latn-RS"/>
        </w:rPr>
      </w:pPr>
      <w:r w:rsidRPr="00C52D6B">
        <w:rPr>
          <w:rFonts w:ascii="Times New Roman" w:hAnsi="Times New Roman" w:cs="Times New Roman"/>
          <w:color w:val="000000"/>
          <w:sz w:val="24"/>
          <w:szCs w:val="24"/>
          <w:lang w:val="sr-Latn-RS"/>
        </w:rPr>
        <w:t>Како би се унапредиле евиденције о повредама на раду увешће се јединствени Регистар повреда на раду чији ће оквир бити утврђен на основу сагледаних надлежности и потреба заинтересованих страна.</w:t>
      </w:r>
    </w:p>
    <w:p w14:paraId="604E45DD" w14:textId="77777777" w:rsidR="002419CE" w:rsidRPr="00C52D6B" w:rsidRDefault="002419CE" w:rsidP="00C52D6B">
      <w:pPr>
        <w:spacing w:after="150"/>
        <w:ind w:firstLine="720"/>
        <w:jc w:val="both"/>
        <w:rPr>
          <w:rFonts w:ascii="Times New Roman" w:hAnsi="Times New Roman" w:cs="Times New Roman"/>
          <w:color w:val="000000"/>
          <w:sz w:val="24"/>
          <w:szCs w:val="24"/>
          <w:lang w:val="sr-Latn-RS"/>
        </w:rPr>
      </w:pPr>
    </w:p>
    <w:p w14:paraId="134A10D3" w14:textId="4F2D2B44" w:rsidR="002419CE" w:rsidRPr="00381E5F" w:rsidRDefault="002419CE" w:rsidP="00381E5F">
      <w:pPr>
        <w:spacing w:after="120" w:line="264" w:lineRule="auto"/>
        <w:ind w:firstLine="720"/>
        <w:jc w:val="both"/>
        <w:rPr>
          <w:rFonts w:ascii="Times New Roman" w:hAnsi="Times New Roman" w:cs="Times New Roman"/>
          <w:sz w:val="24"/>
          <w:szCs w:val="24"/>
        </w:rPr>
      </w:pPr>
      <w:bookmarkStart w:id="40" w:name="_Toc126746542"/>
      <w:r w:rsidRPr="002419CE">
        <w:rPr>
          <w:rFonts w:ascii="Times New Roman" w:hAnsi="Times New Roman" w:cs="Times New Roman"/>
          <w:b/>
          <w:color w:val="000000"/>
          <w:sz w:val="24"/>
          <w:szCs w:val="24"/>
          <w:lang w:val="sr-Latn-RS"/>
        </w:rPr>
        <w:t xml:space="preserve">8. </w:t>
      </w:r>
      <w:r w:rsidRPr="002419CE">
        <w:rPr>
          <w:rFonts w:ascii="Times New Roman" w:hAnsi="Times New Roman" w:cs="Times New Roman"/>
          <w:b/>
          <w:sz w:val="24"/>
          <w:szCs w:val="24"/>
          <w:lang w:val="sr-Cyrl-RS"/>
        </w:rPr>
        <w:t xml:space="preserve">СПРОВОЂЕЊЕ, ПРАЋЕЊЕ СПРОВОЂЕЊА, ИЗВЕШТАВАЊЕ И </w:t>
      </w:r>
      <w:r w:rsidRPr="00381E5F">
        <w:rPr>
          <w:rFonts w:ascii="Times New Roman" w:hAnsi="Times New Roman" w:cs="Times New Roman"/>
          <w:sz w:val="24"/>
          <w:szCs w:val="24"/>
        </w:rPr>
        <w:t>ВРЕДНОВАЊЕ</w:t>
      </w:r>
      <w:bookmarkEnd w:id="40"/>
    </w:p>
    <w:p w14:paraId="1B7436BC" w14:textId="77777777" w:rsidR="002419CE" w:rsidRPr="00381E5F" w:rsidRDefault="002419CE" w:rsidP="00381E5F">
      <w:pPr>
        <w:spacing w:after="120" w:line="264" w:lineRule="auto"/>
        <w:ind w:firstLine="720"/>
        <w:jc w:val="both"/>
        <w:rPr>
          <w:rFonts w:ascii="Times New Roman" w:hAnsi="Times New Roman" w:cs="Times New Roman"/>
          <w:sz w:val="24"/>
          <w:szCs w:val="24"/>
        </w:rPr>
      </w:pPr>
      <w:r w:rsidRPr="00381E5F">
        <w:rPr>
          <w:rFonts w:ascii="Times New Roman" w:hAnsi="Times New Roman" w:cs="Times New Roman"/>
          <w:sz w:val="24"/>
          <w:szCs w:val="24"/>
        </w:rPr>
        <w:t>Непосредну одговорност за управљање Стратегијом и Акционим планом има Министарство за рад, запошљавање, борачка и социјална питања – Управа за безбедност и здравље на раду, које обавља и стручне и административно-техничке послове за Радну групу.</w:t>
      </w:r>
    </w:p>
    <w:p w14:paraId="54649A18" w14:textId="77777777" w:rsidR="002419CE" w:rsidRPr="00381E5F" w:rsidRDefault="002419CE" w:rsidP="00381E5F">
      <w:pPr>
        <w:spacing w:after="120" w:line="264" w:lineRule="auto"/>
        <w:ind w:firstLine="720"/>
        <w:jc w:val="both"/>
        <w:rPr>
          <w:rFonts w:ascii="Times New Roman" w:hAnsi="Times New Roman" w:cs="Times New Roman"/>
          <w:sz w:val="24"/>
          <w:szCs w:val="24"/>
        </w:rPr>
      </w:pPr>
      <w:r w:rsidRPr="00381E5F">
        <w:rPr>
          <w:rFonts w:ascii="Times New Roman" w:hAnsi="Times New Roman" w:cs="Times New Roman"/>
          <w:sz w:val="24"/>
          <w:szCs w:val="24"/>
        </w:rPr>
        <w:t>Акциони план је саставни део документа јавне политике којим су дефинисане мере и активности које ће се предузети ради обезбеђења услова да се циљеви и мере Стратегије реализују, одређени носиоци и партнери за спровођење мера и активности, дефинисани њихови показатељи, као и рокови и средства за њихово спровођење.</w:t>
      </w:r>
    </w:p>
    <w:p w14:paraId="327875B8" w14:textId="77777777" w:rsidR="002419CE" w:rsidRPr="00381E5F" w:rsidRDefault="002419CE" w:rsidP="00381E5F">
      <w:pPr>
        <w:spacing w:after="120" w:line="264" w:lineRule="auto"/>
        <w:ind w:firstLine="720"/>
        <w:jc w:val="both"/>
        <w:rPr>
          <w:rFonts w:ascii="Times New Roman" w:hAnsi="Times New Roman" w:cs="Times New Roman"/>
          <w:sz w:val="24"/>
          <w:szCs w:val="24"/>
        </w:rPr>
      </w:pPr>
      <w:r w:rsidRPr="00381E5F">
        <w:rPr>
          <w:rFonts w:ascii="Times New Roman" w:hAnsi="Times New Roman" w:cs="Times New Roman"/>
          <w:sz w:val="24"/>
          <w:szCs w:val="24"/>
        </w:rPr>
        <w:t>Сви органи, односно институције које су препознате као партнери у спровођењу имају обавезу да писмено извештавају Министарство за рад, запошљавање, борачка и социјална питања – Управу за безбедност и здравље на раду на годишњем нивоу о спровођењу мера и активности.</w:t>
      </w:r>
    </w:p>
    <w:p w14:paraId="75C13581" w14:textId="583BF165" w:rsidR="001F7B68" w:rsidRDefault="002419CE" w:rsidP="00E3008F">
      <w:pPr>
        <w:spacing w:after="120" w:line="264" w:lineRule="auto"/>
        <w:ind w:firstLine="720"/>
        <w:jc w:val="both"/>
        <w:rPr>
          <w:rFonts w:ascii="Times New Roman" w:hAnsi="Times New Roman" w:cs="Times New Roman"/>
          <w:color w:val="000000"/>
          <w:sz w:val="24"/>
          <w:szCs w:val="24"/>
          <w:lang w:val="sr-Cyrl-RS"/>
        </w:rPr>
      </w:pPr>
      <w:r w:rsidRPr="00381E5F">
        <w:rPr>
          <w:rFonts w:ascii="Times New Roman" w:hAnsi="Times New Roman" w:cs="Times New Roman"/>
          <w:sz w:val="24"/>
          <w:szCs w:val="24"/>
        </w:rPr>
        <w:lastRenderedPageBreak/>
        <w:t>Извештај о резултатима у достизању утврђених циљева Стратегије биће припремљен на основу Еx-post анализа ефеката, а финални извештај биће поднет Влади на усвајање након истека важења Стратегије. Израда извештаја и достављање Влади вршиће се у складу са роковима утврђеним Законом о пл</w:t>
      </w:r>
      <w:r w:rsidR="005C04FB">
        <w:rPr>
          <w:rFonts w:ascii="Times New Roman" w:hAnsi="Times New Roman" w:cs="Times New Roman"/>
          <w:sz w:val="24"/>
          <w:szCs w:val="24"/>
        </w:rPr>
        <w:t>анском систему Републике Србије</w:t>
      </w:r>
      <w:r w:rsidRPr="00381E5F">
        <w:rPr>
          <w:rFonts w:ascii="Times New Roman" w:hAnsi="Times New Roman" w:cs="Times New Roman"/>
          <w:sz w:val="24"/>
          <w:szCs w:val="24"/>
        </w:rPr>
        <w:t xml:space="preserve">. Управа за безбедност и здравље на раду </w:t>
      </w:r>
      <w:r w:rsidRPr="002419CE">
        <w:rPr>
          <w:rFonts w:ascii="Times New Roman" w:hAnsi="Times New Roman" w:cs="Times New Roman"/>
          <w:color w:val="000000"/>
          <w:sz w:val="24"/>
          <w:szCs w:val="24"/>
          <w:lang w:val="sr-Cyrl-RS"/>
        </w:rPr>
        <w:t>прати спровођење Стратегије о чему обавештава Владу једанпут годишње и ако је то потребно предлаже измену Акционог плана.</w:t>
      </w:r>
    </w:p>
    <w:p w14:paraId="0EA88F27" w14:textId="77777777" w:rsidR="001A6EA6" w:rsidRPr="002419CE" w:rsidRDefault="001A6EA6" w:rsidP="00E3008F">
      <w:pPr>
        <w:spacing w:after="120" w:line="264" w:lineRule="auto"/>
        <w:ind w:firstLine="720"/>
        <w:jc w:val="both"/>
        <w:rPr>
          <w:rFonts w:ascii="Times New Roman" w:hAnsi="Times New Roman" w:cs="Times New Roman"/>
          <w:color w:val="000000"/>
          <w:sz w:val="24"/>
          <w:szCs w:val="24"/>
          <w:lang w:val="sr-Cyrl-RS"/>
        </w:rPr>
      </w:pPr>
    </w:p>
    <w:p w14:paraId="6A37A8D3" w14:textId="2B72F244" w:rsidR="002419CE" w:rsidRPr="002419CE" w:rsidRDefault="002419CE" w:rsidP="002419CE">
      <w:pPr>
        <w:spacing w:after="150"/>
        <w:ind w:firstLine="720"/>
        <w:jc w:val="both"/>
        <w:rPr>
          <w:rFonts w:ascii="Times New Roman" w:hAnsi="Times New Roman" w:cs="Times New Roman"/>
          <w:b/>
          <w:sz w:val="24"/>
          <w:szCs w:val="24"/>
          <w:lang w:val="sr-Cyrl-RS"/>
        </w:rPr>
      </w:pPr>
      <w:bookmarkStart w:id="41" w:name="_Toc126746543"/>
      <w:r w:rsidRPr="002419CE">
        <w:rPr>
          <w:rFonts w:ascii="Times New Roman" w:hAnsi="Times New Roman" w:cs="Times New Roman"/>
          <w:b/>
          <w:color w:val="000000"/>
          <w:sz w:val="24"/>
          <w:szCs w:val="24"/>
          <w:lang w:val="sr-Cyrl-RS"/>
        </w:rPr>
        <w:t xml:space="preserve">9. </w:t>
      </w:r>
      <w:r w:rsidRPr="002419CE">
        <w:rPr>
          <w:rFonts w:ascii="Times New Roman" w:hAnsi="Times New Roman" w:cs="Times New Roman"/>
          <w:b/>
          <w:sz w:val="24"/>
          <w:szCs w:val="24"/>
          <w:lang w:val="sr-Cyrl-RS"/>
        </w:rPr>
        <w:t>ПРОЦЕНА ФИНАНСИЈСКИХ СРЕДСТАВА ПОТРЕБНИХ ЗА СПРОВОЂЕЊЕ СТРАТЕГИЈЕ И АНАЛИЗА ФИНАНСИЈСКИХ ЕФЕКАТА</w:t>
      </w:r>
      <w:bookmarkEnd w:id="41"/>
    </w:p>
    <w:p w14:paraId="745497F1" w14:textId="77777777" w:rsidR="002419CE" w:rsidRPr="001579D6" w:rsidRDefault="002419CE" w:rsidP="00381E5F">
      <w:pPr>
        <w:spacing w:after="120" w:line="264" w:lineRule="auto"/>
        <w:ind w:firstLine="720"/>
        <w:jc w:val="both"/>
        <w:rPr>
          <w:rFonts w:ascii="Times New Roman" w:hAnsi="Times New Roman" w:cs="Times New Roman"/>
          <w:sz w:val="24"/>
          <w:szCs w:val="24"/>
        </w:rPr>
      </w:pPr>
      <w:r w:rsidRPr="007646F3">
        <w:rPr>
          <w:rFonts w:ascii="Times New Roman" w:hAnsi="Times New Roman" w:cs="Times New Roman"/>
          <w:sz w:val="24"/>
          <w:szCs w:val="24"/>
          <w:lang w:val="sr-Cyrl-RS"/>
        </w:rPr>
        <w:t xml:space="preserve">За реализацију општег циља, посебних циљева и мера предвиђених Стратегијом, </w:t>
      </w:r>
      <w:r w:rsidRPr="007646F3">
        <w:rPr>
          <w:rFonts w:ascii="Times New Roman" w:hAnsi="Times New Roman" w:cs="Times New Roman"/>
          <w:sz w:val="24"/>
          <w:szCs w:val="24"/>
        </w:rPr>
        <w:t xml:space="preserve">средства се обезбеђују у буџету Републике Србије, у складу са билансним могућностима </w:t>
      </w:r>
      <w:r w:rsidRPr="001579D6">
        <w:rPr>
          <w:rFonts w:ascii="Times New Roman" w:hAnsi="Times New Roman" w:cs="Times New Roman"/>
          <w:sz w:val="24"/>
          <w:szCs w:val="24"/>
        </w:rPr>
        <w:t>буџета Републике Србије.</w:t>
      </w:r>
    </w:p>
    <w:p w14:paraId="6C55EAF7" w14:textId="0C0048F2" w:rsidR="002419CE" w:rsidRPr="001579D6" w:rsidRDefault="002419CE" w:rsidP="00381E5F">
      <w:pPr>
        <w:spacing w:after="120" w:line="264" w:lineRule="auto"/>
        <w:ind w:firstLine="720"/>
        <w:jc w:val="both"/>
        <w:rPr>
          <w:rFonts w:ascii="Times New Roman" w:hAnsi="Times New Roman" w:cs="Times New Roman"/>
          <w:sz w:val="24"/>
          <w:szCs w:val="24"/>
          <w:lang w:val="sr-Cyrl-RS"/>
        </w:rPr>
      </w:pPr>
      <w:r w:rsidRPr="001579D6">
        <w:rPr>
          <w:rFonts w:ascii="Times New Roman" w:hAnsi="Times New Roman" w:cs="Times New Roman"/>
          <w:sz w:val="24"/>
          <w:szCs w:val="24"/>
        </w:rPr>
        <w:t xml:space="preserve">Процена финансијских средстава неопходних за реализацију посебних циљева, мера и активности вршена је од стране, предлагача Акционог плана (Министарство за рад, запошљавање, борачка и социјална питања) и носилаца појединачних активности из Акционог плана, </w:t>
      </w:r>
      <w:r w:rsidR="007646F3" w:rsidRPr="001579D6">
        <w:rPr>
          <w:rFonts w:ascii="Times New Roman" w:hAnsi="Times New Roman" w:cs="Times New Roman"/>
          <w:sz w:val="24"/>
          <w:szCs w:val="24"/>
        </w:rPr>
        <w:t>а у складу са планско-</w:t>
      </w:r>
      <w:r w:rsidRPr="001579D6">
        <w:rPr>
          <w:rFonts w:ascii="Times New Roman" w:hAnsi="Times New Roman" w:cs="Times New Roman"/>
          <w:sz w:val="24"/>
          <w:szCs w:val="24"/>
        </w:rPr>
        <w:t xml:space="preserve">буџетским процедурама. У том смислу, носиоци појединачних активности из Акционог плана извршили су оквирну прелиминарну процену трошкова ангажовања људских и других ресурса и потреба за реализацију планираних активности, које ће </w:t>
      </w:r>
      <w:r w:rsidRPr="001579D6">
        <w:rPr>
          <w:rFonts w:ascii="Times New Roman" w:hAnsi="Times New Roman" w:cs="Times New Roman"/>
          <w:sz w:val="24"/>
          <w:szCs w:val="24"/>
          <w:lang w:val="sr-Cyrl-RS"/>
        </w:rPr>
        <w:t xml:space="preserve">бити </w:t>
      </w:r>
      <w:r w:rsidRPr="001579D6">
        <w:rPr>
          <w:rFonts w:ascii="Times New Roman" w:hAnsi="Times New Roman" w:cs="Times New Roman"/>
          <w:sz w:val="24"/>
          <w:szCs w:val="24"/>
        </w:rPr>
        <w:t xml:space="preserve">унети у прописане ПФЕ обрасце о финансијским ефектима исказаних процењених оквирних трошкова на буџета, а у складу са </w:t>
      </w:r>
      <w:r w:rsidRPr="001579D6">
        <w:rPr>
          <w:rFonts w:ascii="Times New Roman" w:hAnsi="Times New Roman" w:cs="Times New Roman"/>
          <w:sz w:val="24"/>
          <w:szCs w:val="24"/>
          <w:lang w:val="sr-Cyrl-RS"/>
        </w:rPr>
        <w:t>Правилником о начину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 („Службени гласник РС”, број 32/15).</w:t>
      </w:r>
    </w:p>
    <w:p w14:paraId="3723EDA8" w14:textId="0EC331C4" w:rsidR="002419CE" w:rsidRPr="001579D6" w:rsidRDefault="002419CE" w:rsidP="00381E5F">
      <w:pPr>
        <w:spacing w:after="120" w:line="264" w:lineRule="auto"/>
        <w:ind w:firstLine="720"/>
        <w:jc w:val="both"/>
        <w:rPr>
          <w:rFonts w:ascii="Times New Roman" w:hAnsi="Times New Roman" w:cs="Times New Roman"/>
          <w:sz w:val="24"/>
          <w:szCs w:val="24"/>
          <w:lang w:val="sr-Cyrl-RS"/>
        </w:rPr>
      </w:pPr>
      <w:r w:rsidRPr="001579D6">
        <w:rPr>
          <w:rFonts w:ascii="Times New Roman" w:hAnsi="Times New Roman" w:cs="Times New Roman"/>
          <w:sz w:val="24"/>
          <w:szCs w:val="24"/>
          <w:lang w:val="sr-Cyrl-RS"/>
        </w:rPr>
        <w:t>Процена неопходних средстава вршена је по изворима средстава, најпре из буџета Републике Србије, као и извора из донаторских или других средстава за пружање финансијске помоћи из средстава ЕУ. При овоме је у ситуацијама када није било могуће проценити било</w:t>
      </w:r>
      <w:r w:rsidRPr="001579D6">
        <w:rPr>
          <w:rFonts w:ascii="Times New Roman" w:hAnsi="Times New Roman" w:cs="Times New Roman"/>
          <w:sz w:val="24"/>
          <w:szCs w:val="24"/>
        </w:rPr>
        <w:t xml:space="preserve"> износ или потенцијалног донатора, извршена само процена потребе обезбеђења донаторских средства, с тим да ће се у наредном периоду ближе дефинисати оквир потребних средстава или апликација према одређеним донаторима, односно другим изворима средстава, посебно у ситуацијама, када је за аплицирање у погледу </w:t>
      </w:r>
      <w:r w:rsidR="007646F3" w:rsidRPr="001579D6">
        <w:rPr>
          <w:rFonts w:ascii="Times New Roman" w:hAnsi="Times New Roman" w:cs="Times New Roman"/>
          <w:sz w:val="24"/>
          <w:szCs w:val="24"/>
          <w:lang w:val="sr-Cyrl-RS"/>
        </w:rPr>
        <w:t>д</w:t>
      </w:r>
      <w:r w:rsidRPr="001579D6">
        <w:rPr>
          <w:rFonts w:ascii="Times New Roman" w:hAnsi="Times New Roman" w:cs="Times New Roman"/>
          <w:sz w:val="24"/>
          <w:szCs w:val="24"/>
          <w:lang w:val="sr-Cyrl-RS"/>
        </w:rPr>
        <w:t>онаторских средстава претходно потребно израдити одређена истраживања, односно појединачне анализе или прикупљање других релевантних података из садржаја мера овог Акционог плана.</w:t>
      </w:r>
    </w:p>
    <w:p w14:paraId="79B42AB2" w14:textId="0C1EBCFA" w:rsidR="00CC19F8" w:rsidRPr="001579D6" w:rsidRDefault="002419CE" w:rsidP="00E3008F">
      <w:pPr>
        <w:spacing w:after="120" w:line="264" w:lineRule="auto"/>
        <w:ind w:firstLine="720"/>
        <w:jc w:val="both"/>
        <w:rPr>
          <w:rFonts w:ascii="Times New Roman" w:hAnsi="Times New Roman" w:cs="Times New Roman"/>
          <w:sz w:val="24"/>
          <w:szCs w:val="24"/>
        </w:rPr>
      </w:pPr>
      <w:r w:rsidRPr="001579D6">
        <w:rPr>
          <w:rFonts w:ascii="Times New Roman" w:hAnsi="Times New Roman" w:cs="Times New Roman"/>
          <w:sz w:val="24"/>
          <w:szCs w:val="24"/>
          <w:lang w:val="sr-Cyrl-RS"/>
        </w:rPr>
        <w:t>За спровођење овог акционог плана финансијска средства су планирана Законом о буџету Републике Србије за 2023. год</w:t>
      </w:r>
      <w:r w:rsidR="00700CE9" w:rsidRPr="001579D6">
        <w:rPr>
          <w:rFonts w:ascii="Times New Roman" w:hAnsi="Times New Roman" w:cs="Times New Roman"/>
          <w:sz w:val="24"/>
          <w:szCs w:val="24"/>
          <w:lang w:val="sr-Cyrl-RS"/>
        </w:rPr>
        <w:t>ину („Службени гласник РС”, бр.</w:t>
      </w:r>
      <w:r w:rsidRPr="001579D6">
        <w:rPr>
          <w:rFonts w:ascii="Times New Roman" w:hAnsi="Times New Roman" w:cs="Times New Roman"/>
          <w:sz w:val="24"/>
          <w:szCs w:val="24"/>
          <w:lang w:val="sr-Cyrl-RS"/>
        </w:rPr>
        <w:t xml:space="preserve"> 138/22</w:t>
      </w:r>
      <w:r w:rsidR="00700CE9" w:rsidRPr="001579D6">
        <w:rPr>
          <w:rFonts w:ascii="Times New Roman" w:hAnsi="Times New Roman" w:cs="Times New Roman"/>
          <w:sz w:val="24"/>
          <w:szCs w:val="24"/>
          <w:lang w:val="sr-Latn-RS"/>
        </w:rPr>
        <w:t xml:space="preserve"> </w:t>
      </w:r>
      <w:r w:rsidR="00700CE9" w:rsidRPr="001579D6">
        <w:rPr>
          <w:rFonts w:ascii="Times New Roman" w:hAnsi="Times New Roman" w:cs="Times New Roman"/>
          <w:sz w:val="24"/>
          <w:szCs w:val="24"/>
          <w:lang w:val="sr-Cyrl-RS"/>
        </w:rPr>
        <w:t>и 75/23</w:t>
      </w:r>
      <w:r w:rsidRPr="001579D6">
        <w:rPr>
          <w:rFonts w:ascii="Times New Roman" w:hAnsi="Times New Roman" w:cs="Times New Roman"/>
          <w:sz w:val="24"/>
          <w:szCs w:val="24"/>
          <w:lang w:val="sr-Cyrl-RS"/>
        </w:rPr>
        <w:t>). Средства су планирана у оквиру раздела надлежног Министарство за рад, запошљавање,</w:t>
      </w:r>
      <w:r w:rsidRPr="001579D6">
        <w:rPr>
          <w:rFonts w:ascii="Times New Roman" w:hAnsi="Times New Roman" w:cs="Times New Roman"/>
          <w:sz w:val="24"/>
          <w:szCs w:val="24"/>
        </w:rPr>
        <w:t xml:space="preserve"> борачка и социјална питања или других министарстава, односно државних органа који су носиоци појединачних активности из овог акционог плана. Укупно обезбеђена средства по наведеним програмима обухватају и средства за реализацију појединачних активности из овог акционог плана, исказана по одређеним појединачним активностима, које су груписане у оквиру појединих врста мера, која се крећу у оквиру дозвољених </w:t>
      </w:r>
      <w:r w:rsidRPr="001579D6">
        <w:rPr>
          <w:rFonts w:ascii="Times New Roman" w:hAnsi="Times New Roman" w:cs="Times New Roman"/>
          <w:sz w:val="24"/>
          <w:szCs w:val="24"/>
        </w:rPr>
        <w:lastRenderedPageBreak/>
        <w:t>вишегодишњих буџетских лимита које одређује Министарство финансија за све буџетске кориснике.</w:t>
      </w:r>
    </w:p>
    <w:p w14:paraId="12447028" w14:textId="0D085B12" w:rsidR="005D36C2" w:rsidRPr="001579D6" w:rsidRDefault="005D36C2" w:rsidP="00E3008F">
      <w:pPr>
        <w:spacing w:after="120" w:line="264" w:lineRule="auto"/>
        <w:ind w:firstLine="720"/>
        <w:jc w:val="both"/>
        <w:rPr>
          <w:rFonts w:ascii="Times New Roman" w:hAnsi="Times New Roman" w:cs="Times New Roman"/>
          <w:sz w:val="24"/>
          <w:szCs w:val="24"/>
        </w:rPr>
      </w:pPr>
    </w:p>
    <w:p w14:paraId="33660DBF" w14:textId="745DF9B3" w:rsidR="005D36C2" w:rsidRPr="001579D6" w:rsidRDefault="005D36C2" w:rsidP="005D36C2">
      <w:pPr>
        <w:spacing w:after="120" w:line="264" w:lineRule="auto"/>
        <w:ind w:firstLine="720"/>
        <w:jc w:val="both"/>
        <w:rPr>
          <w:rFonts w:ascii="Times New Roman" w:hAnsi="Times New Roman" w:cs="Times New Roman"/>
          <w:b/>
          <w:sz w:val="24"/>
          <w:szCs w:val="24"/>
        </w:rPr>
      </w:pPr>
      <w:r w:rsidRPr="001579D6">
        <w:rPr>
          <w:rFonts w:ascii="Times New Roman" w:hAnsi="Times New Roman" w:cs="Times New Roman"/>
          <w:b/>
          <w:sz w:val="24"/>
          <w:szCs w:val="24"/>
        </w:rPr>
        <w:t>10. ЗАВРШНЕ ОДРЕДБЕ</w:t>
      </w:r>
    </w:p>
    <w:p w14:paraId="060995EE" w14:textId="68F34E00" w:rsidR="005D36C2" w:rsidRPr="001579D6" w:rsidRDefault="005D36C2" w:rsidP="005D36C2">
      <w:pPr>
        <w:spacing w:after="120" w:line="264" w:lineRule="auto"/>
        <w:ind w:firstLine="720"/>
        <w:jc w:val="both"/>
        <w:rPr>
          <w:rFonts w:ascii="Times New Roman" w:hAnsi="Times New Roman" w:cs="Times New Roman"/>
          <w:sz w:val="24"/>
          <w:szCs w:val="24"/>
        </w:rPr>
      </w:pPr>
      <w:r w:rsidRPr="001579D6">
        <w:rPr>
          <w:rFonts w:ascii="Times New Roman" w:hAnsi="Times New Roman" w:cs="Times New Roman"/>
          <w:sz w:val="24"/>
          <w:szCs w:val="24"/>
        </w:rPr>
        <w:t>Ову стратегију, након усвајања, објавити на интернет страници Владе, на Порталу е-Управе, на интернет страници Министарства за</w:t>
      </w:r>
      <w:r w:rsidRPr="001579D6">
        <w:rPr>
          <w:rFonts w:ascii="Times New Roman" w:hAnsi="Times New Roman" w:cs="Times New Roman"/>
          <w:sz w:val="24"/>
          <w:szCs w:val="24"/>
          <w:lang w:val="sr-Cyrl-RS"/>
        </w:rPr>
        <w:t xml:space="preserve"> рад, запошљавање, борачка и социјална питања</w:t>
      </w:r>
      <w:r w:rsidRPr="001579D6">
        <w:rPr>
          <w:rFonts w:ascii="Times New Roman" w:hAnsi="Times New Roman" w:cs="Times New Roman"/>
          <w:sz w:val="24"/>
          <w:szCs w:val="24"/>
        </w:rPr>
        <w:t xml:space="preserve"> у року од седам радних дана од дана усвајања.</w:t>
      </w:r>
    </w:p>
    <w:p w14:paraId="38C97040" w14:textId="77777777" w:rsidR="005D36C2" w:rsidRPr="001579D6" w:rsidRDefault="005D36C2" w:rsidP="005D36C2">
      <w:pPr>
        <w:spacing w:after="120" w:line="264" w:lineRule="auto"/>
        <w:ind w:firstLine="720"/>
        <w:jc w:val="both"/>
        <w:rPr>
          <w:rFonts w:ascii="Times New Roman" w:hAnsi="Times New Roman" w:cs="Times New Roman"/>
          <w:sz w:val="24"/>
          <w:szCs w:val="24"/>
        </w:rPr>
      </w:pPr>
      <w:r w:rsidRPr="001579D6">
        <w:rPr>
          <w:rFonts w:ascii="Times New Roman" w:hAnsi="Times New Roman" w:cs="Times New Roman"/>
          <w:sz w:val="24"/>
          <w:szCs w:val="24"/>
        </w:rPr>
        <w:t>Ову стратегију објавити у „Службеном гласнику Републике Србије”.</w:t>
      </w:r>
    </w:p>
    <w:p w14:paraId="149A6A87" w14:textId="77777777" w:rsidR="005D36C2" w:rsidRPr="00B1674E" w:rsidRDefault="005D36C2" w:rsidP="00E3008F">
      <w:pPr>
        <w:spacing w:after="120" w:line="264" w:lineRule="auto"/>
        <w:ind w:firstLine="720"/>
        <w:jc w:val="both"/>
        <w:rPr>
          <w:rFonts w:ascii="Times New Roman" w:hAnsi="Times New Roman" w:cs="Times New Roman"/>
          <w:color w:val="FF0000"/>
          <w:sz w:val="24"/>
          <w:szCs w:val="24"/>
        </w:rPr>
      </w:pPr>
    </w:p>
    <w:sectPr w:rsidR="005D36C2" w:rsidRPr="00B1674E" w:rsidSect="005E4823">
      <w:headerReference w:type="default" r:id="rId16"/>
      <w:footerReference w:type="even" r:id="rId17"/>
      <w:footerReference w:type="default" r:id="rId18"/>
      <w:headerReference w:type="first" r:id="rId19"/>
      <w:footerReference w:type="first" r:id="rId20"/>
      <w:pgSz w:w="11906" w:h="16838" w:code="9"/>
      <w:pgMar w:top="1260" w:right="1440" w:bottom="1350" w:left="1440" w:header="720"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5AD3B" w14:textId="77777777" w:rsidR="00B869E5" w:rsidRDefault="00B869E5" w:rsidP="007022B1">
      <w:pPr>
        <w:spacing w:after="0" w:line="240" w:lineRule="auto"/>
      </w:pPr>
      <w:r>
        <w:separator/>
      </w:r>
    </w:p>
  </w:endnote>
  <w:endnote w:type="continuationSeparator" w:id="0">
    <w:p w14:paraId="01D7B046" w14:textId="77777777" w:rsidR="00B869E5" w:rsidRDefault="00B869E5" w:rsidP="00702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ova">
    <w:panose1 w:val="020B0504020202020204"/>
    <w:charset w:val="00"/>
    <w:family w:val="swiss"/>
    <w:pitch w:val="variable"/>
    <w:sig w:usb0="2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D633C" w14:textId="77777777" w:rsidR="00125B70" w:rsidRDefault="00125B70" w:rsidP="00DF5A0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F7546" w14:textId="77777777" w:rsidR="00125B70" w:rsidRDefault="00125B70" w:rsidP="00DF5A0D">
    <w:pPr>
      <w:pStyle w:val="Footer"/>
      <w:tabs>
        <w:tab w:val="clear" w:pos="4680"/>
        <w:tab w:val="clear" w:pos="9360"/>
      </w:tabs>
      <w:jc w:val="center"/>
      <w:rPr>
        <w:rFonts w:ascii="Times New Roman" w:hAnsi="Times New Roman" w:cs="Times New Roman"/>
        <w:caps/>
        <w:noProof/>
        <w:sz w:val="24"/>
        <w:szCs w:val="24"/>
        <w:lang w:val="sr-Cyrl-RS"/>
      </w:rPr>
    </w:pPr>
  </w:p>
  <w:p w14:paraId="2F82E442" w14:textId="77777777" w:rsidR="00125B70" w:rsidRDefault="00125B70" w:rsidP="00DF5A0D">
    <w:pPr>
      <w:pStyle w:val="Footer"/>
      <w:tabs>
        <w:tab w:val="clear" w:pos="4680"/>
        <w:tab w:val="clear" w:pos="9360"/>
      </w:tabs>
      <w:jc w:val="center"/>
      <w:rPr>
        <w:rFonts w:ascii="Times New Roman" w:hAnsi="Times New Roman" w:cs="Times New Roman"/>
        <w:caps/>
        <w:noProof/>
        <w:sz w:val="24"/>
        <w:szCs w:val="24"/>
        <w:lang w:val="sr-Cyrl-RS"/>
      </w:rPr>
    </w:pPr>
  </w:p>
  <w:p w14:paraId="4B7B8C0C" w14:textId="77777777" w:rsidR="00125B70" w:rsidRPr="009B4329" w:rsidRDefault="00125B70" w:rsidP="00DF5A0D">
    <w:pPr>
      <w:pStyle w:val="Footer"/>
      <w:tabs>
        <w:tab w:val="clear" w:pos="4680"/>
        <w:tab w:val="clear" w:pos="9360"/>
      </w:tabs>
      <w:jc w:val="center"/>
      <w:rPr>
        <w:rFonts w:ascii="Times New Roman" w:hAnsi="Times New Roman" w:cs="Times New Roman"/>
        <w:caps/>
        <w:noProof/>
        <w:sz w:val="24"/>
        <w:szCs w:val="24"/>
        <w:lang w:val="sr-Cyrl-RS"/>
      </w:rPr>
    </w:pPr>
  </w:p>
  <w:p w14:paraId="5DB87A8E" w14:textId="77777777" w:rsidR="00125B70" w:rsidRPr="005A620D" w:rsidRDefault="00125B70" w:rsidP="00DF5A0D">
    <w:pPr>
      <w:pStyle w:val="Footer"/>
      <w:ind w:left="108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549C3" w14:textId="77777777" w:rsidR="00125B70" w:rsidRDefault="00125B70">
    <w:pPr>
      <w:pStyle w:val="Footer"/>
      <w:jc w:val="center"/>
    </w:pPr>
  </w:p>
  <w:p w14:paraId="7ADB9F78" w14:textId="77777777" w:rsidR="00125B70" w:rsidRDefault="00125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7C327" w14:textId="77777777" w:rsidR="00B869E5" w:rsidRDefault="00B869E5" w:rsidP="007022B1">
      <w:pPr>
        <w:spacing w:after="0" w:line="240" w:lineRule="auto"/>
      </w:pPr>
      <w:r>
        <w:separator/>
      </w:r>
    </w:p>
  </w:footnote>
  <w:footnote w:type="continuationSeparator" w:id="0">
    <w:p w14:paraId="27F8A94B" w14:textId="77777777" w:rsidR="00B869E5" w:rsidRDefault="00B869E5" w:rsidP="007022B1">
      <w:pPr>
        <w:spacing w:after="0" w:line="240" w:lineRule="auto"/>
      </w:pPr>
      <w:r>
        <w:continuationSeparator/>
      </w:r>
    </w:p>
  </w:footnote>
  <w:footnote w:id="1">
    <w:p w14:paraId="21BAAC8A" w14:textId="77777777" w:rsidR="00125B70" w:rsidRPr="001579D6" w:rsidRDefault="00125B70" w:rsidP="00A44702">
      <w:pPr>
        <w:pStyle w:val="FootnoteText"/>
        <w:jc w:val="both"/>
        <w:rPr>
          <w:rFonts w:ascii="Times New Roman" w:hAnsi="Times New Roman" w:cs="Times New Roman"/>
        </w:rPr>
      </w:pPr>
      <w:r w:rsidRPr="00A44702">
        <w:rPr>
          <w:rStyle w:val="FootnoteReference"/>
          <w:rFonts w:ascii="Times New Roman" w:hAnsi="Times New Roman" w:cs="Times New Roman"/>
        </w:rPr>
        <w:footnoteRef/>
      </w:r>
      <w:r w:rsidRPr="001579D6">
        <w:rPr>
          <w:rFonts w:ascii="Times New Roman" w:hAnsi="Times New Roman" w:cs="Times New Roman"/>
        </w:rPr>
        <w:t xml:space="preserve"> Анализа стратешких докумената из области безбедности и здравља на раду чланица ЕУ доступна је у документу </w:t>
      </w:r>
      <w:hyperlink r:id="rId1" w:history="1">
        <w:r w:rsidRPr="001579D6">
          <w:rPr>
            <w:rFonts w:ascii="Times New Roman" w:hAnsi="Times New Roman" w:cs="Times New Roman"/>
          </w:rPr>
          <w:t>National Strategies in the field of Occupational Safety and Health in the EU</w:t>
        </w:r>
      </w:hyperlink>
    </w:p>
    <w:p w14:paraId="1179F31E" w14:textId="77777777" w:rsidR="00125B70" w:rsidRPr="00E620B2" w:rsidRDefault="00B869E5" w:rsidP="00A44702">
      <w:pPr>
        <w:pStyle w:val="FootnoteText"/>
        <w:jc w:val="both"/>
        <w:rPr>
          <w:rFonts w:ascii="Arial Nova" w:hAnsi="Arial Nova"/>
        </w:rPr>
      </w:pPr>
      <w:hyperlink r:id="rId2" w:history="1">
        <w:r w:rsidR="00125B70" w:rsidRPr="001579D6">
          <w:rPr>
            <w:rStyle w:val="Hyperlink"/>
            <w:rFonts w:ascii="Times New Roman" w:hAnsi="Times New Roman" w:cs="Times New Roman"/>
          </w:rPr>
          <w:t>https://osha.europa.eu/en/file/108414/download?token=2yF1UnxW</w:t>
        </w:r>
      </w:hyperlink>
      <w:r w:rsidR="00125B70" w:rsidRPr="001579D6">
        <w:rPr>
          <w:rFonts w:ascii="Times New Roman" w:hAnsi="Times New Roman" w:cs="Times New Roman"/>
        </w:rPr>
        <w:t xml:space="preserve">. </w:t>
      </w:r>
    </w:p>
  </w:footnote>
  <w:footnote w:id="2">
    <w:p w14:paraId="0E70763B" w14:textId="73D874AA" w:rsidR="00125B70" w:rsidRPr="001579D6" w:rsidRDefault="00125B70" w:rsidP="00A44702">
      <w:pPr>
        <w:pStyle w:val="FootnoteText"/>
        <w:jc w:val="both"/>
        <w:rPr>
          <w:rFonts w:ascii="Times New Roman" w:hAnsi="Times New Roman" w:cs="Times New Roman"/>
        </w:rPr>
      </w:pPr>
      <w:r w:rsidRPr="001579D6">
        <w:rPr>
          <w:rStyle w:val="FootnoteReference"/>
          <w:rFonts w:ascii="Times New Roman" w:hAnsi="Times New Roman" w:cs="Times New Roman"/>
        </w:rPr>
        <w:footnoteRef/>
      </w:r>
      <w:r w:rsidRPr="001579D6">
        <w:rPr>
          <w:rFonts w:ascii="Times New Roman" w:hAnsi="Times New Roman" w:cs="Times New Roman"/>
        </w:rPr>
        <w:t xml:space="preserve"> Ex post анализа </w:t>
      </w:r>
    </w:p>
  </w:footnote>
  <w:footnote w:id="3">
    <w:p w14:paraId="0B746EFB" w14:textId="77777777" w:rsidR="00125B70" w:rsidRPr="00A44702" w:rsidRDefault="00125B70" w:rsidP="00A44702">
      <w:pPr>
        <w:pStyle w:val="FootnoteText"/>
        <w:jc w:val="both"/>
        <w:rPr>
          <w:rFonts w:ascii="Times New Roman" w:hAnsi="Times New Roman" w:cs="Times New Roman"/>
        </w:rPr>
      </w:pPr>
      <w:r w:rsidRPr="001579D6">
        <w:rPr>
          <w:rStyle w:val="FootnoteReference"/>
          <w:rFonts w:ascii="Times New Roman" w:hAnsi="Times New Roman" w:cs="Times New Roman"/>
        </w:rPr>
        <w:footnoteRef/>
      </w:r>
      <w:r w:rsidRPr="001579D6">
        <w:rPr>
          <w:rFonts w:ascii="Times New Roman" w:hAnsi="Times New Roman" w:cs="Times New Roman"/>
        </w:rPr>
        <w:t xml:space="preserve">  Анализа стратешких докумената из области безбедности и здравља на раду чланица ЕУ доступна је на </w:t>
      </w:r>
      <w:hyperlink r:id="rId3" w:history="1">
        <w:r w:rsidRPr="001579D6">
          <w:rPr>
            <w:rFonts w:ascii="Times New Roman" w:hAnsi="Times New Roman" w:cs="Times New Roman"/>
          </w:rPr>
          <w:t>National Strategies in the field of Occupational Safety and Health in the EU. (europa.eu)</w:t>
        </w:r>
      </w:hyperlink>
    </w:p>
  </w:footnote>
  <w:footnote w:id="4">
    <w:p w14:paraId="0E9E8A29" w14:textId="77777777" w:rsidR="00125B70" w:rsidRPr="001579D6" w:rsidRDefault="00125B70" w:rsidP="00D849AA">
      <w:pPr>
        <w:pStyle w:val="FootnoteText"/>
        <w:rPr>
          <w:rFonts w:ascii="Times New Roman" w:hAnsi="Times New Roman" w:cs="Times New Roman"/>
        </w:rPr>
      </w:pPr>
      <w:r w:rsidRPr="001579D6">
        <w:rPr>
          <w:rStyle w:val="FootnoteReference"/>
          <w:rFonts w:ascii="Times New Roman" w:hAnsi="Times New Roman" w:cs="Times New Roman"/>
        </w:rPr>
        <w:footnoteRef/>
      </w:r>
      <w:r w:rsidRPr="001579D6">
        <w:rPr>
          <w:rFonts w:ascii="Times New Roman" w:hAnsi="Times New Roman" w:cs="Times New Roman"/>
        </w:rPr>
        <w:t>Детаљан преглед мера и активности дат је у ex post Анализи.</w:t>
      </w:r>
    </w:p>
  </w:footnote>
  <w:footnote w:id="5">
    <w:p w14:paraId="73270442" w14:textId="77777777" w:rsidR="00125B70" w:rsidRPr="00E620B2" w:rsidRDefault="00125B70" w:rsidP="00D849AA">
      <w:pPr>
        <w:pStyle w:val="FootnoteText"/>
        <w:rPr>
          <w:rFonts w:ascii="Arial Nova" w:hAnsi="Arial Nova"/>
        </w:rPr>
      </w:pPr>
      <w:r w:rsidRPr="00E620B2">
        <w:rPr>
          <w:rStyle w:val="FootnoteReference"/>
          <w:rFonts w:ascii="Arial Nova" w:hAnsi="Arial Nova" w:cs="Calibri"/>
        </w:rPr>
        <w:footnoteRef/>
      </w:r>
      <w:r w:rsidRPr="00E620B2">
        <w:rPr>
          <w:rFonts w:ascii="Arial Nova" w:hAnsi="Arial Nova" w:cs="Calibri"/>
        </w:rPr>
        <w:t xml:space="preserve"> </w:t>
      </w:r>
      <w:hyperlink r:id="rId4" w:history="1">
        <w:r w:rsidRPr="001579D6">
          <w:rPr>
            <w:rStyle w:val="Hyperlink"/>
            <w:rFonts w:ascii="Times New Roman" w:hAnsi="Times New Roman" w:cs="Times New Roman"/>
          </w:rPr>
          <w:t>http://www.pravno-informacioni-sistem.rs/SlGlasnikPortal/eli/rep/sgrs/vlada/strategija/2018/61/1/reg</w:t>
        </w:r>
      </w:hyperlink>
      <w:r w:rsidRPr="00E620B2">
        <w:rPr>
          <w:rFonts w:ascii="Arial Nova" w:hAnsi="Arial Nova" w:cs="Calibri"/>
          <w:lang w:val="sr-Cyrl-RS"/>
        </w:rPr>
        <w:t xml:space="preserve"> </w:t>
      </w:r>
    </w:p>
  </w:footnote>
  <w:footnote w:id="6">
    <w:p w14:paraId="0D56A237" w14:textId="77777777" w:rsidR="00125B70" w:rsidRPr="00E87BBA" w:rsidRDefault="00125B70" w:rsidP="00E55287">
      <w:pPr>
        <w:pStyle w:val="FootnoteText"/>
        <w:jc w:val="both"/>
        <w:rPr>
          <w:rFonts w:ascii="Times New Roman" w:hAnsi="Times New Roman" w:cs="Times New Roman"/>
          <w:lang w:val="sr-Cyrl-RS"/>
        </w:rPr>
      </w:pPr>
      <w:r w:rsidRPr="00E620B2">
        <w:rPr>
          <w:rStyle w:val="FootnoteReference"/>
          <w:rFonts w:ascii="Arial Nova" w:hAnsi="Arial Nova"/>
          <w:lang w:val="sr-Cyrl-RS"/>
        </w:rPr>
        <w:footnoteRef/>
      </w:r>
      <w:r w:rsidRPr="00E620B2">
        <w:rPr>
          <w:rFonts w:ascii="Arial Nova" w:hAnsi="Arial Nova"/>
          <w:lang w:val="sr-Cyrl-RS"/>
        </w:rPr>
        <w:t xml:space="preserve"> </w:t>
      </w:r>
      <w:r w:rsidRPr="001579D6">
        <w:rPr>
          <w:rFonts w:ascii="Times New Roman" w:hAnsi="Times New Roman" w:cs="Times New Roman"/>
          <w:lang w:val="sr-Cyrl-RS"/>
        </w:rPr>
        <w:t>Уредба о превентивним мерама за безбедан и здрав рад при подземној и површинској експлоатацији минералних сировина: 65/10-3, 159/20-20, Правилник о превентивним мерама за безбедан и здрав рад за спречавање појаве и ширења епидемије заразне болести: 94/20-5, Правилник о условима за издавање лиценци за обављање послова у области безбедности и здравља на раду: 16/18-17, 5/22-3, Правилник о превентивним мерама за безбедан и здрав рад при излагању електромагнетском пољу: 111/15-38, 130/21-145, Правилник о програму и начину полагања стручног испита за обављање послова безбедности и здравља на раду и послова одговорног лица: 111/13-5, 57/14-46, 126/14-47, 111/15-49, 113/17-192 (др. закон), 11/19-3, Правилник о превентивним мерама за безбедан и здрав рад при излагању вештачким оптичким зрачењима: 120/12-186, 29/13 (исправка), 130/21-145, Правилник о превентивним мерама за безбедан и здрав рад при излагању буци: 96/11-10, 78/15-24, 93/19-270, Правилник о превентивним мерама за безбедан и здрав рад при излагању вибрацијама: 93/11-30, 86/19-155, Правилник о превентивним мерама за безбедан и здрав рад при излагању биолошким штетностима: 96/10-56, 115/20-46, Правилник о превентивним мерама за безбедан и здрав рад при излагању хемијским материјама: 106/09-13, 117/17-20, 107/21-43, Правилник о превентивним мерама за безбедан и здрав рад при коришћењу опреме за рад са екраном: 106/09-10, 93/13-110, 86/19-155, Правилник о превентивним мерама за безбедан и здрав рад при коришћењу опреме за рад: 23/09-24, 123/12-85, 102/15-33, 101/18-8, 130/21-144, Правилник о превентивним мерама за безбедан и здрав рад на радном месту: 21/09-71, 1/19-27, Правилник о садржају и начину издавања обрасца извештаја о повреди на раду и професионалном обољењу: 72/06-30, 84/06-44 (исправка), 4/16-95, 106/18-18, 14/19-11, Правилник о начину и поступку процене ризика на радном месту и у радној околини: 72/06-26, 84/06-44 (исправка), 30/10-178, 102/15-33, Правилник о заштити на раду при изради експлозива и барута и манипулисању експлозивима и барутима: СФРЈ 55/1969-1405, РС 109/21-61, Уредба о безбедности и здрављу на раду на привременим или покретним градилиштима: 14/09-48, 95/10-9, 98/18-8.</w:t>
      </w:r>
    </w:p>
  </w:footnote>
  <w:footnote w:id="7">
    <w:p w14:paraId="737658B3" w14:textId="77777777" w:rsidR="00125B70" w:rsidRPr="001579D6" w:rsidRDefault="00125B70" w:rsidP="00E87BBA">
      <w:pPr>
        <w:pStyle w:val="FootnoteText"/>
        <w:rPr>
          <w:rFonts w:ascii="Times New Roman" w:hAnsi="Times New Roman" w:cs="Times New Roman"/>
        </w:rPr>
      </w:pPr>
      <w:r w:rsidRPr="001579D6">
        <w:rPr>
          <w:rFonts w:ascii="Times New Roman" w:hAnsi="Times New Roman" w:cs="Times New Roman"/>
          <w:color w:val="000000"/>
          <w:vertAlign w:val="superscript"/>
          <w:lang w:val="sr-Cyrl-RS"/>
        </w:rPr>
        <w:footnoteRef/>
      </w:r>
      <w:r w:rsidRPr="001579D6">
        <w:rPr>
          <w:rFonts w:ascii="Times New Roman" w:hAnsi="Times New Roman" w:cs="Times New Roman"/>
          <w:color w:val="000000"/>
          <w:lang w:val="sr-Cyrl-RS"/>
        </w:rPr>
        <w:t xml:space="preserve"> Списак транспонованих прописа и Директива дат је у прилогу.</w:t>
      </w:r>
    </w:p>
  </w:footnote>
  <w:footnote w:id="8">
    <w:p w14:paraId="47EF01B5" w14:textId="77777777" w:rsidR="00125B70" w:rsidRPr="00E620B2" w:rsidRDefault="00125B70" w:rsidP="001374C9">
      <w:pPr>
        <w:pStyle w:val="FootnoteText"/>
        <w:rPr>
          <w:rFonts w:ascii="Arial Nova" w:hAnsi="Arial Nova"/>
        </w:rPr>
      </w:pPr>
      <w:r w:rsidRPr="00E620B2">
        <w:rPr>
          <w:rStyle w:val="FootnoteReference"/>
          <w:rFonts w:ascii="Arial Nova" w:hAnsi="Arial Nova"/>
        </w:rPr>
        <w:footnoteRef/>
      </w:r>
      <w:r w:rsidRPr="00E620B2">
        <w:rPr>
          <w:rFonts w:ascii="Arial Nova" w:hAnsi="Arial Nova"/>
        </w:rPr>
        <w:t xml:space="preserve"> </w:t>
      </w:r>
      <w:r w:rsidRPr="001579D6">
        <w:rPr>
          <w:rFonts w:ascii="Times New Roman" w:hAnsi="Times New Roman" w:cs="Times New Roman"/>
        </w:rPr>
        <w:t>О правном оквиру и другим аспектима организације у Србији в. Булат (2018).</w:t>
      </w:r>
    </w:p>
  </w:footnote>
  <w:footnote w:id="9">
    <w:p w14:paraId="6DED67B0" w14:textId="77777777" w:rsidR="00125B70" w:rsidRPr="001579D6" w:rsidRDefault="00125B70" w:rsidP="00EC5D47">
      <w:pPr>
        <w:pStyle w:val="FootnoteText"/>
        <w:jc w:val="both"/>
        <w:rPr>
          <w:rFonts w:ascii="Times New Roman" w:hAnsi="Times New Roman" w:cs="Times New Roman"/>
          <w:lang w:val="sr-Cyrl-RS"/>
        </w:rPr>
      </w:pPr>
      <w:r w:rsidRPr="00E620B2">
        <w:rPr>
          <w:rStyle w:val="FootnoteReference"/>
          <w:rFonts w:ascii="Arial Nova" w:hAnsi="Arial Nova"/>
          <w:lang w:val="sr-Cyrl-RS"/>
        </w:rPr>
        <w:footnoteRef/>
      </w:r>
      <w:r w:rsidRPr="00E620B2">
        <w:rPr>
          <w:rFonts w:ascii="Arial Nova" w:hAnsi="Arial Nova"/>
          <w:lang w:val="sr-Cyrl-RS"/>
        </w:rPr>
        <w:t xml:space="preserve"> </w:t>
      </w:r>
      <w:r w:rsidRPr="001579D6">
        <w:rPr>
          <w:rFonts w:ascii="Times New Roman" w:hAnsi="Times New Roman" w:cs="Times New Roman"/>
          <w:lang w:val="sr-Cyrl-RS"/>
        </w:rPr>
        <w:t>Повредом на раду, која је дефинисана чланом 22. Закона о пензијском и инвалидском осигурању сматра се повреда осигураника која се догоди у просторној, временској и узрочној 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 У случају када се догоди тешка, смртна или колективна повреда на раду или повреда због које запослени није способан за рад дуже од три узастопна радна дана, послодавац је дужан да исту пријави надлежној инспекцији рада и надлежном органу унутрашњих послова најкасније у року од 24 часа, од њеног настанка.</w:t>
      </w:r>
    </w:p>
  </w:footnote>
  <w:footnote w:id="10">
    <w:p w14:paraId="47AFC585" w14:textId="77777777" w:rsidR="00125B70" w:rsidRPr="00AD60B6" w:rsidRDefault="00125B70" w:rsidP="00EC5D47">
      <w:pPr>
        <w:spacing w:after="0" w:line="240" w:lineRule="auto"/>
        <w:jc w:val="both"/>
        <w:rPr>
          <w:rFonts w:ascii="Times New Roman" w:hAnsi="Times New Roman" w:cs="Times New Roman"/>
          <w:sz w:val="20"/>
          <w:szCs w:val="20"/>
          <w:lang w:val="sr-Cyrl-RS"/>
        </w:rPr>
      </w:pPr>
      <w:r w:rsidRPr="001579D6">
        <w:rPr>
          <w:rStyle w:val="FootnoteReference"/>
          <w:rFonts w:ascii="Times New Roman" w:hAnsi="Times New Roman" w:cs="Times New Roman"/>
          <w:color w:val="00B050"/>
          <w:sz w:val="20"/>
          <w:szCs w:val="20"/>
        </w:rPr>
        <w:footnoteRef/>
      </w:r>
      <w:r w:rsidRPr="001579D6">
        <w:rPr>
          <w:rFonts w:ascii="Times New Roman" w:hAnsi="Times New Roman" w:cs="Times New Roman"/>
          <w:color w:val="00B050"/>
          <w:sz w:val="20"/>
          <w:szCs w:val="20"/>
        </w:rPr>
        <w:t xml:space="preserve"> </w:t>
      </w:r>
      <w:r w:rsidRPr="001579D6">
        <w:rPr>
          <w:rFonts w:ascii="Times New Roman" w:hAnsi="Times New Roman" w:cs="Times New Roman"/>
          <w:sz w:val="20"/>
          <w:szCs w:val="20"/>
          <w:lang w:val="sr-Cyrl-RS"/>
        </w:rPr>
        <w:t xml:space="preserve">Преглед методологије доступан је на </w:t>
      </w:r>
      <w:hyperlink r:id="rId5" w:history="1">
        <w:r w:rsidRPr="001579D6">
          <w:rPr>
            <w:rStyle w:val="Hyperlink"/>
            <w:rFonts w:ascii="Times New Roman" w:hAnsi="Times New Roman" w:cs="Times New Roman"/>
            <w:sz w:val="20"/>
            <w:szCs w:val="20"/>
          </w:rPr>
          <w:t>https://ec.europa.eu/eurostat/web/products-manuals-and-guidelines/-/KS-RA-12-102</w:t>
        </w:r>
      </w:hyperlink>
      <w:r w:rsidRPr="001579D6">
        <w:rPr>
          <w:rFonts w:ascii="Times New Roman" w:hAnsi="Times New Roman" w:cs="Times New Roman"/>
          <w:sz w:val="20"/>
          <w:szCs w:val="20"/>
          <w:lang w:val="sr-Cyrl-RS"/>
        </w:rPr>
        <w:t>.</w:t>
      </w:r>
      <w:r w:rsidRPr="001579D6">
        <w:rPr>
          <w:rFonts w:ascii="Times New Roman" w:hAnsi="Times New Roman" w:cs="Times New Roman"/>
          <w:sz w:val="20"/>
          <w:szCs w:val="20"/>
        </w:rPr>
        <w:t xml:space="preserve"> </w:t>
      </w:r>
      <w:r w:rsidRPr="001579D6">
        <w:rPr>
          <w:rFonts w:ascii="Times New Roman" w:hAnsi="Times New Roman" w:cs="Times New Roman"/>
          <w:sz w:val="20"/>
          <w:szCs w:val="20"/>
          <w:lang w:val="sr-Cyrl-RS"/>
        </w:rPr>
        <w:t>Претходни приступ евиденције о повредама на раду у Републици Србији није вођена према Европској методологији повреда на раду није било могуће обезбедити потпуну упоредивост података.</w:t>
      </w:r>
      <w:r w:rsidRPr="00AD60B6">
        <w:rPr>
          <w:rFonts w:ascii="Times New Roman" w:hAnsi="Times New Roman" w:cs="Times New Roman"/>
          <w:sz w:val="20"/>
          <w:szCs w:val="20"/>
          <w:lang w:val="sr-Cyrl-RS"/>
        </w:rPr>
        <w:t xml:space="preserve"> </w:t>
      </w:r>
    </w:p>
  </w:footnote>
  <w:footnote w:id="11">
    <w:p w14:paraId="3D395F73" w14:textId="77777777" w:rsidR="00125B70" w:rsidRPr="00AD60B6" w:rsidRDefault="00125B70" w:rsidP="00EC5D47">
      <w:pPr>
        <w:pStyle w:val="FootnoteText"/>
        <w:jc w:val="both"/>
        <w:rPr>
          <w:rFonts w:ascii="Times New Roman" w:hAnsi="Times New Roman" w:cs="Times New Roman"/>
          <w:lang w:val="sr-Cyrl-RS"/>
        </w:rPr>
      </w:pPr>
      <w:r w:rsidRPr="00AD60B6">
        <w:rPr>
          <w:rStyle w:val="FootnoteReference"/>
          <w:rFonts w:ascii="Times New Roman" w:hAnsi="Times New Roman" w:cs="Times New Roman"/>
        </w:rPr>
        <w:footnoteRef/>
      </w:r>
      <w:r w:rsidRPr="00AD60B6">
        <w:rPr>
          <w:rFonts w:ascii="Times New Roman" w:hAnsi="Times New Roman" w:cs="Times New Roman"/>
        </w:rPr>
        <w:t xml:space="preserve"> </w:t>
      </w:r>
      <w:r w:rsidRPr="00AD60B6">
        <w:rPr>
          <w:rFonts w:ascii="Times New Roman" w:hAnsi="Times New Roman" w:cs="Times New Roman"/>
          <w:lang w:val="sr-Cyrl-RS"/>
        </w:rPr>
        <w:t xml:space="preserve">Обавеза достављања извештаја о повредама на раду прописана је чланом 7. Правилника о садржају и начину издавања обрасца извештаја о повреди на раду и професионалном обољењу („Службени гласник РС”, бр. 72/06, 84/06-исправка, 4/16, </w:t>
      </w:r>
      <w:r w:rsidRPr="00AD60B6">
        <w:rPr>
          <w:rFonts w:ascii="Times New Roman" w:hAnsi="Times New Roman" w:cs="Times New Roman"/>
          <w:strike/>
          <w:lang w:val="sr-Cyrl-RS"/>
        </w:rPr>
        <w:t xml:space="preserve">и </w:t>
      </w:r>
      <w:r w:rsidRPr="00AD60B6">
        <w:rPr>
          <w:rFonts w:ascii="Times New Roman" w:hAnsi="Times New Roman" w:cs="Times New Roman"/>
          <w:lang w:val="sr-Cyrl-RS"/>
        </w:rPr>
        <w:t>106/18 и</w:t>
      </w:r>
      <w:r w:rsidRPr="00AD60B6">
        <w:rPr>
          <w:rFonts w:ascii="Times New Roman" w:hAnsi="Times New Roman" w:cs="Times New Roman"/>
          <w:i/>
          <w:lang w:val="sr-Cyrl-RS"/>
        </w:rPr>
        <w:t xml:space="preserve"> </w:t>
      </w:r>
      <w:r w:rsidRPr="00AD60B6">
        <w:rPr>
          <w:rFonts w:ascii="Times New Roman" w:hAnsi="Times New Roman" w:cs="Times New Roman"/>
          <w:lang w:val="sr-Cyrl-RS"/>
        </w:rPr>
        <w:t>14/19).</w:t>
      </w:r>
    </w:p>
  </w:footnote>
  <w:footnote w:id="12">
    <w:p w14:paraId="5D0F9A57" w14:textId="77777777" w:rsidR="00125B70" w:rsidRPr="001579D6" w:rsidRDefault="00125B70" w:rsidP="00EC5D47">
      <w:pPr>
        <w:pStyle w:val="FootnoteText"/>
        <w:jc w:val="both"/>
        <w:rPr>
          <w:rFonts w:ascii="Times New Roman" w:hAnsi="Times New Roman" w:cs="Times New Roman"/>
          <w:lang w:val="sr-Cyrl-RS"/>
        </w:rPr>
      </w:pPr>
      <w:r w:rsidRPr="00DE4C26">
        <w:rPr>
          <w:rStyle w:val="FootnoteReference"/>
          <w:rFonts w:ascii="Times New Roman" w:hAnsi="Times New Roman" w:cs="Times New Roman"/>
        </w:rPr>
        <w:footnoteRef/>
      </w:r>
      <w:r w:rsidRPr="00DE4C26">
        <w:rPr>
          <w:rFonts w:ascii="Times New Roman" w:hAnsi="Times New Roman" w:cs="Times New Roman"/>
        </w:rPr>
        <w:t xml:space="preserve"> </w:t>
      </w:r>
      <w:r w:rsidRPr="001579D6">
        <w:rPr>
          <w:rFonts w:ascii="Times New Roman" w:hAnsi="Times New Roman" w:cs="Times New Roman"/>
          <w:lang w:val="sr-Cyrl-RS"/>
        </w:rPr>
        <w:t>Приказани су надзори само у случају повреда са смртним и тешким исходом. Извештај је доступан на https://inspektor.gov.rs/cms/documents/35470/0</w:t>
      </w:r>
    </w:p>
  </w:footnote>
  <w:footnote w:id="13">
    <w:p w14:paraId="3AA0D419" w14:textId="77777777" w:rsidR="00125B70" w:rsidRPr="00E620B2" w:rsidRDefault="00125B70" w:rsidP="00EC5D47">
      <w:pPr>
        <w:pStyle w:val="FootnoteText"/>
        <w:jc w:val="both"/>
        <w:rPr>
          <w:rFonts w:ascii="Arial Nova" w:hAnsi="Arial Nova"/>
          <w:lang w:val="sr-Latn-RS"/>
        </w:rPr>
      </w:pPr>
      <w:r w:rsidRPr="001579D6">
        <w:rPr>
          <w:rStyle w:val="FootnoteReference"/>
          <w:rFonts w:ascii="Times New Roman" w:hAnsi="Times New Roman" w:cs="Times New Roman"/>
        </w:rPr>
        <w:footnoteRef/>
      </w:r>
      <w:r w:rsidRPr="001579D6">
        <w:rPr>
          <w:rFonts w:ascii="Times New Roman" w:hAnsi="Times New Roman" w:cs="Times New Roman"/>
        </w:rPr>
        <w:t xml:space="preserve"> </w:t>
      </w:r>
      <w:r w:rsidRPr="001579D6">
        <w:rPr>
          <w:rFonts w:ascii="Times New Roman" w:hAnsi="Times New Roman" w:cs="Times New Roman"/>
          <w:lang w:val="sr-Cyrl-RS"/>
        </w:rPr>
        <w:t>Анкета о радној снази 202</w:t>
      </w:r>
      <w:r w:rsidRPr="001579D6">
        <w:rPr>
          <w:rFonts w:ascii="Times New Roman" w:hAnsi="Times New Roman" w:cs="Times New Roman"/>
        </w:rPr>
        <w:t>2</w:t>
      </w:r>
      <w:r w:rsidRPr="001579D6">
        <w:rPr>
          <w:rFonts w:ascii="Times New Roman" w:hAnsi="Times New Roman" w:cs="Times New Roman"/>
          <w:lang w:val="sr-Cyrl-RS"/>
        </w:rPr>
        <w:t xml:space="preserve">. године доступна је на </w:t>
      </w:r>
      <w:r w:rsidRPr="001579D6">
        <w:rPr>
          <w:rFonts w:ascii="Times New Roman" w:hAnsi="Times New Roman" w:cs="Times New Roman"/>
        </w:rPr>
        <w:t>https://publikacije.stat.gov.rs/G2023/Pdf/G20231047.pdf</w:t>
      </w:r>
    </w:p>
  </w:footnote>
  <w:footnote w:id="14">
    <w:p w14:paraId="46F58A6A" w14:textId="77777777" w:rsidR="00125B70" w:rsidRPr="001579D6" w:rsidRDefault="00125B70" w:rsidP="00EC5D47">
      <w:pPr>
        <w:pStyle w:val="FootnoteText"/>
        <w:jc w:val="both"/>
        <w:rPr>
          <w:rFonts w:ascii="Times New Roman" w:hAnsi="Times New Roman" w:cs="Times New Roman"/>
          <w:lang w:val="sr-Cyrl-RS"/>
        </w:rPr>
      </w:pPr>
      <w:r w:rsidRPr="00E620B2">
        <w:rPr>
          <w:rStyle w:val="FootnoteReference"/>
          <w:rFonts w:ascii="Arial Nova" w:hAnsi="Arial Nova"/>
        </w:rPr>
        <w:footnoteRef/>
      </w:r>
      <w:r w:rsidRPr="00E620B2">
        <w:rPr>
          <w:rFonts w:ascii="Arial Nova" w:hAnsi="Arial Nova"/>
        </w:rPr>
        <w:t xml:space="preserve"> </w:t>
      </w:r>
      <w:hyperlink r:id="rId6" w:history="1">
        <w:r w:rsidRPr="001579D6">
          <w:rPr>
            <w:rStyle w:val="Hyperlink"/>
            <w:rFonts w:ascii="Times New Roman" w:hAnsi="Times New Roman" w:cs="Times New Roman"/>
          </w:rPr>
          <w:t>Accidents at work statistics - Statistics Explained (europa.eu)</w:t>
        </w:r>
      </w:hyperlink>
    </w:p>
  </w:footnote>
  <w:footnote w:id="15">
    <w:p w14:paraId="54CBDB59" w14:textId="77777777" w:rsidR="00125B70" w:rsidRPr="00DE4C26" w:rsidRDefault="00125B70" w:rsidP="00EC5D47">
      <w:pPr>
        <w:pStyle w:val="FootnoteText"/>
        <w:rPr>
          <w:rFonts w:ascii="Times New Roman" w:hAnsi="Times New Roman" w:cs="Times New Roman"/>
        </w:rPr>
      </w:pPr>
      <w:r w:rsidRPr="001579D6">
        <w:rPr>
          <w:rStyle w:val="FootnoteReference"/>
          <w:rFonts w:ascii="Times New Roman" w:hAnsi="Times New Roman" w:cs="Times New Roman"/>
        </w:rPr>
        <w:footnoteRef/>
      </w:r>
      <w:r w:rsidRPr="001579D6">
        <w:rPr>
          <w:rFonts w:ascii="Times New Roman" w:hAnsi="Times New Roman" w:cs="Times New Roman"/>
          <w:lang w:val="sr-Cyrl-RS"/>
        </w:rPr>
        <w:t>Преглед процена приказан је у Извештају ЕУ агенције</w:t>
      </w:r>
      <w:r w:rsidRPr="001579D6">
        <w:rPr>
          <w:rFonts w:ascii="Times New Roman" w:hAnsi="Times New Roman" w:cs="Times New Roman"/>
        </w:rPr>
        <w:t xml:space="preserve"> https://osha.europa.eu/sites/default/files/2021-11/international_comparison-of_costs_work_related_accidents.pdf</w:t>
      </w:r>
    </w:p>
  </w:footnote>
  <w:footnote w:id="16">
    <w:p w14:paraId="2BAAD32E" w14:textId="77777777" w:rsidR="00125B70" w:rsidRPr="00E620B2" w:rsidRDefault="00125B70" w:rsidP="00EC5D47">
      <w:pPr>
        <w:pStyle w:val="FootnoteText"/>
        <w:jc w:val="both"/>
        <w:rPr>
          <w:rFonts w:ascii="Arial Nova" w:hAnsi="Arial Nova"/>
        </w:rPr>
      </w:pPr>
      <w:r w:rsidRPr="00DE4C26">
        <w:rPr>
          <w:rStyle w:val="FootnoteReference"/>
          <w:rFonts w:ascii="Times New Roman" w:hAnsi="Times New Roman" w:cs="Times New Roman"/>
        </w:rPr>
        <w:footnoteRef/>
      </w:r>
      <w:r w:rsidRPr="00DE4C26">
        <w:rPr>
          <w:rFonts w:ascii="Times New Roman" w:hAnsi="Times New Roman" w:cs="Times New Roman"/>
        </w:rPr>
        <w:t xml:space="preserve"> </w:t>
      </w:r>
      <w:r w:rsidRPr="001579D6">
        <w:rPr>
          <w:rFonts w:ascii="Times New Roman" w:hAnsi="Times New Roman" w:cs="Times New Roman"/>
          <w:lang w:val="sr-Cyrl-RS"/>
        </w:rPr>
        <w:t>Методологија за обрачун стандардизованих стопа доступна је на</w:t>
      </w:r>
      <w:r w:rsidRPr="001579D6">
        <w:rPr>
          <w:rFonts w:ascii="Times New Roman" w:hAnsi="Times New Roman" w:cs="Times New Roman"/>
        </w:rPr>
        <w:t xml:space="preserve"> </w:t>
      </w:r>
      <w:hyperlink r:id="rId7" w:history="1">
        <w:r w:rsidRPr="001579D6">
          <w:rPr>
            <w:rStyle w:val="Hyperlink"/>
            <w:rFonts w:ascii="Times New Roman" w:hAnsi="Times New Roman" w:cs="Times New Roman"/>
          </w:rPr>
          <w:t>Objectives: (eurosafe.eu.com)</w:t>
        </w:r>
      </w:hyperlink>
      <w:r w:rsidRPr="001579D6">
        <w:rPr>
          <w:rFonts w:ascii="Times New Roman" w:hAnsi="Times New Roman" w:cs="Times New Roman"/>
        </w:rPr>
        <w:t>, и</w:t>
      </w:r>
      <w:r w:rsidRPr="001579D6">
        <w:rPr>
          <w:rFonts w:ascii="Times New Roman" w:hAnsi="Times New Roman" w:cs="Times New Roman"/>
          <w:lang w:val="sr-Cyrl-RS"/>
        </w:rPr>
        <w:t xml:space="preserve"> </w:t>
      </w:r>
      <w:hyperlink r:id="rId8" w:history="1">
        <w:r w:rsidRPr="001579D6">
          <w:rPr>
            <w:rStyle w:val="Hyperlink"/>
            <w:rFonts w:ascii="Times New Roman" w:hAnsi="Times New Roman" w:cs="Times New Roman"/>
          </w:rPr>
          <w:t>Calculating OSHA Incident Rates: TRIR, DART, LTIFR, and LTIIR | Creative Safety Supply</w:t>
        </w:r>
      </w:hyperlink>
      <w:r w:rsidRPr="00E620B2">
        <w:rPr>
          <w:rFonts w:ascii="Arial Nova" w:hAnsi="Arial Nova"/>
        </w:rPr>
        <w:t xml:space="preserve"> </w:t>
      </w:r>
    </w:p>
  </w:footnote>
  <w:footnote w:id="17">
    <w:p w14:paraId="53744A20" w14:textId="77777777" w:rsidR="00125B70" w:rsidRPr="005E0A4D" w:rsidRDefault="00125B70" w:rsidP="00EC5D47">
      <w:pPr>
        <w:jc w:val="both"/>
        <w:rPr>
          <w:rFonts w:ascii="Times New Roman" w:hAnsi="Times New Roman" w:cs="Times New Roman"/>
          <w:color w:val="000000"/>
          <w:sz w:val="20"/>
          <w:szCs w:val="20"/>
        </w:rPr>
      </w:pPr>
      <w:r w:rsidRPr="005E0A4D">
        <w:rPr>
          <w:rStyle w:val="FootnoteReference"/>
          <w:rFonts w:ascii="Times New Roman" w:hAnsi="Times New Roman" w:cs="Times New Roman"/>
          <w:sz w:val="20"/>
          <w:szCs w:val="20"/>
        </w:rPr>
        <w:footnoteRef/>
      </w:r>
      <w:r w:rsidRPr="005E0A4D">
        <w:rPr>
          <w:rFonts w:ascii="Times New Roman" w:hAnsi="Times New Roman" w:cs="Times New Roman"/>
          <w:sz w:val="20"/>
          <w:szCs w:val="20"/>
        </w:rPr>
        <w:t xml:space="preserve"> </w:t>
      </w:r>
      <w:r w:rsidRPr="005E0A4D">
        <w:rPr>
          <w:rFonts w:ascii="Times New Roman" w:hAnsi="Times New Roman" w:cs="Times New Roman"/>
          <w:color w:val="000000"/>
          <w:sz w:val="20"/>
          <w:szCs w:val="20"/>
          <w:lang w:val="sr-Cyrl-RS"/>
        </w:rPr>
        <w:t>Petar Bulat, Kenichi Hirose, Jovan Protić</w:t>
      </w:r>
      <w:r w:rsidRPr="005E0A4D">
        <w:rPr>
          <w:rFonts w:ascii="Times New Roman" w:hAnsi="Times New Roman" w:cs="Times New Roman"/>
          <w:color w:val="000000"/>
          <w:sz w:val="20"/>
          <w:szCs w:val="20"/>
        </w:rPr>
        <w:t xml:space="preserve">, </w:t>
      </w:r>
      <w:r w:rsidRPr="005E0A4D">
        <w:rPr>
          <w:rFonts w:ascii="Times New Roman" w:hAnsi="Times New Roman" w:cs="Times New Roman"/>
          <w:color w:val="000000"/>
          <w:sz w:val="20"/>
          <w:szCs w:val="20"/>
          <w:lang w:val="sr-Cyrl-RS"/>
        </w:rPr>
        <w:t>Bezbednost i zdravlje na radu</w:t>
      </w:r>
      <w:r w:rsidRPr="005E0A4D">
        <w:rPr>
          <w:rFonts w:ascii="Times New Roman" w:hAnsi="Times New Roman" w:cs="Times New Roman"/>
          <w:color w:val="000000"/>
          <w:sz w:val="20"/>
          <w:szCs w:val="20"/>
        </w:rPr>
        <w:t xml:space="preserve"> </w:t>
      </w:r>
      <w:r w:rsidRPr="005E0A4D">
        <w:rPr>
          <w:rFonts w:ascii="Times New Roman" w:hAnsi="Times New Roman" w:cs="Times New Roman"/>
          <w:color w:val="000000"/>
          <w:sz w:val="20"/>
          <w:szCs w:val="20"/>
          <w:lang w:val="sr-Cyrl-RS"/>
        </w:rPr>
        <w:t xml:space="preserve">u </w:t>
      </w:r>
      <w:r w:rsidRPr="005E0A4D">
        <w:rPr>
          <w:rFonts w:ascii="Times New Roman" w:hAnsi="Times New Roman" w:cs="Times New Roman"/>
          <w:sz w:val="20"/>
          <w:szCs w:val="20"/>
          <w:lang w:val="sr-Cyrl-RS"/>
        </w:rPr>
        <w:t>građevinarstvu</w:t>
      </w:r>
      <w:r w:rsidRPr="005E0A4D">
        <w:rPr>
          <w:rFonts w:ascii="Times New Roman" w:hAnsi="Times New Roman" w:cs="Times New Roman"/>
          <w:color w:val="000000"/>
          <w:sz w:val="20"/>
          <w:szCs w:val="20"/>
          <w:lang w:val="sr-Cyrl-RS"/>
        </w:rPr>
        <w:t xml:space="preserve"> Srbiji</w:t>
      </w:r>
      <w:r w:rsidRPr="005E0A4D">
        <w:rPr>
          <w:rFonts w:ascii="Times New Roman" w:hAnsi="Times New Roman" w:cs="Times New Roman"/>
          <w:color w:val="000000"/>
          <w:sz w:val="20"/>
          <w:szCs w:val="20"/>
        </w:rPr>
        <w:t xml:space="preserve"> (2018).</w:t>
      </w:r>
    </w:p>
  </w:footnote>
  <w:footnote w:id="18">
    <w:p w14:paraId="2F4C933B" w14:textId="77777777" w:rsidR="00125B70" w:rsidRDefault="00125B70" w:rsidP="00EC5D47">
      <w:pPr>
        <w:pStyle w:val="FootnoteText"/>
      </w:pPr>
      <w:r w:rsidRPr="005E0A4D">
        <w:rPr>
          <w:rStyle w:val="FootnoteReference"/>
          <w:rFonts w:ascii="Times New Roman" w:hAnsi="Times New Roman" w:cs="Times New Roman"/>
        </w:rPr>
        <w:footnoteRef/>
      </w:r>
      <w:r w:rsidRPr="005E0A4D">
        <w:rPr>
          <w:rFonts w:ascii="Times New Roman" w:hAnsi="Times New Roman" w:cs="Times New Roman"/>
        </w:rPr>
        <w:t xml:space="preserve"> https://osha.europa.eu/en/publications/safety-and-health-micro-and-small-enterprises-eu-view-workplace</w:t>
      </w:r>
    </w:p>
  </w:footnote>
  <w:footnote w:id="19">
    <w:p w14:paraId="27B8FD9A" w14:textId="77777777" w:rsidR="00125B70" w:rsidRPr="005E0A4D" w:rsidRDefault="00125B70" w:rsidP="00EC5D47">
      <w:pPr>
        <w:pStyle w:val="FootnoteText"/>
        <w:jc w:val="both"/>
        <w:rPr>
          <w:rFonts w:ascii="Times New Roman" w:hAnsi="Times New Roman" w:cs="Times New Roman"/>
          <w:lang w:val="sr-Cyrl-RS"/>
        </w:rPr>
      </w:pPr>
      <w:r w:rsidRPr="00E620B2">
        <w:rPr>
          <w:rStyle w:val="FootnoteReference"/>
          <w:rFonts w:ascii="Arial Nova" w:hAnsi="Arial Nova"/>
          <w:lang w:val="sr-Cyrl-RS"/>
        </w:rPr>
        <w:footnoteRef/>
      </w:r>
      <w:r w:rsidRPr="00E620B2">
        <w:rPr>
          <w:rFonts w:ascii="Arial Nova" w:hAnsi="Arial Nova"/>
          <w:lang w:val="sr-Cyrl-RS"/>
        </w:rPr>
        <w:t xml:space="preserve"> </w:t>
      </w:r>
      <w:r w:rsidRPr="005E0A4D">
        <w:rPr>
          <w:rFonts w:ascii="Times New Roman" w:hAnsi="Times New Roman" w:cs="Times New Roman"/>
          <w:lang w:val="sr-Cyrl-RS"/>
        </w:rPr>
        <w:t>Повредом на раду, која је дефинисана чланом 22. Закона о пензијском и инвалидском осигурању сматра се повреда осигураника која се догоди у просторној, временској и узрочној повезаности са обављањем посла по основу кога је осигуран, проузрокована непосредним и краткотрајним механичким, физичким или хемијским дејством, наглим променама положаја тела, изненадним оптерећењем тела или другим променама физиолошког стања организма. У случају када се догоди тешка, смртна или колективна повреда на раду или повреда због које запослени није способан за рад дуже од три узастопна радна дана, послодавац је дужан да исту пријави надлежној инспекцији рада и надлежном органу унутрашњих послова најкасније у року од 24 часа, од њеног настанка.</w:t>
      </w:r>
    </w:p>
  </w:footnote>
  <w:footnote w:id="20">
    <w:p w14:paraId="7EE5B523" w14:textId="77777777" w:rsidR="00125B70" w:rsidRPr="00E620B2" w:rsidRDefault="00125B70" w:rsidP="00EC5D47">
      <w:pPr>
        <w:pStyle w:val="FootnoteText"/>
        <w:rPr>
          <w:rFonts w:ascii="Arial Nova" w:hAnsi="Arial Nova"/>
          <w:lang w:val="sr-Cyrl-RS"/>
        </w:rPr>
      </w:pPr>
      <w:r w:rsidRPr="005E0A4D">
        <w:rPr>
          <w:rStyle w:val="FootnoteReference"/>
          <w:rFonts w:ascii="Times New Roman" w:hAnsi="Times New Roman" w:cs="Times New Roman"/>
        </w:rPr>
        <w:footnoteRef/>
      </w:r>
      <w:r w:rsidRPr="005E0A4D">
        <w:rPr>
          <w:rFonts w:ascii="Times New Roman" w:hAnsi="Times New Roman" w:cs="Times New Roman"/>
        </w:rPr>
        <w:t xml:space="preserve"> </w:t>
      </w:r>
      <w:r w:rsidRPr="005E0A4D">
        <w:rPr>
          <w:rFonts w:ascii="Times New Roman" w:hAnsi="Times New Roman" w:cs="Times New Roman"/>
          <w:lang w:val="sr-Cyrl-RS"/>
        </w:rPr>
        <w:t xml:space="preserve">Детаљније о професионалним болестима у Србији види </w:t>
      </w:r>
      <w:r w:rsidRPr="005E0A4D">
        <w:rPr>
          <w:rFonts w:ascii="Times New Roman" w:hAnsi="Times New Roman" w:cs="Times New Roman"/>
        </w:rPr>
        <w:t>ttp://www.socijalnoekonomskisavet.rs/cir/vesti/profesionalne%20bolesti.pdf</w:t>
      </w:r>
    </w:p>
  </w:footnote>
  <w:footnote w:id="21">
    <w:p w14:paraId="4D6308C2" w14:textId="77777777" w:rsidR="00125B70" w:rsidRPr="00431335" w:rsidRDefault="00125B70" w:rsidP="00EC5D47">
      <w:pPr>
        <w:jc w:val="both"/>
        <w:rPr>
          <w:rFonts w:ascii="Times New Roman" w:hAnsi="Times New Roman" w:cs="Times New Roman"/>
          <w:sz w:val="20"/>
          <w:szCs w:val="20"/>
        </w:rPr>
      </w:pPr>
      <w:r w:rsidRPr="00E620B2">
        <w:rPr>
          <w:rStyle w:val="FootnoteReference"/>
          <w:rFonts w:ascii="Arial Nova" w:hAnsi="Arial Nova"/>
          <w:sz w:val="20"/>
          <w:szCs w:val="20"/>
        </w:rPr>
        <w:footnoteRef/>
      </w:r>
      <w:r w:rsidRPr="00E620B2">
        <w:rPr>
          <w:rFonts w:ascii="Arial Nova" w:hAnsi="Arial Nova"/>
          <w:sz w:val="20"/>
          <w:szCs w:val="20"/>
        </w:rPr>
        <w:t xml:space="preserve"> </w:t>
      </w:r>
      <w:r w:rsidRPr="00431335">
        <w:rPr>
          <w:rFonts w:ascii="Times New Roman" w:hAnsi="Times New Roman" w:cs="Times New Roman"/>
          <w:sz w:val="20"/>
          <w:szCs w:val="20"/>
        </w:rPr>
        <w:t>Подаци за ЕУ доступни на https://visualisation.osha.europa.eu/esener/en/survey/detailpage-european-map/2019/osh-management/en_1/E3Q252_1/activity-sector/14/11/1</w:t>
      </w:r>
    </w:p>
    <w:p w14:paraId="6B53DCDB" w14:textId="77777777" w:rsidR="00125B70" w:rsidRPr="00431335" w:rsidRDefault="00125B70" w:rsidP="00EC5D47">
      <w:pPr>
        <w:jc w:val="both"/>
        <w:rPr>
          <w:rFonts w:ascii="Times New Roman" w:hAnsi="Times New Roman" w:cs="Times New Roman"/>
          <w:sz w:val="20"/>
          <w:szCs w:val="20"/>
        </w:rPr>
      </w:pPr>
    </w:p>
  </w:footnote>
  <w:footnote w:id="22">
    <w:p w14:paraId="489667AC" w14:textId="77777777" w:rsidR="002369CA" w:rsidRPr="00935A81" w:rsidRDefault="002369CA" w:rsidP="002369CA">
      <w:pPr>
        <w:pStyle w:val="FootnoteText"/>
        <w:jc w:val="both"/>
        <w:rPr>
          <w:rFonts w:ascii="Arial Nova" w:hAnsi="Arial Nova"/>
        </w:rPr>
      </w:pPr>
      <w:r w:rsidRPr="00935A81">
        <w:rPr>
          <w:rStyle w:val="FootnoteReference"/>
          <w:rFonts w:ascii="Arial Nova" w:hAnsi="Arial Nova"/>
          <w:lang w:val="sr-Cyrl-RS"/>
        </w:rPr>
        <w:footnoteRef/>
      </w:r>
      <w:r w:rsidRPr="00935A81">
        <w:rPr>
          <w:rFonts w:ascii="Arial Nova" w:hAnsi="Arial Nova"/>
          <w:lang w:val="sr-Cyrl-RS"/>
        </w:rPr>
        <w:t xml:space="preserve"> </w:t>
      </w:r>
      <w:r w:rsidRPr="006F4947">
        <w:rPr>
          <w:rFonts w:ascii="Times New Roman" w:hAnsi="Times New Roman" w:cs="Times New Roman"/>
          <w:lang w:val="sr-Cyrl-RS"/>
        </w:rPr>
        <w:t>Индикатор броја изгубљених радних сати у наведена четири сектора користи се за процене у вези са утицајем климатских фактора, посебно високих температура на радну способност. Индикатор је комбинован и комбинује температуре мерене мокрим термометром који поред температуре ваздуха мери његову влажност и интензитет сунчевог зрачења, у комбинацији са просечном количином утрошене енергије по раднику за врсту посла у објекту. наведеним секторима и броју запослених у наведеним секторима старијим од 15 година.</w:t>
      </w:r>
      <w:r w:rsidRPr="006F4947">
        <w:rPr>
          <w:rFonts w:ascii="Times New Roman" w:hAnsi="Times New Roman" w:cs="Times New Roman"/>
        </w:rPr>
        <w:t xml:space="preserve"> </w:t>
      </w:r>
      <w:r w:rsidRPr="006F4947">
        <w:rPr>
          <w:rFonts w:ascii="Times New Roman" w:hAnsi="Times New Roman" w:cs="Times New Roman"/>
          <w:lang w:val="sr-Latn-RS"/>
        </w:rPr>
        <w:t>Incrising risk over time of weather/related hazards to the European population</w:t>
      </w:r>
      <w:r w:rsidRPr="006F4947">
        <w:rPr>
          <w:rFonts w:ascii="Times New Roman" w:hAnsi="Times New Roman" w:cs="Times New Roman"/>
        </w:rPr>
        <w:t xml:space="preserve">: a data driven prognostic study </w:t>
      </w:r>
      <w:r w:rsidRPr="006F4947">
        <w:rPr>
          <w:rFonts w:ascii="Times New Roman" w:hAnsi="Times New Roman" w:cs="Times New Roman"/>
          <w:lang w:val="sr-Latn-RS"/>
        </w:rPr>
        <w:t xml:space="preserve"> </w:t>
      </w:r>
      <w:r w:rsidRPr="006F4947">
        <w:rPr>
          <w:rFonts w:ascii="Times New Roman" w:hAnsi="Times New Roman" w:cs="Times New Roman"/>
        </w:rPr>
        <w:t xml:space="preserve"> </w:t>
      </w:r>
      <w:hyperlink r:id="rId9" w:history="1">
        <w:r w:rsidRPr="006F4947">
          <w:rPr>
            <w:rStyle w:val="Hyperlink"/>
            <w:rFonts w:ascii="Times New Roman" w:hAnsi="Times New Roman" w:cs="Times New Roman"/>
          </w:rPr>
          <w:t>https://www.lancetcountdown.org/data-platform/climate-change-impacts-exposures-and-vulnerability/1-1-health-and-heat/1-1-4-change-in-labour-capacity</w:t>
        </w:r>
      </w:hyperlink>
    </w:p>
    <w:p w14:paraId="4D141FA1" w14:textId="77777777" w:rsidR="002369CA" w:rsidRPr="00E620B2" w:rsidRDefault="002369CA" w:rsidP="002369CA">
      <w:pPr>
        <w:pStyle w:val="FootnoteText"/>
        <w:jc w:val="both"/>
        <w:rPr>
          <w:rFonts w:ascii="Arial Nova" w:hAnsi="Arial Nova"/>
          <w:lang w:val="sr-Latn-RS"/>
        </w:rPr>
      </w:pPr>
    </w:p>
  </w:footnote>
  <w:footnote w:id="23">
    <w:p w14:paraId="650418FF" w14:textId="77777777" w:rsidR="00C565C0" w:rsidRPr="001579D6" w:rsidRDefault="00C565C0" w:rsidP="00C565C0">
      <w:pPr>
        <w:pStyle w:val="FootnoteText"/>
        <w:jc w:val="both"/>
        <w:rPr>
          <w:rFonts w:ascii="Times New Roman" w:hAnsi="Times New Roman" w:cs="Times New Roman"/>
          <w:lang w:val="sr-Cyrl-RS"/>
        </w:rPr>
      </w:pPr>
      <w:r>
        <w:rPr>
          <w:rStyle w:val="FootnoteReference"/>
        </w:rPr>
        <w:footnoteRef/>
      </w:r>
      <w:r>
        <w:rPr>
          <w:lang w:val="sr-Cyrl-RS"/>
        </w:rPr>
        <w:t xml:space="preserve"> </w:t>
      </w:r>
      <w:hyperlink r:id="rId10" w:history="1">
        <w:r w:rsidRPr="001579D6">
          <w:rPr>
            <w:rStyle w:val="Hyperlink"/>
            <w:rFonts w:ascii="Times New Roman" w:hAnsi="Times New Roman" w:cs="Times New Roman"/>
          </w:rPr>
          <w:t>https://publikacije.stat.gov.rs/G2023/Pdf/G20235695.pdf</w:t>
        </w:r>
      </w:hyperlink>
      <w:r w:rsidRPr="001579D6">
        <w:rPr>
          <w:rFonts w:ascii="Times New Roman" w:hAnsi="Times New Roman" w:cs="Times New Roman"/>
        </w:rPr>
        <w:t xml:space="preserve"> </w:t>
      </w:r>
    </w:p>
  </w:footnote>
  <w:footnote w:id="24">
    <w:p w14:paraId="693FE971" w14:textId="77777777" w:rsidR="00C565C0" w:rsidRPr="00B416A7" w:rsidRDefault="00C565C0" w:rsidP="00C565C0">
      <w:pPr>
        <w:pStyle w:val="FootnoteText"/>
        <w:rPr>
          <w:lang w:val="sr-Cyrl-RS"/>
        </w:rPr>
      </w:pPr>
      <w:r w:rsidRPr="001579D6">
        <w:rPr>
          <w:rStyle w:val="FootnoteReference"/>
          <w:rFonts w:ascii="Times New Roman" w:hAnsi="Times New Roman" w:cs="Times New Roman"/>
        </w:rPr>
        <w:footnoteRef/>
      </w:r>
      <w:r w:rsidRPr="001579D6">
        <w:rPr>
          <w:rFonts w:ascii="Times New Roman" w:hAnsi="Times New Roman" w:cs="Times New Roman"/>
          <w:lang w:val="sr-Cyrl-RS"/>
        </w:rPr>
        <w:t xml:space="preserve"> Детаљни приказ података дат је у последњем извештају доступном на адреси </w:t>
      </w:r>
      <w:r w:rsidRPr="001579D6">
        <w:rPr>
          <w:rFonts w:ascii="Times New Roman" w:hAnsi="Times New Roman" w:cs="Times New Roman"/>
        </w:rPr>
        <w:t>https://osha.europa.eu/en/publications/occupational-safety-and-health-europe-state-and-trends-2023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882767"/>
      <w:docPartObj>
        <w:docPartGallery w:val="Page Numbers (Top of Page)"/>
        <w:docPartUnique/>
      </w:docPartObj>
    </w:sdtPr>
    <w:sdtEndPr>
      <w:rPr>
        <w:rFonts w:ascii="Times New Roman" w:hAnsi="Times New Roman" w:cs="Times New Roman"/>
        <w:noProof/>
        <w:sz w:val="24"/>
        <w:szCs w:val="24"/>
      </w:rPr>
    </w:sdtEndPr>
    <w:sdtContent>
      <w:p w14:paraId="4D7F8856" w14:textId="32AFDA73" w:rsidR="00125B70" w:rsidRPr="00764AC0" w:rsidRDefault="00125B70">
        <w:pPr>
          <w:pStyle w:val="Header"/>
          <w:jc w:val="center"/>
          <w:rPr>
            <w:rFonts w:ascii="Times New Roman" w:hAnsi="Times New Roman" w:cs="Times New Roman"/>
            <w:sz w:val="24"/>
            <w:szCs w:val="24"/>
          </w:rPr>
        </w:pPr>
        <w:r w:rsidRPr="00764AC0">
          <w:rPr>
            <w:rFonts w:ascii="Times New Roman" w:hAnsi="Times New Roman" w:cs="Times New Roman"/>
            <w:sz w:val="24"/>
            <w:szCs w:val="24"/>
          </w:rPr>
          <w:fldChar w:fldCharType="begin"/>
        </w:r>
        <w:r w:rsidRPr="00764AC0">
          <w:rPr>
            <w:rFonts w:ascii="Times New Roman" w:hAnsi="Times New Roman" w:cs="Times New Roman"/>
            <w:sz w:val="24"/>
            <w:szCs w:val="24"/>
          </w:rPr>
          <w:instrText xml:space="preserve"> PAGE   \* MERGEFORMAT </w:instrText>
        </w:r>
        <w:r w:rsidRPr="00764AC0">
          <w:rPr>
            <w:rFonts w:ascii="Times New Roman" w:hAnsi="Times New Roman" w:cs="Times New Roman"/>
            <w:sz w:val="24"/>
            <w:szCs w:val="24"/>
          </w:rPr>
          <w:fldChar w:fldCharType="separate"/>
        </w:r>
        <w:r w:rsidR="00E51B7F">
          <w:rPr>
            <w:rFonts w:ascii="Times New Roman" w:hAnsi="Times New Roman" w:cs="Times New Roman"/>
            <w:noProof/>
            <w:sz w:val="24"/>
            <w:szCs w:val="24"/>
          </w:rPr>
          <w:t>22</w:t>
        </w:r>
        <w:r w:rsidRPr="00764AC0">
          <w:rPr>
            <w:rFonts w:ascii="Times New Roman" w:hAnsi="Times New Roman" w:cs="Times New Roman"/>
            <w:noProof/>
            <w:sz w:val="24"/>
            <w:szCs w:val="24"/>
          </w:rPr>
          <w:fldChar w:fldCharType="end"/>
        </w:r>
      </w:p>
    </w:sdtContent>
  </w:sdt>
  <w:p w14:paraId="309E1FB0" w14:textId="77777777" w:rsidR="00125B70" w:rsidRDefault="00125B7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3D11" w14:textId="77777777" w:rsidR="00125B70" w:rsidRDefault="00125B70">
    <w:pPr>
      <w:pStyle w:val="Header"/>
      <w:jc w:val="center"/>
    </w:pPr>
  </w:p>
  <w:p w14:paraId="3420A9EA" w14:textId="77777777" w:rsidR="00125B70" w:rsidRDefault="00125B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6CDC"/>
    <w:multiLevelType w:val="hybridMultilevel"/>
    <w:tmpl w:val="E9E6D11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39441F"/>
    <w:multiLevelType w:val="multilevel"/>
    <w:tmpl w:val="3FECA79E"/>
    <w:styleLink w:val="CurrentLi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322210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2630C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ECE1294"/>
    <w:multiLevelType w:val="hybridMultilevel"/>
    <w:tmpl w:val="DBA25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C3D"/>
    <w:rsid w:val="0000187C"/>
    <w:rsid w:val="0000777E"/>
    <w:rsid w:val="00015645"/>
    <w:rsid w:val="0001778D"/>
    <w:rsid w:val="00020E3D"/>
    <w:rsid w:val="0002724B"/>
    <w:rsid w:val="0002791A"/>
    <w:rsid w:val="00040100"/>
    <w:rsid w:val="000407D7"/>
    <w:rsid w:val="00043282"/>
    <w:rsid w:val="0004535A"/>
    <w:rsid w:val="00045927"/>
    <w:rsid w:val="000518AD"/>
    <w:rsid w:val="00057472"/>
    <w:rsid w:val="0006737B"/>
    <w:rsid w:val="0007183A"/>
    <w:rsid w:val="00080DE0"/>
    <w:rsid w:val="00081601"/>
    <w:rsid w:val="00082687"/>
    <w:rsid w:val="00083804"/>
    <w:rsid w:val="000844B7"/>
    <w:rsid w:val="000A58ED"/>
    <w:rsid w:val="000A795D"/>
    <w:rsid w:val="000B0908"/>
    <w:rsid w:val="000B14AB"/>
    <w:rsid w:val="000B1966"/>
    <w:rsid w:val="000B4435"/>
    <w:rsid w:val="000B7830"/>
    <w:rsid w:val="000B7A3B"/>
    <w:rsid w:val="000C5E0F"/>
    <w:rsid w:val="000D0666"/>
    <w:rsid w:val="000D1CE7"/>
    <w:rsid w:val="000D260F"/>
    <w:rsid w:val="000D6F3A"/>
    <w:rsid w:val="000F30A1"/>
    <w:rsid w:val="000F5CD5"/>
    <w:rsid w:val="00104399"/>
    <w:rsid w:val="0010484B"/>
    <w:rsid w:val="00105C09"/>
    <w:rsid w:val="00121378"/>
    <w:rsid w:val="00124195"/>
    <w:rsid w:val="00125B70"/>
    <w:rsid w:val="00126609"/>
    <w:rsid w:val="001305AA"/>
    <w:rsid w:val="001335CC"/>
    <w:rsid w:val="001367A4"/>
    <w:rsid w:val="001374C9"/>
    <w:rsid w:val="00141139"/>
    <w:rsid w:val="00144422"/>
    <w:rsid w:val="0014538F"/>
    <w:rsid w:val="001479F9"/>
    <w:rsid w:val="00147BB2"/>
    <w:rsid w:val="001522D3"/>
    <w:rsid w:val="001579D6"/>
    <w:rsid w:val="00157EDB"/>
    <w:rsid w:val="00164608"/>
    <w:rsid w:val="0016578A"/>
    <w:rsid w:val="00167433"/>
    <w:rsid w:val="00174D5B"/>
    <w:rsid w:val="0019738D"/>
    <w:rsid w:val="001A3AC9"/>
    <w:rsid w:val="001A6EA6"/>
    <w:rsid w:val="001B50DF"/>
    <w:rsid w:val="001C1F2C"/>
    <w:rsid w:val="001D19FB"/>
    <w:rsid w:val="001D301C"/>
    <w:rsid w:val="001F3311"/>
    <w:rsid w:val="001F6B1F"/>
    <w:rsid w:val="001F6C05"/>
    <w:rsid w:val="001F7B68"/>
    <w:rsid w:val="002013A8"/>
    <w:rsid w:val="00201545"/>
    <w:rsid w:val="0020430B"/>
    <w:rsid w:val="00205878"/>
    <w:rsid w:val="00206731"/>
    <w:rsid w:val="00213B98"/>
    <w:rsid w:val="0022205E"/>
    <w:rsid w:val="0022222A"/>
    <w:rsid w:val="002242E9"/>
    <w:rsid w:val="0023051F"/>
    <w:rsid w:val="002306A5"/>
    <w:rsid w:val="00231311"/>
    <w:rsid w:val="00231523"/>
    <w:rsid w:val="00231B80"/>
    <w:rsid w:val="002320C8"/>
    <w:rsid w:val="00234BA9"/>
    <w:rsid w:val="002369CA"/>
    <w:rsid w:val="00237C3B"/>
    <w:rsid w:val="002419CE"/>
    <w:rsid w:val="00242BDB"/>
    <w:rsid w:val="00252C03"/>
    <w:rsid w:val="00261232"/>
    <w:rsid w:val="00262188"/>
    <w:rsid w:val="00267B17"/>
    <w:rsid w:val="0027587E"/>
    <w:rsid w:val="00284A87"/>
    <w:rsid w:val="00290491"/>
    <w:rsid w:val="00290F41"/>
    <w:rsid w:val="00290FCA"/>
    <w:rsid w:val="00295503"/>
    <w:rsid w:val="002A1210"/>
    <w:rsid w:val="002A1552"/>
    <w:rsid w:val="002A3650"/>
    <w:rsid w:val="002A5361"/>
    <w:rsid w:val="002B0120"/>
    <w:rsid w:val="002B4B6E"/>
    <w:rsid w:val="002B693B"/>
    <w:rsid w:val="002D3919"/>
    <w:rsid w:val="002D6A3F"/>
    <w:rsid w:val="002D7DDE"/>
    <w:rsid w:val="002E1846"/>
    <w:rsid w:val="002F03D4"/>
    <w:rsid w:val="002F22AE"/>
    <w:rsid w:val="002F35E5"/>
    <w:rsid w:val="0031199C"/>
    <w:rsid w:val="0031794A"/>
    <w:rsid w:val="003228E3"/>
    <w:rsid w:val="003322C2"/>
    <w:rsid w:val="00346B6B"/>
    <w:rsid w:val="00350701"/>
    <w:rsid w:val="00355EBE"/>
    <w:rsid w:val="00367208"/>
    <w:rsid w:val="003744B5"/>
    <w:rsid w:val="00381E5F"/>
    <w:rsid w:val="00383819"/>
    <w:rsid w:val="00390A6C"/>
    <w:rsid w:val="0039532E"/>
    <w:rsid w:val="00395F45"/>
    <w:rsid w:val="003B0E50"/>
    <w:rsid w:val="003B1872"/>
    <w:rsid w:val="003B3AAD"/>
    <w:rsid w:val="003C0B67"/>
    <w:rsid w:val="003C0E7A"/>
    <w:rsid w:val="003C4BFB"/>
    <w:rsid w:val="003D0C2A"/>
    <w:rsid w:val="003D1B7C"/>
    <w:rsid w:val="003E1484"/>
    <w:rsid w:val="003E1F64"/>
    <w:rsid w:val="003E36D9"/>
    <w:rsid w:val="003E3E61"/>
    <w:rsid w:val="003E54E0"/>
    <w:rsid w:val="003E55AB"/>
    <w:rsid w:val="003E5890"/>
    <w:rsid w:val="003F0F63"/>
    <w:rsid w:val="003F7A82"/>
    <w:rsid w:val="003F7AC0"/>
    <w:rsid w:val="00406082"/>
    <w:rsid w:val="004062ED"/>
    <w:rsid w:val="004214ED"/>
    <w:rsid w:val="004230EB"/>
    <w:rsid w:val="00425D07"/>
    <w:rsid w:val="00430A18"/>
    <w:rsid w:val="00430FFF"/>
    <w:rsid w:val="00431335"/>
    <w:rsid w:val="00436734"/>
    <w:rsid w:val="00446995"/>
    <w:rsid w:val="00452725"/>
    <w:rsid w:val="004545C7"/>
    <w:rsid w:val="00476CA1"/>
    <w:rsid w:val="00482EC3"/>
    <w:rsid w:val="0048726C"/>
    <w:rsid w:val="0048756F"/>
    <w:rsid w:val="004926BF"/>
    <w:rsid w:val="004A0D7F"/>
    <w:rsid w:val="004A1AC9"/>
    <w:rsid w:val="004A2C7D"/>
    <w:rsid w:val="004A3B0F"/>
    <w:rsid w:val="004A611E"/>
    <w:rsid w:val="004C2259"/>
    <w:rsid w:val="004C5400"/>
    <w:rsid w:val="004D3F00"/>
    <w:rsid w:val="004E068F"/>
    <w:rsid w:val="004E4D3E"/>
    <w:rsid w:val="004F1885"/>
    <w:rsid w:val="00504C17"/>
    <w:rsid w:val="00510905"/>
    <w:rsid w:val="00511C57"/>
    <w:rsid w:val="00511FA9"/>
    <w:rsid w:val="00514574"/>
    <w:rsid w:val="00517D60"/>
    <w:rsid w:val="00521792"/>
    <w:rsid w:val="00527EFC"/>
    <w:rsid w:val="00536FEA"/>
    <w:rsid w:val="00543B49"/>
    <w:rsid w:val="005566E4"/>
    <w:rsid w:val="00557982"/>
    <w:rsid w:val="00583896"/>
    <w:rsid w:val="00584452"/>
    <w:rsid w:val="005A620D"/>
    <w:rsid w:val="005A7C46"/>
    <w:rsid w:val="005B2404"/>
    <w:rsid w:val="005B2FE2"/>
    <w:rsid w:val="005C04FB"/>
    <w:rsid w:val="005C1689"/>
    <w:rsid w:val="005C21F9"/>
    <w:rsid w:val="005C334F"/>
    <w:rsid w:val="005C64DC"/>
    <w:rsid w:val="005D36C2"/>
    <w:rsid w:val="005E0A4D"/>
    <w:rsid w:val="005E4823"/>
    <w:rsid w:val="005F353F"/>
    <w:rsid w:val="005F662F"/>
    <w:rsid w:val="00600819"/>
    <w:rsid w:val="00614D5F"/>
    <w:rsid w:val="00615A57"/>
    <w:rsid w:val="00617717"/>
    <w:rsid w:val="006239E3"/>
    <w:rsid w:val="006357CA"/>
    <w:rsid w:val="006363AD"/>
    <w:rsid w:val="00641A34"/>
    <w:rsid w:val="0064252E"/>
    <w:rsid w:val="00644DEB"/>
    <w:rsid w:val="006467DF"/>
    <w:rsid w:val="00651149"/>
    <w:rsid w:val="006604FD"/>
    <w:rsid w:val="00660A04"/>
    <w:rsid w:val="0066697C"/>
    <w:rsid w:val="0067018F"/>
    <w:rsid w:val="00671305"/>
    <w:rsid w:val="00677FE9"/>
    <w:rsid w:val="006802E8"/>
    <w:rsid w:val="00681B23"/>
    <w:rsid w:val="00683ED6"/>
    <w:rsid w:val="0069672F"/>
    <w:rsid w:val="006A509D"/>
    <w:rsid w:val="006B10D7"/>
    <w:rsid w:val="006B1CA6"/>
    <w:rsid w:val="006B2167"/>
    <w:rsid w:val="006B32C9"/>
    <w:rsid w:val="006B7E89"/>
    <w:rsid w:val="006C4460"/>
    <w:rsid w:val="006C5779"/>
    <w:rsid w:val="006F4947"/>
    <w:rsid w:val="006F6E3E"/>
    <w:rsid w:val="00700CE9"/>
    <w:rsid w:val="00701969"/>
    <w:rsid w:val="007022B1"/>
    <w:rsid w:val="00706841"/>
    <w:rsid w:val="007243B0"/>
    <w:rsid w:val="007272CE"/>
    <w:rsid w:val="00732077"/>
    <w:rsid w:val="0073363A"/>
    <w:rsid w:val="007355D6"/>
    <w:rsid w:val="00744CA4"/>
    <w:rsid w:val="00750ACA"/>
    <w:rsid w:val="007534B2"/>
    <w:rsid w:val="00754C11"/>
    <w:rsid w:val="00756571"/>
    <w:rsid w:val="0076448E"/>
    <w:rsid w:val="007646F3"/>
    <w:rsid w:val="00764AC0"/>
    <w:rsid w:val="00765EC2"/>
    <w:rsid w:val="007675F1"/>
    <w:rsid w:val="00767A6B"/>
    <w:rsid w:val="007A0DD0"/>
    <w:rsid w:val="007A292A"/>
    <w:rsid w:val="007A62A1"/>
    <w:rsid w:val="007A6C8D"/>
    <w:rsid w:val="007A6F73"/>
    <w:rsid w:val="007B3A8C"/>
    <w:rsid w:val="007B45F9"/>
    <w:rsid w:val="007B58F2"/>
    <w:rsid w:val="007C0541"/>
    <w:rsid w:val="007C6F07"/>
    <w:rsid w:val="007D3D77"/>
    <w:rsid w:val="007D5CD5"/>
    <w:rsid w:val="007D6FBB"/>
    <w:rsid w:val="007F3EC4"/>
    <w:rsid w:val="008038F9"/>
    <w:rsid w:val="0080668E"/>
    <w:rsid w:val="00814E0D"/>
    <w:rsid w:val="00816682"/>
    <w:rsid w:val="00817E3B"/>
    <w:rsid w:val="00822B02"/>
    <w:rsid w:val="00830ADE"/>
    <w:rsid w:val="008341F2"/>
    <w:rsid w:val="0084056C"/>
    <w:rsid w:val="00844588"/>
    <w:rsid w:val="0085639C"/>
    <w:rsid w:val="00864636"/>
    <w:rsid w:val="00866D19"/>
    <w:rsid w:val="00866FCA"/>
    <w:rsid w:val="00874010"/>
    <w:rsid w:val="00880955"/>
    <w:rsid w:val="0088233F"/>
    <w:rsid w:val="008834EF"/>
    <w:rsid w:val="00896610"/>
    <w:rsid w:val="008977BB"/>
    <w:rsid w:val="008A7CCC"/>
    <w:rsid w:val="008B115F"/>
    <w:rsid w:val="008B54F6"/>
    <w:rsid w:val="008C26F1"/>
    <w:rsid w:val="008C391C"/>
    <w:rsid w:val="008D07BF"/>
    <w:rsid w:val="008E11ED"/>
    <w:rsid w:val="008E67A2"/>
    <w:rsid w:val="008F0E1F"/>
    <w:rsid w:val="008F1D5B"/>
    <w:rsid w:val="008F22D1"/>
    <w:rsid w:val="0090722B"/>
    <w:rsid w:val="00913205"/>
    <w:rsid w:val="00913FFD"/>
    <w:rsid w:val="00921CD1"/>
    <w:rsid w:val="00922C57"/>
    <w:rsid w:val="009231E6"/>
    <w:rsid w:val="00925AEA"/>
    <w:rsid w:val="00925D34"/>
    <w:rsid w:val="009358A6"/>
    <w:rsid w:val="00941EEE"/>
    <w:rsid w:val="00954EC3"/>
    <w:rsid w:val="00957B77"/>
    <w:rsid w:val="00962E7D"/>
    <w:rsid w:val="00963B2A"/>
    <w:rsid w:val="00963BE5"/>
    <w:rsid w:val="0096533F"/>
    <w:rsid w:val="00970EFB"/>
    <w:rsid w:val="00971B24"/>
    <w:rsid w:val="00973A10"/>
    <w:rsid w:val="00981448"/>
    <w:rsid w:val="00981883"/>
    <w:rsid w:val="00995D3A"/>
    <w:rsid w:val="009A0DE2"/>
    <w:rsid w:val="009A139A"/>
    <w:rsid w:val="009A3A1B"/>
    <w:rsid w:val="009A5B78"/>
    <w:rsid w:val="009A5FDE"/>
    <w:rsid w:val="009B360D"/>
    <w:rsid w:val="009B4329"/>
    <w:rsid w:val="009C0E17"/>
    <w:rsid w:val="009C7200"/>
    <w:rsid w:val="009D036A"/>
    <w:rsid w:val="009D0D98"/>
    <w:rsid w:val="009D5E8F"/>
    <w:rsid w:val="009D7202"/>
    <w:rsid w:val="009E0B0E"/>
    <w:rsid w:val="009F0951"/>
    <w:rsid w:val="009F5F45"/>
    <w:rsid w:val="009F7090"/>
    <w:rsid w:val="00A024BE"/>
    <w:rsid w:val="00A0531D"/>
    <w:rsid w:val="00A07808"/>
    <w:rsid w:val="00A247E6"/>
    <w:rsid w:val="00A44702"/>
    <w:rsid w:val="00A50B09"/>
    <w:rsid w:val="00A52AFC"/>
    <w:rsid w:val="00A53A58"/>
    <w:rsid w:val="00A5461F"/>
    <w:rsid w:val="00A56133"/>
    <w:rsid w:val="00A57DC8"/>
    <w:rsid w:val="00A64474"/>
    <w:rsid w:val="00A67EE9"/>
    <w:rsid w:val="00A77031"/>
    <w:rsid w:val="00AA0507"/>
    <w:rsid w:val="00AA07BC"/>
    <w:rsid w:val="00AA1E3C"/>
    <w:rsid w:val="00AA2EB8"/>
    <w:rsid w:val="00AA3B76"/>
    <w:rsid w:val="00AA3D3F"/>
    <w:rsid w:val="00AB3190"/>
    <w:rsid w:val="00AB32D9"/>
    <w:rsid w:val="00AC10CD"/>
    <w:rsid w:val="00AC77DB"/>
    <w:rsid w:val="00AC7D28"/>
    <w:rsid w:val="00AD1097"/>
    <w:rsid w:val="00AD1D6E"/>
    <w:rsid w:val="00AD4C85"/>
    <w:rsid w:val="00AD60B6"/>
    <w:rsid w:val="00AE2001"/>
    <w:rsid w:val="00AE746E"/>
    <w:rsid w:val="00AF4124"/>
    <w:rsid w:val="00B023EB"/>
    <w:rsid w:val="00B05032"/>
    <w:rsid w:val="00B15C3D"/>
    <w:rsid w:val="00B1674E"/>
    <w:rsid w:val="00B21F0C"/>
    <w:rsid w:val="00B33B9F"/>
    <w:rsid w:val="00B455A9"/>
    <w:rsid w:val="00B45893"/>
    <w:rsid w:val="00B628A4"/>
    <w:rsid w:val="00B654E7"/>
    <w:rsid w:val="00B70103"/>
    <w:rsid w:val="00B81132"/>
    <w:rsid w:val="00B81406"/>
    <w:rsid w:val="00B83C78"/>
    <w:rsid w:val="00B861C0"/>
    <w:rsid w:val="00B8671C"/>
    <w:rsid w:val="00B869E5"/>
    <w:rsid w:val="00B90A98"/>
    <w:rsid w:val="00B95D70"/>
    <w:rsid w:val="00B965DF"/>
    <w:rsid w:val="00B971B0"/>
    <w:rsid w:val="00BA3CC2"/>
    <w:rsid w:val="00BA649A"/>
    <w:rsid w:val="00BB013E"/>
    <w:rsid w:val="00BB1F47"/>
    <w:rsid w:val="00BC1B2F"/>
    <w:rsid w:val="00BC206A"/>
    <w:rsid w:val="00BC2AAD"/>
    <w:rsid w:val="00BC2C15"/>
    <w:rsid w:val="00BC309A"/>
    <w:rsid w:val="00BC4C04"/>
    <w:rsid w:val="00BC686C"/>
    <w:rsid w:val="00BC785B"/>
    <w:rsid w:val="00BE0957"/>
    <w:rsid w:val="00BE11F9"/>
    <w:rsid w:val="00BE4BC3"/>
    <w:rsid w:val="00BE6C77"/>
    <w:rsid w:val="00BF657E"/>
    <w:rsid w:val="00C00D2B"/>
    <w:rsid w:val="00C036F4"/>
    <w:rsid w:val="00C072EC"/>
    <w:rsid w:val="00C07471"/>
    <w:rsid w:val="00C10488"/>
    <w:rsid w:val="00C109E6"/>
    <w:rsid w:val="00C10D5E"/>
    <w:rsid w:val="00C110F7"/>
    <w:rsid w:val="00C1136E"/>
    <w:rsid w:val="00C1279E"/>
    <w:rsid w:val="00C23576"/>
    <w:rsid w:val="00C25CD6"/>
    <w:rsid w:val="00C26AE9"/>
    <w:rsid w:val="00C27BB6"/>
    <w:rsid w:val="00C46DF2"/>
    <w:rsid w:val="00C52D6B"/>
    <w:rsid w:val="00C565C0"/>
    <w:rsid w:val="00C56C63"/>
    <w:rsid w:val="00C60B79"/>
    <w:rsid w:val="00C60CEA"/>
    <w:rsid w:val="00C66ED3"/>
    <w:rsid w:val="00C707E2"/>
    <w:rsid w:val="00C7320F"/>
    <w:rsid w:val="00C823C7"/>
    <w:rsid w:val="00C83B5A"/>
    <w:rsid w:val="00C878DA"/>
    <w:rsid w:val="00C9665F"/>
    <w:rsid w:val="00C977D2"/>
    <w:rsid w:val="00C97842"/>
    <w:rsid w:val="00CA1FDB"/>
    <w:rsid w:val="00CB2AB5"/>
    <w:rsid w:val="00CC19F8"/>
    <w:rsid w:val="00CC3706"/>
    <w:rsid w:val="00CD1990"/>
    <w:rsid w:val="00CD19F5"/>
    <w:rsid w:val="00CD32C0"/>
    <w:rsid w:val="00CD6582"/>
    <w:rsid w:val="00CE34DD"/>
    <w:rsid w:val="00CE47BD"/>
    <w:rsid w:val="00CF516C"/>
    <w:rsid w:val="00D03039"/>
    <w:rsid w:val="00D0671C"/>
    <w:rsid w:val="00D073DA"/>
    <w:rsid w:val="00D07D8F"/>
    <w:rsid w:val="00D10B8A"/>
    <w:rsid w:val="00D157C3"/>
    <w:rsid w:val="00D25D4B"/>
    <w:rsid w:val="00D26621"/>
    <w:rsid w:val="00D274AA"/>
    <w:rsid w:val="00D2779A"/>
    <w:rsid w:val="00D306FB"/>
    <w:rsid w:val="00D44885"/>
    <w:rsid w:val="00D607A4"/>
    <w:rsid w:val="00D61F80"/>
    <w:rsid w:val="00D6514E"/>
    <w:rsid w:val="00D77CB6"/>
    <w:rsid w:val="00D849AA"/>
    <w:rsid w:val="00D8695F"/>
    <w:rsid w:val="00D97010"/>
    <w:rsid w:val="00D977BC"/>
    <w:rsid w:val="00DB0259"/>
    <w:rsid w:val="00DB0676"/>
    <w:rsid w:val="00DB0701"/>
    <w:rsid w:val="00DB4493"/>
    <w:rsid w:val="00DB47EA"/>
    <w:rsid w:val="00DC6A39"/>
    <w:rsid w:val="00DD1F45"/>
    <w:rsid w:val="00DD5413"/>
    <w:rsid w:val="00DE0A39"/>
    <w:rsid w:val="00DE232F"/>
    <w:rsid w:val="00DE42E2"/>
    <w:rsid w:val="00DE4C26"/>
    <w:rsid w:val="00DE56DF"/>
    <w:rsid w:val="00DF00F7"/>
    <w:rsid w:val="00DF22C8"/>
    <w:rsid w:val="00DF4A40"/>
    <w:rsid w:val="00DF5A0D"/>
    <w:rsid w:val="00DF63A9"/>
    <w:rsid w:val="00E02638"/>
    <w:rsid w:val="00E0293E"/>
    <w:rsid w:val="00E03037"/>
    <w:rsid w:val="00E06451"/>
    <w:rsid w:val="00E07903"/>
    <w:rsid w:val="00E1348E"/>
    <w:rsid w:val="00E17297"/>
    <w:rsid w:val="00E22007"/>
    <w:rsid w:val="00E231FA"/>
    <w:rsid w:val="00E23C1D"/>
    <w:rsid w:val="00E3008F"/>
    <w:rsid w:val="00E321AC"/>
    <w:rsid w:val="00E364A9"/>
    <w:rsid w:val="00E44FBD"/>
    <w:rsid w:val="00E45EC4"/>
    <w:rsid w:val="00E5027E"/>
    <w:rsid w:val="00E51B7F"/>
    <w:rsid w:val="00E55287"/>
    <w:rsid w:val="00E55908"/>
    <w:rsid w:val="00E6236A"/>
    <w:rsid w:val="00E6484F"/>
    <w:rsid w:val="00E71C38"/>
    <w:rsid w:val="00E80B41"/>
    <w:rsid w:val="00E81C82"/>
    <w:rsid w:val="00E81ED5"/>
    <w:rsid w:val="00E846A2"/>
    <w:rsid w:val="00E8475B"/>
    <w:rsid w:val="00E8641D"/>
    <w:rsid w:val="00E87BBA"/>
    <w:rsid w:val="00E929FC"/>
    <w:rsid w:val="00EA0EA6"/>
    <w:rsid w:val="00EA1411"/>
    <w:rsid w:val="00EA1C02"/>
    <w:rsid w:val="00EB5D90"/>
    <w:rsid w:val="00EB6894"/>
    <w:rsid w:val="00EB7F4C"/>
    <w:rsid w:val="00EC5D47"/>
    <w:rsid w:val="00ED4164"/>
    <w:rsid w:val="00ED6C1C"/>
    <w:rsid w:val="00ED7C6A"/>
    <w:rsid w:val="00EE0E78"/>
    <w:rsid w:val="00EE1FAA"/>
    <w:rsid w:val="00EF66B6"/>
    <w:rsid w:val="00F0491A"/>
    <w:rsid w:val="00F25DA8"/>
    <w:rsid w:val="00F342ED"/>
    <w:rsid w:val="00F357CE"/>
    <w:rsid w:val="00F36C2B"/>
    <w:rsid w:val="00F43C94"/>
    <w:rsid w:val="00F477C5"/>
    <w:rsid w:val="00F515F5"/>
    <w:rsid w:val="00F5278E"/>
    <w:rsid w:val="00F5356F"/>
    <w:rsid w:val="00F55628"/>
    <w:rsid w:val="00F55B4B"/>
    <w:rsid w:val="00F63CE1"/>
    <w:rsid w:val="00F6794F"/>
    <w:rsid w:val="00F81A89"/>
    <w:rsid w:val="00F82419"/>
    <w:rsid w:val="00F91F5D"/>
    <w:rsid w:val="00F94CB2"/>
    <w:rsid w:val="00F9677D"/>
    <w:rsid w:val="00FA0735"/>
    <w:rsid w:val="00FA2B90"/>
    <w:rsid w:val="00FB3278"/>
    <w:rsid w:val="00FB3C63"/>
    <w:rsid w:val="00FC2FEF"/>
    <w:rsid w:val="00FC4353"/>
    <w:rsid w:val="00FC4861"/>
    <w:rsid w:val="00FC51AE"/>
    <w:rsid w:val="00FD0105"/>
    <w:rsid w:val="00FD3D4E"/>
    <w:rsid w:val="00FE0147"/>
    <w:rsid w:val="00FE4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A4CCD"/>
  <w15:chartTrackingRefBased/>
  <w15:docId w15:val="{EC56AC96-DBDA-4FD9-B388-1D72EB99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22B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022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022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022B1"/>
    <w:pPr>
      <w:keepNext/>
      <w:keepLines/>
      <w:spacing w:before="40" w:after="0" w:line="276" w:lineRule="auto"/>
      <w:ind w:left="720" w:hanging="360"/>
      <w:jc w:val="both"/>
      <w:outlineLvl w:val="3"/>
    </w:pPr>
    <w:rPr>
      <w:rFonts w:asciiTheme="majorHAnsi" w:eastAsiaTheme="majorEastAsia" w:hAnsiTheme="majorHAnsi" w:cstheme="majorBidi"/>
      <w:i/>
      <w:iCs/>
      <w:color w:val="2E74B5" w:themeColor="accent1" w:themeShade="BF"/>
      <w:lang w:val="sr-Cyrl-CS"/>
    </w:rPr>
  </w:style>
  <w:style w:type="paragraph" w:styleId="Heading5">
    <w:name w:val="heading 5"/>
    <w:basedOn w:val="Normal"/>
    <w:next w:val="Normal"/>
    <w:link w:val="Heading5Char"/>
    <w:uiPriority w:val="9"/>
    <w:unhideWhenUsed/>
    <w:qFormat/>
    <w:rsid w:val="007022B1"/>
    <w:pPr>
      <w:keepNext/>
      <w:keepLines/>
      <w:spacing w:before="40" w:after="0" w:line="276" w:lineRule="auto"/>
      <w:ind w:left="720" w:hanging="360"/>
      <w:jc w:val="both"/>
      <w:outlineLvl w:val="4"/>
    </w:pPr>
    <w:rPr>
      <w:rFonts w:asciiTheme="majorHAnsi" w:eastAsiaTheme="majorEastAsia" w:hAnsiTheme="majorHAnsi" w:cstheme="majorBidi"/>
      <w:color w:val="2E74B5" w:themeColor="accent1" w:themeShade="BF"/>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2B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022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022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022B1"/>
    <w:rPr>
      <w:rFonts w:asciiTheme="majorHAnsi" w:eastAsiaTheme="majorEastAsia" w:hAnsiTheme="majorHAnsi" w:cstheme="majorBidi"/>
      <w:i/>
      <w:iCs/>
      <w:color w:val="2E74B5" w:themeColor="accent1" w:themeShade="BF"/>
      <w:lang w:val="sr-Cyrl-CS"/>
    </w:rPr>
  </w:style>
  <w:style w:type="character" w:customStyle="1" w:styleId="Heading5Char">
    <w:name w:val="Heading 5 Char"/>
    <w:basedOn w:val="DefaultParagraphFont"/>
    <w:link w:val="Heading5"/>
    <w:uiPriority w:val="9"/>
    <w:rsid w:val="007022B1"/>
    <w:rPr>
      <w:rFonts w:asciiTheme="majorHAnsi" w:eastAsiaTheme="majorEastAsia" w:hAnsiTheme="majorHAnsi" w:cstheme="majorBidi"/>
      <w:color w:val="2E74B5" w:themeColor="accent1" w:themeShade="BF"/>
      <w:lang w:val="sr-Cyrl-CS"/>
    </w:rPr>
  </w:style>
  <w:style w:type="paragraph" w:styleId="ListParagraph">
    <w:name w:val="List Paragraph"/>
    <w:aliases w:val="Numbered List Paragraph,References,Numbered Paragraph,Main numbered paragraph,Colorful List - Accent 11,List_Paragraph,Multilevel para_II,Akapit z listą BS,Bullet1,List Paragraph 1,Bullets,123 List Paragraph,Liste 1,PAD"/>
    <w:basedOn w:val="Normal"/>
    <w:link w:val="ListParagraphChar"/>
    <w:uiPriority w:val="34"/>
    <w:qFormat/>
    <w:rsid w:val="007022B1"/>
    <w:pPr>
      <w:ind w:left="720"/>
      <w:contextualSpacing/>
    </w:pPr>
  </w:style>
  <w:style w:type="character" w:styleId="Hyperlink">
    <w:name w:val="Hyperlink"/>
    <w:basedOn w:val="DefaultParagraphFont"/>
    <w:uiPriority w:val="99"/>
    <w:unhideWhenUsed/>
    <w:rsid w:val="007022B1"/>
    <w:rPr>
      <w:color w:val="0000FF"/>
      <w:u w:val="single"/>
    </w:rPr>
  </w:style>
  <w:style w:type="paragraph" w:styleId="NoSpacing">
    <w:name w:val="No Spacing"/>
    <w:uiPriority w:val="1"/>
    <w:qFormat/>
    <w:rsid w:val="007022B1"/>
    <w:pPr>
      <w:spacing w:after="0" w:line="240" w:lineRule="auto"/>
    </w:pPr>
    <w:rPr>
      <w:lang w:val="en-GB"/>
    </w:rPr>
  </w:style>
  <w:style w:type="character" w:customStyle="1" w:styleId="download-link">
    <w:name w:val="download-link"/>
    <w:basedOn w:val="DefaultParagraphFont"/>
    <w:rsid w:val="007022B1"/>
  </w:style>
  <w:style w:type="character" w:customStyle="1" w:styleId="None">
    <w:name w:val="None"/>
    <w:rsid w:val="007022B1"/>
  </w:style>
  <w:style w:type="paragraph" w:customStyle="1" w:styleId="Normal1">
    <w:name w:val="Normal1"/>
    <w:basedOn w:val="Normal"/>
    <w:rsid w:val="007022B1"/>
    <w:pPr>
      <w:spacing w:before="100" w:beforeAutospacing="1" w:after="100" w:afterAutospacing="1" w:line="240" w:lineRule="auto"/>
    </w:pPr>
    <w:rPr>
      <w:rFonts w:ascii="Arial" w:eastAsia="Times New Roman" w:hAnsi="Arial" w:cs="Arial"/>
    </w:rPr>
  </w:style>
  <w:style w:type="paragraph" w:customStyle="1" w:styleId="Default">
    <w:name w:val="Default"/>
    <w:rsid w:val="007022B1"/>
    <w:pPr>
      <w:autoSpaceDE w:val="0"/>
      <w:autoSpaceDN w:val="0"/>
      <w:adjustRightInd w:val="0"/>
      <w:spacing w:after="0" w:line="240" w:lineRule="auto"/>
    </w:pPr>
    <w:rPr>
      <w:rFonts w:ascii="Corbel" w:hAnsi="Corbel" w:cs="Corbel"/>
      <w:color w:val="000000"/>
      <w:sz w:val="24"/>
      <w:szCs w:val="24"/>
    </w:rPr>
  </w:style>
  <w:style w:type="paragraph" w:customStyle="1" w:styleId="hl">
    <w:name w:val="hl"/>
    <w:basedOn w:val="Normal"/>
    <w:rsid w:val="007022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22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22B1"/>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nhideWhenUsed/>
    <w:rsid w:val="007022B1"/>
    <w:pPr>
      <w:tabs>
        <w:tab w:val="center" w:pos="4680"/>
        <w:tab w:val="right" w:pos="9360"/>
      </w:tabs>
      <w:spacing w:after="0" w:line="240" w:lineRule="auto"/>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rsid w:val="007022B1"/>
  </w:style>
  <w:style w:type="character" w:styleId="CommentReference">
    <w:name w:val="annotation reference"/>
    <w:basedOn w:val="DefaultParagraphFont"/>
    <w:uiPriority w:val="99"/>
    <w:semiHidden/>
    <w:unhideWhenUsed/>
    <w:rsid w:val="007022B1"/>
    <w:rPr>
      <w:sz w:val="16"/>
      <w:szCs w:val="16"/>
    </w:rPr>
  </w:style>
  <w:style w:type="paragraph" w:styleId="CommentText">
    <w:name w:val="annotation text"/>
    <w:basedOn w:val="Normal"/>
    <w:link w:val="CommentTextChar"/>
    <w:uiPriority w:val="99"/>
    <w:unhideWhenUsed/>
    <w:rsid w:val="007022B1"/>
    <w:pPr>
      <w:spacing w:line="240" w:lineRule="auto"/>
    </w:pPr>
    <w:rPr>
      <w:sz w:val="20"/>
      <w:szCs w:val="20"/>
    </w:rPr>
  </w:style>
  <w:style w:type="character" w:customStyle="1" w:styleId="CommentTextChar">
    <w:name w:val="Comment Text Char"/>
    <w:basedOn w:val="DefaultParagraphFont"/>
    <w:link w:val="CommentText"/>
    <w:uiPriority w:val="99"/>
    <w:rsid w:val="007022B1"/>
    <w:rPr>
      <w:sz w:val="20"/>
      <w:szCs w:val="20"/>
    </w:rPr>
  </w:style>
  <w:style w:type="paragraph" w:styleId="CommentSubject">
    <w:name w:val="annotation subject"/>
    <w:basedOn w:val="CommentText"/>
    <w:next w:val="CommentText"/>
    <w:link w:val="CommentSubjectChar"/>
    <w:uiPriority w:val="99"/>
    <w:semiHidden/>
    <w:unhideWhenUsed/>
    <w:rsid w:val="007022B1"/>
    <w:rPr>
      <w:b/>
      <w:bCs/>
    </w:rPr>
  </w:style>
  <w:style w:type="character" w:customStyle="1" w:styleId="CommentSubjectChar">
    <w:name w:val="Comment Subject Char"/>
    <w:basedOn w:val="CommentTextChar"/>
    <w:link w:val="CommentSubject"/>
    <w:uiPriority w:val="99"/>
    <w:semiHidden/>
    <w:rsid w:val="007022B1"/>
    <w:rPr>
      <w:b/>
      <w:bCs/>
      <w:sz w:val="20"/>
      <w:szCs w:val="20"/>
    </w:rPr>
  </w:style>
  <w:style w:type="paragraph" w:customStyle="1" w:styleId="clan">
    <w:name w:val="clan"/>
    <w:basedOn w:val="Normal"/>
    <w:rsid w:val="00702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7022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7022B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qFormat/>
    <w:rsid w:val="007022B1"/>
    <w:pPr>
      <w:widowControl w:val="0"/>
      <w:shd w:val="clear" w:color="auto" w:fill="FFFFFF"/>
      <w:spacing w:after="280" w:line="240" w:lineRule="auto"/>
    </w:pPr>
    <w:rPr>
      <w:rFonts w:ascii="Arial" w:eastAsia="Arial" w:hAnsi="Arial" w:cs="Arial"/>
      <w:lang w:bidi="en-US"/>
    </w:rPr>
  </w:style>
  <w:style w:type="character" w:customStyle="1" w:styleId="BodyTextChar">
    <w:name w:val="Body Text Char"/>
    <w:basedOn w:val="DefaultParagraphFont"/>
    <w:link w:val="BodyText"/>
    <w:semiHidden/>
    <w:rsid w:val="007022B1"/>
    <w:rPr>
      <w:rFonts w:ascii="Arial" w:eastAsia="Arial" w:hAnsi="Arial" w:cs="Arial"/>
      <w:shd w:val="clear" w:color="auto" w:fill="FFFFFF"/>
      <w:lang w:bidi="en-US"/>
    </w:rPr>
  </w:style>
  <w:style w:type="table" w:styleId="TableGrid">
    <w:name w:val="Table Grid"/>
    <w:basedOn w:val="TableNormal"/>
    <w:uiPriority w:val="39"/>
    <w:rsid w:val="007022B1"/>
    <w:pPr>
      <w:spacing w:after="0" w:line="240" w:lineRule="auto"/>
      <w:ind w:firstLine="720"/>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Podrozdział,Fußnotentextf,Footnote Text Char Char,single space,FOOTNOTES,fn,stile 1,Footnote,Footnote1,Footnote2,Footnote3,Footnote4,Footnote5,Footnote6,Footnote7,Footnote8,Footnote9,Footnote10,- OP,Char1 Char,ADB,ft"/>
    <w:basedOn w:val="Normal"/>
    <w:link w:val="FootnoteTextChar"/>
    <w:uiPriority w:val="99"/>
    <w:unhideWhenUsed/>
    <w:qFormat/>
    <w:rsid w:val="007022B1"/>
    <w:pPr>
      <w:spacing w:after="0" w:line="240" w:lineRule="auto"/>
    </w:pPr>
    <w:rPr>
      <w:sz w:val="20"/>
      <w:szCs w:val="20"/>
    </w:rPr>
  </w:style>
  <w:style w:type="character" w:customStyle="1" w:styleId="FootnoteTextChar">
    <w:name w:val="Footnote Text Char"/>
    <w:aliases w:val="Fußnote Char,Podrozdział Char,Fußnotentextf Char,Footnote Text Char Char Char,single space Char,FOOTNOTES Char,fn Char,stile 1 Char,Footnote Char,Footnote1 Char,Footnote2 Char,Footnote3 Char,Footnote4 Char,Footnote5 Char,- OP Char"/>
    <w:basedOn w:val="DefaultParagraphFont"/>
    <w:link w:val="FootnoteText"/>
    <w:uiPriority w:val="99"/>
    <w:qFormat/>
    <w:rsid w:val="007022B1"/>
    <w:rPr>
      <w:sz w:val="20"/>
      <w:szCs w:val="20"/>
    </w:rPr>
  </w:style>
  <w:style w:type="character" w:styleId="FootnoteReference">
    <w:name w:val="footnote reference"/>
    <w:aliases w:val="Footnote Reference_Knjiga,Footnote Reference_IAUS,Footnote Text1,ftref,Fußnotenzeichen DISS,BVI fnr,Footnote Text11,fr,SUPERS,-E Fußnotenzeichen,Footnote symbol,Times 10 Point,Exposant 3 Point,number,Footnote reference number"/>
    <w:basedOn w:val="DefaultParagraphFont"/>
    <w:link w:val="16Point"/>
    <w:uiPriority w:val="99"/>
    <w:unhideWhenUsed/>
    <w:qFormat/>
    <w:rsid w:val="007022B1"/>
    <w:rPr>
      <w:vertAlign w:val="superscript"/>
    </w:rPr>
  </w:style>
  <w:style w:type="paragraph" w:styleId="Caption">
    <w:name w:val="caption"/>
    <w:basedOn w:val="Normal"/>
    <w:next w:val="Normal"/>
    <w:uiPriority w:val="35"/>
    <w:unhideWhenUsed/>
    <w:qFormat/>
    <w:rsid w:val="007022B1"/>
    <w:pPr>
      <w:spacing w:after="200" w:line="240" w:lineRule="auto"/>
    </w:pPr>
    <w:rPr>
      <w:i/>
      <w:iCs/>
      <w:color w:val="44546A" w:themeColor="text2"/>
      <w:sz w:val="18"/>
      <w:szCs w:val="18"/>
    </w:rPr>
  </w:style>
  <w:style w:type="paragraph" w:customStyle="1" w:styleId="PodPodPodnaslov">
    <w:name w:val="PodPodPodnaslov"/>
    <w:basedOn w:val="Normal"/>
    <w:qFormat/>
    <w:rsid w:val="007022B1"/>
    <w:pPr>
      <w:spacing w:after="200" w:line="240" w:lineRule="auto"/>
      <w:jc w:val="both"/>
    </w:pPr>
    <w:rPr>
      <w:rFonts w:ascii="Times New Roman" w:eastAsia="Times New Roman" w:hAnsi="Times New Roman" w:cs="Times New Roman"/>
      <w:b/>
      <w:sz w:val="24"/>
      <w:szCs w:val="24"/>
      <w:lang w:val="sr-Cyrl-CS" w:eastAsia="zh-CN"/>
    </w:rPr>
  </w:style>
  <w:style w:type="paragraph" w:styleId="EndnoteText">
    <w:name w:val="endnote text"/>
    <w:basedOn w:val="Normal"/>
    <w:link w:val="EndnoteTextChar"/>
    <w:uiPriority w:val="99"/>
    <w:semiHidden/>
    <w:unhideWhenUsed/>
    <w:rsid w:val="007022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22B1"/>
    <w:rPr>
      <w:sz w:val="20"/>
      <w:szCs w:val="20"/>
    </w:rPr>
  </w:style>
  <w:style w:type="character" w:styleId="EndnoteReference">
    <w:name w:val="endnote reference"/>
    <w:basedOn w:val="DefaultParagraphFont"/>
    <w:uiPriority w:val="99"/>
    <w:semiHidden/>
    <w:unhideWhenUsed/>
    <w:rsid w:val="007022B1"/>
    <w:rPr>
      <w:vertAlign w:val="superscript"/>
    </w:rPr>
  </w:style>
  <w:style w:type="character" w:customStyle="1" w:styleId="UnresolvedMention1">
    <w:name w:val="Unresolved Mention1"/>
    <w:basedOn w:val="DefaultParagraphFont"/>
    <w:uiPriority w:val="99"/>
    <w:semiHidden/>
    <w:unhideWhenUsed/>
    <w:rsid w:val="007022B1"/>
    <w:rPr>
      <w:color w:val="605E5C"/>
      <w:shd w:val="clear" w:color="auto" w:fill="E1DFDD"/>
    </w:rPr>
  </w:style>
  <w:style w:type="character" w:styleId="FollowedHyperlink">
    <w:name w:val="FollowedHyperlink"/>
    <w:basedOn w:val="DefaultParagraphFont"/>
    <w:uiPriority w:val="99"/>
    <w:semiHidden/>
    <w:unhideWhenUsed/>
    <w:rsid w:val="007022B1"/>
    <w:rPr>
      <w:color w:val="954F72" w:themeColor="followedHyperlink"/>
      <w:u w:val="single"/>
    </w:rPr>
  </w:style>
  <w:style w:type="paragraph" w:styleId="NormalWeb">
    <w:name w:val="Normal (Web)"/>
    <w:basedOn w:val="Normal"/>
    <w:uiPriority w:val="99"/>
    <w:unhideWhenUsed/>
    <w:rsid w:val="007022B1"/>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CurrentList1">
    <w:name w:val="Current List1"/>
    <w:uiPriority w:val="99"/>
    <w:rsid w:val="007022B1"/>
    <w:pPr>
      <w:numPr>
        <w:numId w:val="1"/>
      </w:numPr>
    </w:pPr>
  </w:style>
  <w:style w:type="paragraph" w:styleId="TOCHeading">
    <w:name w:val="TOC Heading"/>
    <w:basedOn w:val="Heading1"/>
    <w:next w:val="Normal"/>
    <w:uiPriority w:val="39"/>
    <w:unhideWhenUsed/>
    <w:qFormat/>
    <w:rsid w:val="007022B1"/>
    <w:pPr>
      <w:spacing w:before="480" w:line="276" w:lineRule="auto"/>
      <w:outlineLvl w:val="9"/>
    </w:pPr>
    <w:rPr>
      <w:b/>
      <w:bCs/>
      <w:sz w:val="28"/>
      <w:szCs w:val="28"/>
    </w:rPr>
  </w:style>
  <w:style w:type="paragraph" w:styleId="TOC2">
    <w:name w:val="toc 2"/>
    <w:basedOn w:val="Normal"/>
    <w:next w:val="Normal"/>
    <w:autoRedefine/>
    <w:uiPriority w:val="39"/>
    <w:unhideWhenUsed/>
    <w:rsid w:val="007022B1"/>
    <w:pPr>
      <w:tabs>
        <w:tab w:val="left" w:pos="709"/>
        <w:tab w:val="right" w:leader="dot" w:pos="9962"/>
      </w:tabs>
      <w:spacing w:before="120" w:after="0"/>
      <w:ind w:left="220"/>
    </w:pPr>
    <w:rPr>
      <w:rFonts w:cstheme="minorHAnsi"/>
      <w:b/>
      <w:bCs/>
    </w:rPr>
  </w:style>
  <w:style w:type="paragraph" w:styleId="TOC3">
    <w:name w:val="toc 3"/>
    <w:basedOn w:val="Normal"/>
    <w:next w:val="Normal"/>
    <w:autoRedefine/>
    <w:uiPriority w:val="39"/>
    <w:unhideWhenUsed/>
    <w:rsid w:val="007022B1"/>
    <w:pPr>
      <w:spacing w:after="0"/>
      <w:ind w:left="440"/>
    </w:pPr>
    <w:rPr>
      <w:rFonts w:cstheme="minorHAnsi"/>
      <w:sz w:val="20"/>
      <w:szCs w:val="20"/>
    </w:rPr>
  </w:style>
  <w:style w:type="paragraph" w:styleId="TOC1">
    <w:name w:val="toc 1"/>
    <w:basedOn w:val="Normal"/>
    <w:next w:val="Normal"/>
    <w:autoRedefine/>
    <w:uiPriority w:val="39"/>
    <w:semiHidden/>
    <w:unhideWhenUsed/>
    <w:rsid w:val="007022B1"/>
    <w:pPr>
      <w:spacing w:before="120" w:after="0"/>
    </w:pPr>
    <w:rPr>
      <w:rFonts w:cstheme="minorHAnsi"/>
      <w:b/>
      <w:bCs/>
      <w:i/>
      <w:iCs/>
      <w:sz w:val="24"/>
      <w:szCs w:val="24"/>
    </w:rPr>
  </w:style>
  <w:style w:type="paragraph" w:styleId="TOC4">
    <w:name w:val="toc 4"/>
    <w:basedOn w:val="Normal"/>
    <w:next w:val="Normal"/>
    <w:autoRedefine/>
    <w:uiPriority w:val="39"/>
    <w:semiHidden/>
    <w:unhideWhenUsed/>
    <w:rsid w:val="007022B1"/>
    <w:pPr>
      <w:spacing w:after="0"/>
      <w:ind w:left="660"/>
    </w:pPr>
    <w:rPr>
      <w:rFonts w:cstheme="minorHAnsi"/>
      <w:sz w:val="20"/>
      <w:szCs w:val="20"/>
    </w:rPr>
  </w:style>
  <w:style w:type="paragraph" w:styleId="TOC5">
    <w:name w:val="toc 5"/>
    <w:basedOn w:val="Normal"/>
    <w:next w:val="Normal"/>
    <w:autoRedefine/>
    <w:uiPriority w:val="39"/>
    <w:semiHidden/>
    <w:unhideWhenUsed/>
    <w:rsid w:val="007022B1"/>
    <w:pPr>
      <w:spacing w:after="0"/>
      <w:ind w:left="880"/>
    </w:pPr>
    <w:rPr>
      <w:rFonts w:cstheme="minorHAnsi"/>
      <w:sz w:val="20"/>
      <w:szCs w:val="20"/>
    </w:rPr>
  </w:style>
  <w:style w:type="paragraph" w:styleId="TOC6">
    <w:name w:val="toc 6"/>
    <w:basedOn w:val="Normal"/>
    <w:next w:val="Normal"/>
    <w:autoRedefine/>
    <w:uiPriority w:val="39"/>
    <w:semiHidden/>
    <w:unhideWhenUsed/>
    <w:rsid w:val="007022B1"/>
    <w:pPr>
      <w:spacing w:after="0"/>
      <w:ind w:left="1100"/>
    </w:pPr>
    <w:rPr>
      <w:rFonts w:cstheme="minorHAnsi"/>
      <w:sz w:val="20"/>
      <w:szCs w:val="20"/>
    </w:rPr>
  </w:style>
  <w:style w:type="paragraph" w:styleId="TOC7">
    <w:name w:val="toc 7"/>
    <w:basedOn w:val="Normal"/>
    <w:next w:val="Normal"/>
    <w:autoRedefine/>
    <w:uiPriority w:val="39"/>
    <w:semiHidden/>
    <w:unhideWhenUsed/>
    <w:rsid w:val="007022B1"/>
    <w:pPr>
      <w:spacing w:after="0"/>
      <w:ind w:left="1320"/>
    </w:pPr>
    <w:rPr>
      <w:rFonts w:cstheme="minorHAnsi"/>
      <w:sz w:val="20"/>
      <w:szCs w:val="20"/>
    </w:rPr>
  </w:style>
  <w:style w:type="paragraph" w:styleId="TOC8">
    <w:name w:val="toc 8"/>
    <w:basedOn w:val="Normal"/>
    <w:next w:val="Normal"/>
    <w:autoRedefine/>
    <w:uiPriority w:val="39"/>
    <w:semiHidden/>
    <w:unhideWhenUsed/>
    <w:rsid w:val="007022B1"/>
    <w:pPr>
      <w:spacing w:after="0"/>
      <w:ind w:left="1540"/>
    </w:pPr>
    <w:rPr>
      <w:rFonts w:cstheme="minorHAnsi"/>
      <w:sz w:val="20"/>
      <w:szCs w:val="20"/>
    </w:rPr>
  </w:style>
  <w:style w:type="paragraph" w:styleId="TOC9">
    <w:name w:val="toc 9"/>
    <w:basedOn w:val="Normal"/>
    <w:next w:val="Normal"/>
    <w:autoRedefine/>
    <w:uiPriority w:val="39"/>
    <w:semiHidden/>
    <w:unhideWhenUsed/>
    <w:rsid w:val="007022B1"/>
    <w:pPr>
      <w:spacing w:after="0"/>
      <w:ind w:left="1760"/>
    </w:pPr>
    <w:rPr>
      <w:rFonts w:cstheme="minorHAnsi"/>
      <w:sz w:val="20"/>
      <w:szCs w:val="20"/>
    </w:rPr>
  </w:style>
  <w:style w:type="paragraph" w:styleId="BalloonText">
    <w:name w:val="Balloon Text"/>
    <w:basedOn w:val="Normal"/>
    <w:link w:val="BalloonTextChar"/>
    <w:uiPriority w:val="99"/>
    <w:semiHidden/>
    <w:unhideWhenUsed/>
    <w:rsid w:val="007022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2B1"/>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Akapit z listą BS Char,Bullet1 Char,List Paragraph 1 Char"/>
    <w:link w:val="ListParagraph"/>
    <w:uiPriority w:val="34"/>
    <w:locked/>
    <w:rsid w:val="007022B1"/>
  </w:style>
  <w:style w:type="paragraph" w:customStyle="1" w:styleId="basic-paragraph">
    <w:name w:val="basic-paragraph"/>
    <w:basedOn w:val="Normal"/>
    <w:rsid w:val="007022B1"/>
    <w:pPr>
      <w:spacing w:before="100" w:beforeAutospacing="1" w:after="100" w:afterAutospacing="1" w:line="240" w:lineRule="auto"/>
    </w:pPr>
    <w:rPr>
      <w:rFonts w:ascii="Times New Roman" w:eastAsia="Times New Roman" w:hAnsi="Times New Roman" w:cs="Times New Roman"/>
      <w:sz w:val="24"/>
      <w:szCs w:val="24"/>
      <w:lang w:val="sr-Cyrl-RS" w:eastAsia="sr-Cyrl-RS"/>
    </w:rPr>
  </w:style>
  <w:style w:type="paragraph" w:styleId="Revision">
    <w:name w:val="Revision"/>
    <w:hidden/>
    <w:uiPriority w:val="99"/>
    <w:semiHidden/>
    <w:rsid w:val="007022B1"/>
    <w:pPr>
      <w:spacing w:after="0" w:line="240" w:lineRule="auto"/>
    </w:pPr>
  </w:style>
  <w:style w:type="character" w:customStyle="1" w:styleId="UnresolvedMention2">
    <w:name w:val="Unresolved Mention2"/>
    <w:basedOn w:val="DefaultParagraphFont"/>
    <w:uiPriority w:val="99"/>
    <w:semiHidden/>
    <w:unhideWhenUsed/>
    <w:rsid w:val="007022B1"/>
    <w:rPr>
      <w:color w:val="605E5C"/>
      <w:shd w:val="clear" w:color="auto" w:fill="E1DFDD"/>
    </w:rPr>
  </w:style>
  <w:style w:type="character" w:styleId="PageNumber">
    <w:name w:val="page number"/>
    <w:basedOn w:val="DefaultParagraphFont"/>
    <w:uiPriority w:val="99"/>
    <w:semiHidden/>
    <w:unhideWhenUsed/>
    <w:rsid w:val="007022B1"/>
  </w:style>
  <w:style w:type="character" w:styleId="LineNumber">
    <w:name w:val="line number"/>
    <w:basedOn w:val="DefaultParagraphFont"/>
    <w:uiPriority w:val="99"/>
    <w:semiHidden/>
    <w:unhideWhenUsed/>
    <w:rsid w:val="007022B1"/>
  </w:style>
  <w:style w:type="character" w:styleId="PlaceholderText">
    <w:name w:val="Placeholder Text"/>
    <w:basedOn w:val="DefaultParagraphFont"/>
    <w:uiPriority w:val="99"/>
    <w:semiHidden/>
    <w:rsid w:val="00F81A89"/>
    <w:rPr>
      <w:color w:val="808080"/>
    </w:rPr>
  </w:style>
  <w:style w:type="paragraph" w:customStyle="1" w:styleId="a">
    <w:name w:val="мкиу"/>
    <w:rsid w:val="006B2167"/>
    <w:pPr>
      <w:tabs>
        <w:tab w:val="left" w:pos="1418"/>
      </w:tabs>
      <w:spacing w:after="0" w:line="240" w:lineRule="auto"/>
      <w:jc w:val="both"/>
    </w:pPr>
    <w:rPr>
      <w:rFonts w:ascii="Times New Roman" w:eastAsia="Times New Roman" w:hAnsi="Times New Roman" w:cs="Times New Roman"/>
      <w:sz w:val="24"/>
      <w:szCs w:val="24"/>
    </w:rPr>
  </w:style>
  <w:style w:type="paragraph" w:customStyle="1" w:styleId="16Point">
    <w:name w:val="16 Point"/>
    <w:aliases w:val="Superscript 6 Point,Odwołanie przypisu,Ref,de nota al pie,footnote ref,2001+ Fußnotenzeichen,BVI fnr Знак Знак,BVI fnr Car Car Знак Знак,BVI fnr Car Знак Знак,R"/>
    <w:basedOn w:val="Normal"/>
    <w:link w:val="FootnoteReference"/>
    <w:uiPriority w:val="99"/>
    <w:rsid w:val="00A44702"/>
    <w:pPr>
      <w:spacing w:before="120" w:line="240" w:lineRule="exact"/>
      <w:jc w:val="both"/>
    </w:pPr>
    <w:rPr>
      <w:vertAlign w:val="superscript"/>
    </w:rPr>
  </w:style>
  <w:style w:type="character" w:styleId="Strong">
    <w:name w:val="Strong"/>
    <w:basedOn w:val="DefaultParagraphFont"/>
    <w:uiPriority w:val="22"/>
    <w:qFormat/>
    <w:rsid w:val="001374C9"/>
    <w:rPr>
      <w:b/>
      <w:bCs/>
    </w:rPr>
  </w:style>
  <w:style w:type="paragraph" w:customStyle="1" w:styleId="pf0">
    <w:name w:val="pf0"/>
    <w:basedOn w:val="Normal"/>
    <w:rsid w:val="00C565C0"/>
    <w:pPr>
      <w:spacing w:before="100" w:beforeAutospacing="1" w:after="100" w:afterAutospacing="1" w:line="240" w:lineRule="auto"/>
    </w:pPr>
    <w:rPr>
      <w:rFonts w:ascii="Calibri" w:hAnsi="Calibri" w:cs="Calibri"/>
      <w:lang w:val="en-GB" w:eastAsia="en-GB"/>
    </w:rPr>
  </w:style>
  <w:style w:type="character" w:customStyle="1" w:styleId="cf01">
    <w:name w:val="cf01"/>
    <w:basedOn w:val="DefaultParagraphFont"/>
    <w:rsid w:val="00C565C0"/>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43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stat/statistics-explained/index.php/Accidents_at_work_statistics" TargetMode="Externa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c.europa.eu/eurostat/statistics-explained/index.php/Accidents_at_work_statistics" TargetMode="External"/><Relationship Id="rId14" Type="http://schemas.openxmlformats.org/officeDocument/2006/relationships/chart" Target="charts/chart5.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reativesafetysupply.com/articles/osha-incident-rates-calculators-formulas/" TargetMode="External"/><Relationship Id="rId3" Type="http://schemas.openxmlformats.org/officeDocument/2006/relationships/hyperlink" Target="https://osha.europa.eu/en/file/108414/download?token=2yF1UnxW" TargetMode="External"/><Relationship Id="rId7" Type="http://schemas.openxmlformats.org/officeDocument/2006/relationships/hyperlink" Target="https://www.eurosafe.eu.com/uploads/inline-files/E_Manual%20for%20calculation%20incidence%20rates.pdf" TargetMode="External"/><Relationship Id="rId2" Type="http://schemas.openxmlformats.org/officeDocument/2006/relationships/hyperlink" Target="https://osha.europa.eu/en/file/108414/download?token=2yF1UnxW" TargetMode="External"/><Relationship Id="rId1" Type="http://schemas.openxmlformats.org/officeDocument/2006/relationships/hyperlink" Target="https://osha.europa.eu/en/file/108414/download?token=2yF1UnxW" TargetMode="External"/><Relationship Id="rId6" Type="http://schemas.openxmlformats.org/officeDocument/2006/relationships/hyperlink" Target="https://ec.europa.eu/eurostat/statistics-explained/index.php?title=Accidents_at_work_statistics" TargetMode="External"/><Relationship Id="rId5" Type="http://schemas.openxmlformats.org/officeDocument/2006/relationships/hyperlink" Target="https://ec.europa.eu/eurostat/web/products-manuals-and-guidelines/-/KS-RA-12-102" TargetMode="External"/><Relationship Id="rId10" Type="http://schemas.openxmlformats.org/officeDocument/2006/relationships/hyperlink" Target="https://emea01.safelinks.protection.outlook.com/?url=https%3A%2F%2Fpublikacije.stat.gov.rs%2FG2023%2FPdf%2FG20235695.pdf&amp;data=05%7C01%7C%7C25b41ea95a6d4e975f6008db9268f19d%7C84df9e7fe9f640afb435aaaaaaaaaaaa%7C1%7C0%7C638264751770743526%7CUnknown%7CTWFpbGZsb3d8eyJWIjoiMC4wLjAwMDAiLCJQIjoiV2luMzIiLCJBTiI6Ik1haWwiLCJXVCI6Mn0%3D%7C3000%7C%7C%7C&amp;sdata=zIkHp96%2Bry9HY1%2FRAtY9eCyJ7%2FLGNLXkk9sn0BUTB2w%3D&amp;reserved=0" TargetMode="External"/><Relationship Id="rId4" Type="http://schemas.openxmlformats.org/officeDocument/2006/relationships/hyperlink" Target="http://www.pravno-informacioni-sistem.rs/SlGlasnikPortal/eli/rep/sgrs/vlada/strategija/2018/61/1/reg" TargetMode="External"/><Relationship Id="rId9" Type="http://schemas.openxmlformats.org/officeDocument/2006/relationships/hyperlink" Target="https://www.lancetcountdown.org/data-platform/climate-change-impacts-exposures-and-vulnerability/1-1-health-and-heat/1-1-4-change-in-labour-capacity"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ranko%20Radulovi&#263;\Documents\&#1057;&#1090;&#1088;&#1072;&#1090;&#1077;&#1075;&#1080;&#1112;&#1072;%20&#1041;&#1047;&#1056;\hsw_n2_02_page_spreadsheet%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ranko%20Radulovi&#263;\Downloads\hsw_n2_01_page_spreadsheet%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radu\AppData\Roaming\Microsoft\Excel\Book1%20(version%207).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radu\AppData\Roaming\Microsoft\Excel\Book1%20(version%207).xlsb"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bradu\Documents\Book1.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1"/>
            </a:solidFill>
            <a:ln>
              <a:solidFill>
                <a:schemeClr val="tx1"/>
              </a:solidFill>
            </a:ln>
            <a:effectLst/>
          </c:spPr>
          <c:invertIfNegative val="0"/>
          <c:dPt>
            <c:idx val="0"/>
            <c:invertIfNegative val="0"/>
            <c:bubble3D val="0"/>
            <c:spPr>
              <a:solidFill>
                <a:schemeClr val="bg1"/>
              </a:solidFill>
              <a:ln>
                <a:solidFill>
                  <a:schemeClr val="tx1"/>
                </a:solidFill>
              </a:ln>
              <a:effectLst/>
            </c:spPr>
            <c:extLst>
              <c:ext xmlns:c16="http://schemas.microsoft.com/office/drawing/2014/chart" uri="{C3380CC4-5D6E-409C-BE32-E72D297353CC}">
                <c16:uniqueId val="{00000001-B7F4-4EE9-AB78-A66B45F19008}"/>
              </c:ext>
            </c:extLst>
          </c:dPt>
          <c:dPt>
            <c:idx val="30"/>
            <c:invertIfNegative val="0"/>
            <c:bubble3D val="0"/>
            <c:spPr>
              <a:solidFill>
                <a:srgbClr val="FFC000"/>
              </a:solidFill>
              <a:ln>
                <a:solidFill>
                  <a:schemeClr val="tx1"/>
                </a:solidFill>
              </a:ln>
              <a:effectLst/>
            </c:spPr>
            <c:extLst>
              <c:ext xmlns:c16="http://schemas.microsoft.com/office/drawing/2014/chart" uri="{C3380CC4-5D6E-409C-BE32-E72D297353CC}">
                <c16:uniqueId val="{00000003-B7F4-4EE9-AB78-A66B45F19008}"/>
              </c:ext>
            </c:extLst>
          </c:dPt>
          <c:dPt>
            <c:idx val="31"/>
            <c:invertIfNegative val="0"/>
            <c:bubble3D val="0"/>
            <c:spPr>
              <a:solidFill>
                <a:srgbClr val="FFC000"/>
              </a:solidFill>
              <a:ln>
                <a:solidFill>
                  <a:schemeClr val="tx1"/>
                </a:solidFill>
              </a:ln>
              <a:effectLst/>
            </c:spPr>
            <c:extLst>
              <c:ext xmlns:c16="http://schemas.microsoft.com/office/drawing/2014/chart" uri="{C3380CC4-5D6E-409C-BE32-E72D297353CC}">
                <c16:uniqueId val="{00000005-B7F4-4EE9-AB78-A66B45F19008}"/>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7F4-4EE9-AB78-A66B45F19008}"/>
                </c:ext>
              </c:extLst>
            </c:dLbl>
            <c:dLbl>
              <c:idx val="31"/>
              <c:tx>
                <c:rich>
                  <a:bodyPr/>
                  <a:lstStyle/>
                  <a:p>
                    <a:r>
                      <a:rPr lang="en-US"/>
                      <a:t>2.18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7F4-4EE9-AB78-A66B45F19008}"/>
                </c:ext>
              </c:extLst>
            </c:dLbl>
            <c:spPr>
              <a:noFill/>
              <a:ln>
                <a:noFill/>
              </a:ln>
              <a:effectLst/>
            </c:spPr>
            <c:txPr>
              <a:bodyPr rot="0" spcFirstLastPara="1" vertOverflow="ellipsis" vert="horz" wrap="square" anchor="ctr" anchorCtr="1"/>
              <a:lstStyle/>
              <a:p>
                <a:pPr>
                  <a:defRPr sz="700" b="0"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1'!$A$11:$A$42</c:f>
              <c:strCache>
                <c:ptCount val="32"/>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Србија (РФЗО)</c:v>
                </c:pt>
                <c:pt idx="31">
                  <c:v>Србија (ИР)</c:v>
                </c:pt>
              </c:strCache>
            </c:strRef>
          </c:cat>
          <c:val>
            <c:numRef>
              <c:f>'Sheet 1'!$T$11:$T$42</c:f>
              <c:numCache>
                <c:formatCode>#,##0.##########</c:formatCode>
                <c:ptCount val="32"/>
                <c:pt idx="0">
                  <c:v>1.77</c:v>
                </c:pt>
                <c:pt idx="1">
                  <c:v>1.33</c:v>
                </c:pt>
                <c:pt idx="2">
                  <c:v>3.68</c:v>
                </c:pt>
                <c:pt idx="3">
                  <c:v>2.2999999999999998</c:v>
                </c:pt>
                <c:pt idx="4">
                  <c:v>1.34</c:v>
                </c:pt>
                <c:pt idx="5">
                  <c:v>0.73</c:v>
                </c:pt>
                <c:pt idx="6">
                  <c:v>1.73</c:v>
                </c:pt>
                <c:pt idx="7">
                  <c:v>1.79</c:v>
                </c:pt>
                <c:pt idx="8">
                  <c:v>0.88</c:v>
                </c:pt>
                <c:pt idx="9">
                  <c:v>2.06</c:v>
                </c:pt>
                <c:pt idx="10">
                  <c:v>2.54</c:v>
                </c:pt>
                <c:pt idx="11">
                  <c:v>2.89</c:v>
                </c:pt>
                <c:pt idx="12">
                  <c:v>3.39</c:v>
                </c:pt>
                <c:pt idx="13">
                  <c:v>4.45</c:v>
                </c:pt>
                <c:pt idx="14">
                  <c:v>2.4700000000000002</c:v>
                </c:pt>
                <c:pt idx="15">
                  <c:v>3.17</c:v>
                </c:pt>
                <c:pt idx="16">
                  <c:v>1.71</c:v>
                </c:pt>
                <c:pt idx="17">
                  <c:v>1.63</c:v>
                </c:pt>
                <c:pt idx="18">
                  <c:v>2.68</c:v>
                </c:pt>
                <c:pt idx="19">
                  <c:v>0.27</c:v>
                </c:pt>
                <c:pt idx="20">
                  <c:v>2.36</c:v>
                </c:pt>
                <c:pt idx="21">
                  <c:v>1.35</c:v>
                </c:pt>
                <c:pt idx="22">
                  <c:v>2.72</c:v>
                </c:pt>
                <c:pt idx="23">
                  <c:v>3.31</c:v>
                </c:pt>
                <c:pt idx="24">
                  <c:v>1.85</c:v>
                </c:pt>
                <c:pt idx="25">
                  <c:v>1.49</c:v>
                </c:pt>
                <c:pt idx="26">
                  <c:v>0.95</c:v>
                </c:pt>
                <c:pt idx="27">
                  <c:v>0.49</c:v>
                </c:pt>
                <c:pt idx="28">
                  <c:v>1.54</c:v>
                </c:pt>
                <c:pt idx="29">
                  <c:v>1.45</c:v>
                </c:pt>
                <c:pt idx="30" formatCode="#,##0.00">
                  <c:v>1.602107661634862</c:v>
                </c:pt>
                <c:pt idx="31" formatCode="#,##0.00">
                  <c:v>2.1717459413272571</c:v>
                </c:pt>
              </c:numCache>
            </c:numRef>
          </c:val>
          <c:extLst>
            <c:ext xmlns:c16="http://schemas.microsoft.com/office/drawing/2014/chart" uri="{C3380CC4-5D6E-409C-BE32-E72D297353CC}">
              <c16:uniqueId val="{00000006-B7F4-4EE9-AB78-A66B45F19008}"/>
            </c:ext>
          </c:extLst>
        </c:ser>
        <c:dLbls>
          <c:showLegendKey val="0"/>
          <c:showVal val="0"/>
          <c:showCatName val="0"/>
          <c:showSerName val="0"/>
          <c:showPercent val="0"/>
          <c:showBubbleSize val="0"/>
        </c:dLbls>
        <c:gapWidth val="219"/>
        <c:overlap val="-27"/>
        <c:axId val="678097728"/>
        <c:axId val="678098144"/>
      </c:barChart>
      <c:catAx>
        <c:axId val="678097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crossAx val="678098144"/>
        <c:crosses val="autoZero"/>
        <c:auto val="1"/>
        <c:lblAlgn val="ctr"/>
        <c:lblOffset val="100"/>
        <c:noMultiLvlLbl val="0"/>
      </c:catAx>
      <c:valAx>
        <c:axId val="678098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crossAx val="678097728"/>
        <c:crosses val="autoZero"/>
        <c:crossBetween val="between"/>
        <c:majorUnit val="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700">
          <a:latin typeface="Arial Nova" panose="020B05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1'!$B$12:$B$42</c:f>
            </c:numRef>
          </c:val>
          <c:extLst>
            <c:ext xmlns:c16="http://schemas.microsoft.com/office/drawing/2014/chart" uri="{C3380CC4-5D6E-409C-BE32-E72D297353CC}">
              <c16:uniqueId val="{00000000-2958-4E0F-8DFE-857F91B25306}"/>
            </c:ext>
          </c:extLst>
        </c:ser>
        <c:ser>
          <c:idx val="1"/>
          <c:order val="1"/>
          <c:spPr>
            <a:solidFill>
              <a:schemeClr val="accent2"/>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1'!$C$12:$C$42</c:f>
            </c:numRef>
          </c:val>
          <c:extLst>
            <c:ext xmlns:c16="http://schemas.microsoft.com/office/drawing/2014/chart" uri="{C3380CC4-5D6E-409C-BE32-E72D297353CC}">
              <c16:uniqueId val="{00000001-2958-4E0F-8DFE-857F91B25306}"/>
            </c:ext>
          </c:extLst>
        </c:ser>
        <c:ser>
          <c:idx val="2"/>
          <c:order val="2"/>
          <c:spPr>
            <a:solidFill>
              <a:schemeClr val="accent3"/>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1'!$D$12:$D$42</c:f>
            </c:numRef>
          </c:val>
          <c:extLst>
            <c:ext xmlns:c16="http://schemas.microsoft.com/office/drawing/2014/chart" uri="{C3380CC4-5D6E-409C-BE32-E72D297353CC}">
              <c16:uniqueId val="{00000002-2958-4E0F-8DFE-857F91B25306}"/>
            </c:ext>
          </c:extLst>
        </c:ser>
        <c:ser>
          <c:idx val="3"/>
          <c:order val="3"/>
          <c:spPr>
            <a:solidFill>
              <a:schemeClr val="accent4"/>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1'!$E$12:$E$42</c:f>
            </c:numRef>
          </c:val>
          <c:extLst>
            <c:ext xmlns:c16="http://schemas.microsoft.com/office/drawing/2014/chart" uri="{C3380CC4-5D6E-409C-BE32-E72D297353CC}">
              <c16:uniqueId val="{00000003-2958-4E0F-8DFE-857F91B25306}"/>
            </c:ext>
          </c:extLst>
        </c:ser>
        <c:ser>
          <c:idx val="4"/>
          <c:order val="4"/>
          <c:spPr>
            <a:solidFill>
              <a:schemeClr val="accent5"/>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1'!$F$12:$F$42</c:f>
            </c:numRef>
          </c:val>
          <c:extLst>
            <c:ext xmlns:c16="http://schemas.microsoft.com/office/drawing/2014/chart" uri="{C3380CC4-5D6E-409C-BE32-E72D297353CC}">
              <c16:uniqueId val="{00000004-2958-4E0F-8DFE-857F91B25306}"/>
            </c:ext>
          </c:extLst>
        </c:ser>
        <c:ser>
          <c:idx val="5"/>
          <c:order val="5"/>
          <c:spPr>
            <a:solidFill>
              <a:schemeClr val="accent6"/>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1'!$G$12:$G$42</c:f>
            </c:numRef>
          </c:val>
          <c:extLst>
            <c:ext xmlns:c16="http://schemas.microsoft.com/office/drawing/2014/chart" uri="{C3380CC4-5D6E-409C-BE32-E72D297353CC}">
              <c16:uniqueId val="{00000005-2958-4E0F-8DFE-857F91B25306}"/>
            </c:ext>
          </c:extLst>
        </c:ser>
        <c:ser>
          <c:idx val="6"/>
          <c:order val="6"/>
          <c:spPr>
            <a:solidFill>
              <a:schemeClr val="accent1">
                <a:lumMod val="6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1'!$H$12:$H$42</c:f>
            </c:numRef>
          </c:val>
          <c:extLst>
            <c:ext xmlns:c16="http://schemas.microsoft.com/office/drawing/2014/chart" uri="{C3380CC4-5D6E-409C-BE32-E72D297353CC}">
              <c16:uniqueId val="{00000006-2958-4E0F-8DFE-857F91B25306}"/>
            </c:ext>
          </c:extLst>
        </c:ser>
        <c:ser>
          <c:idx val="7"/>
          <c:order val="7"/>
          <c:spPr>
            <a:solidFill>
              <a:schemeClr val="accent2">
                <a:lumMod val="6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1'!$I$12:$I$42</c:f>
            </c:numRef>
          </c:val>
          <c:extLst>
            <c:ext xmlns:c16="http://schemas.microsoft.com/office/drawing/2014/chart" uri="{C3380CC4-5D6E-409C-BE32-E72D297353CC}">
              <c16:uniqueId val="{00000007-2958-4E0F-8DFE-857F91B25306}"/>
            </c:ext>
          </c:extLst>
        </c:ser>
        <c:ser>
          <c:idx val="8"/>
          <c:order val="8"/>
          <c:spPr>
            <a:solidFill>
              <a:schemeClr val="accent3">
                <a:lumMod val="6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1'!$J$12:$J$42</c:f>
            </c:numRef>
          </c:val>
          <c:extLst>
            <c:ext xmlns:c16="http://schemas.microsoft.com/office/drawing/2014/chart" uri="{C3380CC4-5D6E-409C-BE32-E72D297353CC}">
              <c16:uniqueId val="{00000008-2958-4E0F-8DFE-857F91B25306}"/>
            </c:ext>
          </c:extLst>
        </c:ser>
        <c:ser>
          <c:idx val="9"/>
          <c:order val="9"/>
          <c:spPr>
            <a:solidFill>
              <a:schemeClr val="accent4">
                <a:lumMod val="6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1'!$K$12:$K$42</c:f>
            </c:numRef>
          </c:val>
          <c:extLst>
            <c:ext xmlns:c16="http://schemas.microsoft.com/office/drawing/2014/chart" uri="{C3380CC4-5D6E-409C-BE32-E72D297353CC}">
              <c16:uniqueId val="{00000009-2958-4E0F-8DFE-857F91B25306}"/>
            </c:ext>
          </c:extLst>
        </c:ser>
        <c:ser>
          <c:idx val="10"/>
          <c:order val="10"/>
          <c:spPr>
            <a:solidFill>
              <a:schemeClr val="accent5">
                <a:lumMod val="6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1'!$L$12:$L$42</c:f>
            </c:numRef>
          </c:val>
          <c:extLst>
            <c:ext xmlns:c16="http://schemas.microsoft.com/office/drawing/2014/chart" uri="{C3380CC4-5D6E-409C-BE32-E72D297353CC}">
              <c16:uniqueId val="{0000000A-2958-4E0F-8DFE-857F91B25306}"/>
            </c:ext>
          </c:extLst>
        </c:ser>
        <c:ser>
          <c:idx val="11"/>
          <c:order val="11"/>
          <c:spPr>
            <a:solidFill>
              <a:schemeClr val="accent6">
                <a:lumMod val="6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1'!$M$12:$M$42</c:f>
            </c:numRef>
          </c:val>
          <c:extLst>
            <c:ext xmlns:c16="http://schemas.microsoft.com/office/drawing/2014/chart" uri="{C3380CC4-5D6E-409C-BE32-E72D297353CC}">
              <c16:uniqueId val="{0000000B-2958-4E0F-8DFE-857F91B25306}"/>
            </c:ext>
          </c:extLst>
        </c:ser>
        <c:ser>
          <c:idx val="12"/>
          <c:order val="12"/>
          <c:spPr>
            <a:solidFill>
              <a:schemeClr val="accent1">
                <a:lumMod val="80000"/>
                <a:lumOff val="2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1'!$N$12:$N$42</c:f>
            </c:numRef>
          </c:val>
          <c:extLst>
            <c:ext xmlns:c16="http://schemas.microsoft.com/office/drawing/2014/chart" uri="{C3380CC4-5D6E-409C-BE32-E72D297353CC}">
              <c16:uniqueId val="{0000000C-2958-4E0F-8DFE-857F91B25306}"/>
            </c:ext>
          </c:extLst>
        </c:ser>
        <c:ser>
          <c:idx val="13"/>
          <c:order val="13"/>
          <c:spPr>
            <a:solidFill>
              <a:schemeClr val="accent2">
                <a:lumMod val="80000"/>
                <a:lumOff val="2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1'!$O$12:$O$42</c:f>
            </c:numRef>
          </c:val>
          <c:extLst>
            <c:ext xmlns:c16="http://schemas.microsoft.com/office/drawing/2014/chart" uri="{C3380CC4-5D6E-409C-BE32-E72D297353CC}">
              <c16:uniqueId val="{0000000D-2958-4E0F-8DFE-857F91B25306}"/>
            </c:ext>
          </c:extLst>
        </c:ser>
        <c:ser>
          <c:idx val="14"/>
          <c:order val="14"/>
          <c:spPr>
            <a:solidFill>
              <a:schemeClr val="accent3">
                <a:lumMod val="80000"/>
                <a:lumOff val="2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1'!$P$12:$P$42</c:f>
            </c:numRef>
          </c:val>
          <c:extLst>
            <c:ext xmlns:c16="http://schemas.microsoft.com/office/drawing/2014/chart" uri="{C3380CC4-5D6E-409C-BE32-E72D297353CC}">
              <c16:uniqueId val="{0000000E-2958-4E0F-8DFE-857F91B25306}"/>
            </c:ext>
          </c:extLst>
        </c:ser>
        <c:ser>
          <c:idx val="15"/>
          <c:order val="15"/>
          <c:spPr>
            <a:solidFill>
              <a:schemeClr val="accent4">
                <a:lumMod val="80000"/>
                <a:lumOff val="2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1'!$Q$12:$Q$42</c:f>
            </c:numRef>
          </c:val>
          <c:extLst>
            <c:ext xmlns:c16="http://schemas.microsoft.com/office/drawing/2014/chart" uri="{C3380CC4-5D6E-409C-BE32-E72D297353CC}">
              <c16:uniqueId val="{0000000F-2958-4E0F-8DFE-857F91B25306}"/>
            </c:ext>
          </c:extLst>
        </c:ser>
        <c:ser>
          <c:idx val="16"/>
          <c:order val="16"/>
          <c:spPr>
            <a:solidFill>
              <a:schemeClr val="accent5">
                <a:lumMod val="80000"/>
                <a:lumOff val="2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1'!$R$12:$R$42</c:f>
            </c:numRef>
          </c:val>
          <c:extLst>
            <c:ext xmlns:c16="http://schemas.microsoft.com/office/drawing/2014/chart" uri="{C3380CC4-5D6E-409C-BE32-E72D297353CC}">
              <c16:uniqueId val="{00000010-2958-4E0F-8DFE-857F91B25306}"/>
            </c:ext>
          </c:extLst>
        </c:ser>
        <c:ser>
          <c:idx val="17"/>
          <c:order val="17"/>
          <c:spPr>
            <a:solidFill>
              <a:schemeClr val="accent6">
                <a:lumMod val="80000"/>
                <a:lumOff val="20000"/>
              </a:schemeClr>
            </a:solidFill>
            <a:ln>
              <a:noFill/>
            </a:ln>
            <a:effectLst/>
          </c:spPr>
          <c:invertIfNegative val="0"/>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1'!$S$12:$S$42</c:f>
            </c:numRef>
          </c:val>
          <c:extLst>
            <c:ext xmlns:c16="http://schemas.microsoft.com/office/drawing/2014/chart" uri="{C3380CC4-5D6E-409C-BE32-E72D297353CC}">
              <c16:uniqueId val="{00000011-2958-4E0F-8DFE-857F91B25306}"/>
            </c:ext>
          </c:extLst>
        </c:ser>
        <c:ser>
          <c:idx val="18"/>
          <c:order val="18"/>
          <c:spPr>
            <a:solidFill>
              <a:schemeClr val="bg1"/>
            </a:solidFill>
            <a:ln>
              <a:solidFill>
                <a:schemeClr val="tx1"/>
              </a:solidFill>
            </a:ln>
            <a:effectLst/>
          </c:spPr>
          <c:invertIfNegative val="0"/>
          <c:dPt>
            <c:idx val="0"/>
            <c:invertIfNegative val="0"/>
            <c:bubble3D val="0"/>
            <c:spPr>
              <a:solidFill>
                <a:schemeClr val="accent1"/>
              </a:solidFill>
              <a:ln>
                <a:solidFill>
                  <a:schemeClr val="tx1"/>
                </a:solidFill>
              </a:ln>
              <a:effectLst/>
            </c:spPr>
            <c:extLst>
              <c:ext xmlns:c16="http://schemas.microsoft.com/office/drawing/2014/chart" uri="{C3380CC4-5D6E-409C-BE32-E72D297353CC}">
                <c16:uniqueId val="{00000013-2958-4E0F-8DFE-857F91B25306}"/>
              </c:ext>
            </c:extLst>
          </c:dPt>
          <c:dPt>
            <c:idx val="30"/>
            <c:invertIfNegative val="0"/>
            <c:bubble3D val="0"/>
            <c:spPr>
              <a:solidFill>
                <a:srgbClr val="FFC000"/>
              </a:solidFill>
              <a:ln>
                <a:solidFill>
                  <a:schemeClr val="tx1"/>
                </a:solidFill>
              </a:ln>
              <a:effectLst/>
            </c:spPr>
            <c:extLst>
              <c:ext xmlns:c16="http://schemas.microsoft.com/office/drawing/2014/chart" uri="{C3380CC4-5D6E-409C-BE32-E72D297353CC}">
                <c16:uniqueId val="{00000015-2958-4E0F-8DFE-857F91B25306}"/>
              </c:ext>
            </c:extLst>
          </c:dPt>
          <c:cat>
            <c:strRef>
              <c:f>'Sheet 1'!$A$12:$A$42</c:f>
              <c:strCache>
                <c:ptCount val="31"/>
                <c:pt idx="0">
                  <c:v>Европска унија</c:v>
                </c:pt>
                <c:pt idx="1">
                  <c:v>Белгија</c:v>
                </c:pt>
                <c:pt idx="2">
                  <c:v>Бугарска</c:v>
                </c:pt>
                <c:pt idx="3">
                  <c:v>Чешка</c:v>
                </c:pt>
                <c:pt idx="4">
                  <c:v>Данска</c:v>
                </c:pt>
                <c:pt idx="5">
                  <c:v>Немачка</c:v>
                </c:pt>
                <c:pt idx="6">
                  <c:v>Естонија</c:v>
                </c:pt>
                <c:pt idx="7">
                  <c:v>Ирска</c:v>
                </c:pt>
                <c:pt idx="8">
                  <c:v>Грчка</c:v>
                </c:pt>
                <c:pt idx="9">
                  <c:v>Шпанија</c:v>
                </c:pt>
                <c:pt idx="10">
                  <c:v>Француска</c:v>
                </c:pt>
                <c:pt idx="11">
                  <c:v>Хрватска</c:v>
                </c:pt>
                <c:pt idx="12">
                  <c:v>Италија</c:v>
                </c:pt>
                <c:pt idx="13">
                  <c:v>Кипар</c:v>
                </c:pt>
                <c:pt idx="14">
                  <c:v>Летонија</c:v>
                </c:pt>
                <c:pt idx="15">
                  <c:v>Литванија</c:v>
                </c:pt>
                <c:pt idx="16">
                  <c:v>Луксембург</c:v>
                </c:pt>
                <c:pt idx="17">
                  <c:v>Мађарска</c:v>
                </c:pt>
                <c:pt idx="18">
                  <c:v>Малта</c:v>
                </c:pt>
                <c:pt idx="19">
                  <c:v>Холандија</c:v>
                </c:pt>
                <c:pt idx="20">
                  <c:v>Аустрија</c:v>
                </c:pt>
                <c:pt idx="21">
                  <c:v>Пољска</c:v>
                </c:pt>
                <c:pt idx="22">
                  <c:v>Португал</c:v>
                </c:pt>
                <c:pt idx="23">
                  <c:v>Румунија</c:v>
                </c:pt>
                <c:pt idx="24">
                  <c:v>Словенија</c:v>
                </c:pt>
                <c:pt idx="25">
                  <c:v>Словачка</c:v>
                </c:pt>
                <c:pt idx="26">
                  <c:v>Финска</c:v>
                </c:pt>
                <c:pt idx="27">
                  <c:v>Шведска</c:v>
                </c:pt>
                <c:pt idx="28">
                  <c:v>Исланд</c:v>
                </c:pt>
                <c:pt idx="29">
                  <c:v>Норвешка </c:v>
                </c:pt>
                <c:pt idx="30">
                  <c:v>Република Србија </c:v>
                </c:pt>
              </c:strCache>
            </c:strRef>
          </c:cat>
          <c:val>
            <c:numRef>
              <c:f>'Sheet 1'!$T$12:$T$42</c:f>
              <c:numCache>
                <c:formatCode>#,##0.##########</c:formatCode>
                <c:ptCount val="31"/>
                <c:pt idx="0">
                  <c:v>1443.55</c:v>
                </c:pt>
                <c:pt idx="1">
                  <c:v>1390.3</c:v>
                </c:pt>
                <c:pt idx="2">
                  <c:v>76.08</c:v>
                </c:pt>
                <c:pt idx="3">
                  <c:v>744.63</c:v>
                </c:pt>
                <c:pt idx="4">
                  <c:v>2565.19</c:v>
                </c:pt>
                <c:pt idx="5">
                  <c:v>1504.74</c:v>
                </c:pt>
                <c:pt idx="6">
                  <c:v>903.83</c:v>
                </c:pt>
                <c:pt idx="7">
                  <c:v>526.27</c:v>
                </c:pt>
                <c:pt idx="8">
                  <c:v>105.46</c:v>
                </c:pt>
                <c:pt idx="9">
                  <c:v>2042.5</c:v>
                </c:pt>
                <c:pt idx="10">
                  <c:v>2931.24</c:v>
                </c:pt>
                <c:pt idx="11">
                  <c:v>549.34</c:v>
                </c:pt>
                <c:pt idx="12">
                  <c:v>1413.27</c:v>
                </c:pt>
                <c:pt idx="13">
                  <c:v>419.91</c:v>
                </c:pt>
                <c:pt idx="14">
                  <c:v>223.57</c:v>
                </c:pt>
                <c:pt idx="15">
                  <c:v>318.08</c:v>
                </c:pt>
                <c:pt idx="16">
                  <c:v>1461.49</c:v>
                </c:pt>
                <c:pt idx="17">
                  <c:v>615.77</c:v>
                </c:pt>
                <c:pt idx="18">
                  <c:v>593.71</c:v>
                </c:pt>
                <c:pt idx="19">
                  <c:v>997.1</c:v>
                </c:pt>
                <c:pt idx="20">
                  <c:v>1416.53</c:v>
                </c:pt>
                <c:pt idx="21">
                  <c:v>442.45</c:v>
                </c:pt>
                <c:pt idx="22">
                  <c:v>2259.94</c:v>
                </c:pt>
                <c:pt idx="23">
                  <c:v>73.11</c:v>
                </c:pt>
                <c:pt idx="24">
                  <c:v>1835.73</c:v>
                </c:pt>
                <c:pt idx="25">
                  <c:v>364.92</c:v>
                </c:pt>
                <c:pt idx="26">
                  <c:v>1174.33</c:v>
                </c:pt>
                <c:pt idx="27">
                  <c:v>810.55</c:v>
                </c:pt>
                <c:pt idx="28">
                  <c:v>553.11</c:v>
                </c:pt>
                <c:pt idx="29">
                  <c:v>341.59</c:v>
                </c:pt>
                <c:pt idx="30" formatCode="#,##0">
                  <c:v>748</c:v>
                </c:pt>
              </c:numCache>
            </c:numRef>
          </c:val>
          <c:extLst>
            <c:ext xmlns:c16="http://schemas.microsoft.com/office/drawing/2014/chart" uri="{C3380CC4-5D6E-409C-BE32-E72D297353CC}">
              <c16:uniqueId val="{00000016-2958-4E0F-8DFE-857F91B25306}"/>
            </c:ext>
          </c:extLst>
        </c:ser>
        <c:dLbls>
          <c:showLegendKey val="0"/>
          <c:showVal val="0"/>
          <c:showCatName val="0"/>
          <c:showSerName val="0"/>
          <c:showPercent val="0"/>
          <c:showBubbleSize val="0"/>
        </c:dLbls>
        <c:gapWidth val="219"/>
        <c:overlap val="-27"/>
        <c:axId val="671904432"/>
        <c:axId val="671903600"/>
      </c:barChart>
      <c:catAx>
        <c:axId val="671904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crossAx val="671903600"/>
        <c:crosses val="autoZero"/>
        <c:auto val="1"/>
        <c:lblAlgn val="ctr"/>
        <c:lblOffset val="100"/>
        <c:noMultiLvlLbl val="0"/>
      </c:catAx>
      <c:valAx>
        <c:axId val="671903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1904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71330453085188E-2"/>
          <c:y val="2.4925224327018942E-2"/>
          <c:w val="0.95125733909382959"/>
          <c:h val="0.81061853808652795"/>
        </c:manualLayout>
      </c:layout>
      <c:barChart>
        <c:barDir val="col"/>
        <c:grouping val="stacked"/>
        <c:varyColors val="0"/>
        <c:ser>
          <c:idx val="0"/>
          <c:order val="0"/>
          <c:tx>
            <c:strRef>
              <c:f>[Book1]Sheet1!$B$4</c:f>
              <c:strCache>
                <c:ptCount val="1"/>
                <c:pt idx="0">
                  <c:v>Грађевинарство</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[Book1]Sheet1!$D$3:$H$3</c:f>
              <c:numCache>
                <c:formatCode>General</c:formatCode>
                <c:ptCount val="5"/>
                <c:pt idx="0">
                  <c:v>2018</c:v>
                </c:pt>
                <c:pt idx="1">
                  <c:v>2019</c:v>
                </c:pt>
                <c:pt idx="2">
                  <c:v>2020</c:v>
                </c:pt>
                <c:pt idx="3">
                  <c:v>2021</c:v>
                </c:pt>
                <c:pt idx="4">
                  <c:v>2022</c:v>
                </c:pt>
              </c:numCache>
            </c:numRef>
          </c:cat>
          <c:val>
            <c:numRef>
              <c:f>[Book1]Sheet1!$D$4:$H$4</c:f>
              <c:numCache>
                <c:formatCode>0%</c:formatCode>
                <c:ptCount val="5"/>
                <c:pt idx="0">
                  <c:v>0.34</c:v>
                </c:pt>
                <c:pt idx="1">
                  <c:v>0.25</c:v>
                </c:pt>
                <c:pt idx="2">
                  <c:v>0.26</c:v>
                </c:pt>
                <c:pt idx="3">
                  <c:v>0.23</c:v>
                </c:pt>
                <c:pt idx="4">
                  <c:v>0.57399999999999995</c:v>
                </c:pt>
              </c:numCache>
            </c:numRef>
          </c:val>
          <c:extLst>
            <c:ext xmlns:c16="http://schemas.microsoft.com/office/drawing/2014/chart" uri="{C3380CC4-5D6E-409C-BE32-E72D297353CC}">
              <c16:uniqueId val="{00000000-1C6D-4625-AA4F-45D67599EACC}"/>
            </c:ext>
          </c:extLst>
        </c:ser>
        <c:ser>
          <c:idx val="1"/>
          <c:order val="1"/>
          <c:tx>
            <c:strRef>
              <c:f>[Book1]Sheet1!$B$5</c:f>
              <c:strCache>
                <c:ptCount val="1"/>
                <c:pt idx="0">
                  <c:v>Пољопривреда, шумарство и рибарство</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[Book1]Sheet1!$D$3:$H$3</c:f>
              <c:numCache>
                <c:formatCode>General</c:formatCode>
                <c:ptCount val="5"/>
                <c:pt idx="0">
                  <c:v>2018</c:v>
                </c:pt>
                <c:pt idx="1">
                  <c:v>2019</c:v>
                </c:pt>
                <c:pt idx="2">
                  <c:v>2020</c:v>
                </c:pt>
                <c:pt idx="3">
                  <c:v>2021</c:v>
                </c:pt>
                <c:pt idx="4">
                  <c:v>2022</c:v>
                </c:pt>
              </c:numCache>
            </c:numRef>
          </c:cat>
          <c:val>
            <c:numRef>
              <c:f>[Book1]Sheet1!$D$5:$H$5</c:f>
              <c:numCache>
                <c:formatCode>0%</c:formatCode>
                <c:ptCount val="5"/>
                <c:pt idx="0">
                  <c:v>0.3</c:v>
                </c:pt>
                <c:pt idx="1">
                  <c:v>0.18</c:v>
                </c:pt>
                <c:pt idx="2">
                  <c:v>0.19</c:v>
                </c:pt>
                <c:pt idx="3">
                  <c:v>0.16</c:v>
                </c:pt>
                <c:pt idx="4">
                  <c:v>8.5000000000000006E-2</c:v>
                </c:pt>
              </c:numCache>
            </c:numRef>
          </c:val>
          <c:extLst>
            <c:ext xmlns:c16="http://schemas.microsoft.com/office/drawing/2014/chart" uri="{C3380CC4-5D6E-409C-BE32-E72D297353CC}">
              <c16:uniqueId val="{00000001-1C6D-4625-AA4F-45D67599EACC}"/>
            </c:ext>
          </c:extLst>
        </c:ser>
        <c:ser>
          <c:idx val="2"/>
          <c:order val="2"/>
          <c:tx>
            <c:strRef>
              <c:f>[Book1]Sheet1!$B$6</c:f>
              <c:strCache>
                <c:ptCount val="1"/>
                <c:pt idx="0">
                  <c:v>Индустрија</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[Book1]Sheet1!$D$3:$H$3</c:f>
              <c:numCache>
                <c:formatCode>General</c:formatCode>
                <c:ptCount val="5"/>
                <c:pt idx="0">
                  <c:v>2018</c:v>
                </c:pt>
                <c:pt idx="1">
                  <c:v>2019</c:v>
                </c:pt>
                <c:pt idx="2">
                  <c:v>2020</c:v>
                </c:pt>
                <c:pt idx="3">
                  <c:v>2021</c:v>
                </c:pt>
                <c:pt idx="4">
                  <c:v>2022</c:v>
                </c:pt>
              </c:numCache>
            </c:numRef>
          </c:cat>
          <c:val>
            <c:numRef>
              <c:f>[Book1]Sheet1!$D$6:$H$6</c:f>
              <c:numCache>
                <c:formatCode>0%</c:formatCode>
                <c:ptCount val="5"/>
                <c:pt idx="0">
                  <c:v>0.08</c:v>
                </c:pt>
                <c:pt idx="1">
                  <c:v>0.18</c:v>
                </c:pt>
                <c:pt idx="2">
                  <c:v>0.19</c:v>
                </c:pt>
                <c:pt idx="3">
                  <c:v>7.0000000000000007E-2</c:v>
                </c:pt>
                <c:pt idx="4">
                  <c:v>0.21299999999999999</c:v>
                </c:pt>
              </c:numCache>
            </c:numRef>
          </c:val>
          <c:extLst>
            <c:ext xmlns:c16="http://schemas.microsoft.com/office/drawing/2014/chart" uri="{C3380CC4-5D6E-409C-BE32-E72D297353CC}">
              <c16:uniqueId val="{00000002-1C6D-4625-AA4F-45D67599EACC}"/>
            </c:ext>
          </c:extLst>
        </c:ser>
        <c:ser>
          <c:idx val="3"/>
          <c:order val="3"/>
          <c:tx>
            <c:strRef>
              <c:f>[Book1]Sheet1!$B$7</c:f>
              <c:strCache>
                <c:ptCount val="1"/>
                <c:pt idx="0">
                  <c:v>Остали</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[Book1]Sheet1!$D$3:$H$3</c:f>
              <c:numCache>
                <c:formatCode>General</c:formatCode>
                <c:ptCount val="5"/>
                <c:pt idx="0">
                  <c:v>2018</c:v>
                </c:pt>
                <c:pt idx="1">
                  <c:v>2019</c:v>
                </c:pt>
                <c:pt idx="2">
                  <c:v>2020</c:v>
                </c:pt>
                <c:pt idx="3">
                  <c:v>2021</c:v>
                </c:pt>
                <c:pt idx="4">
                  <c:v>2022</c:v>
                </c:pt>
              </c:numCache>
            </c:numRef>
          </c:cat>
          <c:val>
            <c:numRef>
              <c:f>[Book1]Sheet1!$D$7:$H$7</c:f>
              <c:numCache>
                <c:formatCode>0%</c:formatCode>
                <c:ptCount val="5"/>
                <c:pt idx="0">
                  <c:v>0.28000000000000003</c:v>
                </c:pt>
                <c:pt idx="1">
                  <c:v>0.39</c:v>
                </c:pt>
                <c:pt idx="2">
                  <c:v>0.36</c:v>
                </c:pt>
                <c:pt idx="3">
                  <c:v>0.54</c:v>
                </c:pt>
                <c:pt idx="4">
                  <c:v>0.13</c:v>
                </c:pt>
              </c:numCache>
            </c:numRef>
          </c:val>
          <c:extLst>
            <c:ext xmlns:c16="http://schemas.microsoft.com/office/drawing/2014/chart" uri="{C3380CC4-5D6E-409C-BE32-E72D297353CC}">
              <c16:uniqueId val="{00000003-1C6D-4625-AA4F-45D67599EACC}"/>
            </c:ext>
          </c:extLst>
        </c:ser>
        <c:dLbls>
          <c:showLegendKey val="0"/>
          <c:showVal val="0"/>
          <c:showCatName val="0"/>
          <c:showSerName val="0"/>
          <c:showPercent val="0"/>
          <c:showBubbleSize val="0"/>
        </c:dLbls>
        <c:gapWidth val="150"/>
        <c:overlap val="100"/>
        <c:axId val="781746111"/>
        <c:axId val="862561711"/>
      </c:barChart>
      <c:catAx>
        <c:axId val="781746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crossAx val="862561711"/>
        <c:crosses val="autoZero"/>
        <c:auto val="1"/>
        <c:lblAlgn val="ctr"/>
        <c:lblOffset val="100"/>
        <c:noMultiLvlLbl val="0"/>
      </c:catAx>
      <c:valAx>
        <c:axId val="862561711"/>
        <c:scaling>
          <c:orientation val="minMax"/>
        </c:scaling>
        <c:delete val="1"/>
        <c:axPos val="l"/>
        <c:numFmt formatCode="0%" sourceLinked="1"/>
        <c:majorTickMark val="none"/>
        <c:minorTickMark val="none"/>
        <c:tickLblPos val="nextTo"/>
        <c:crossAx val="781746111"/>
        <c:crosses val="autoZero"/>
        <c:crossBetween val="between"/>
      </c:valAx>
      <c:spPr>
        <a:noFill/>
        <a:ln>
          <a:noFill/>
        </a:ln>
        <a:effectLst/>
      </c:spPr>
    </c:plotArea>
    <c:legend>
      <c:legendPos val="b"/>
      <c:layout>
        <c:manualLayout>
          <c:xMode val="edge"/>
          <c:yMode val="edge"/>
          <c:x val="8.8002658690594884E-2"/>
          <c:y val="0.9173569841656134"/>
          <c:w val="0.82399468261881026"/>
          <c:h val="7.7657970968982817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latin typeface="Arial Nova" panose="020B05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71330453085188E-2"/>
          <c:y val="2.4925224327018942E-2"/>
          <c:w val="0.95125733909382959"/>
          <c:h val="0.81061853808652795"/>
        </c:manualLayout>
      </c:layout>
      <c:barChart>
        <c:barDir val="col"/>
        <c:grouping val="stacked"/>
        <c:varyColors val="0"/>
        <c:ser>
          <c:idx val="0"/>
          <c:order val="0"/>
          <c:tx>
            <c:strRef>
              <c:f>Друго!$B$4</c:f>
              <c:strCache>
                <c:ptCount val="1"/>
                <c:pt idx="0">
                  <c:v>није уредило организацију</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Друго!$D$3:$H$3</c:f>
              <c:numCache>
                <c:formatCode>General</c:formatCode>
                <c:ptCount val="5"/>
                <c:pt idx="0">
                  <c:v>2018</c:v>
                </c:pt>
                <c:pt idx="1">
                  <c:v>2019</c:v>
                </c:pt>
                <c:pt idx="2">
                  <c:v>2020</c:v>
                </c:pt>
                <c:pt idx="3">
                  <c:v>2021</c:v>
                </c:pt>
                <c:pt idx="4">
                  <c:v>2022</c:v>
                </c:pt>
              </c:numCache>
            </c:numRef>
          </c:cat>
          <c:val>
            <c:numRef>
              <c:f>Друго!$D$4:$H$4</c:f>
              <c:numCache>
                <c:formatCode>0%</c:formatCode>
                <c:ptCount val="5"/>
                <c:pt idx="0">
                  <c:v>0.22</c:v>
                </c:pt>
                <c:pt idx="1">
                  <c:v>0.19</c:v>
                </c:pt>
                <c:pt idx="2">
                  <c:v>0.16</c:v>
                </c:pt>
                <c:pt idx="3">
                  <c:v>0.15</c:v>
                </c:pt>
                <c:pt idx="4">
                  <c:v>0.17</c:v>
                </c:pt>
              </c:numCache>
            </c:numRef>
          </c:val>
          <c:extLst>
            <c:ext xmlns:c16="http://schemas.microsoft.com/office/drawing/2014/chart" uri="{C3380CC4-5D6E-409C-BE32-E72D297353CC}">
              <c16:uniqueId val="{00000000-D6B2-431B-9667-F8D756A02F56}"/>
            </c:ext>
          </c:extLst>
        </c:ser>
        <c:ser>
          <c:idx val="1"/>
          <c:order val="1"/>
          <c:tx>
            <c:strRef>
              <c:f>Друго!$B$5</c:f>
              <c:strCache>
                <c:ptCount val="1"/>
                <c:pt idx="0">
                  <c:v>ангажовано правно лице или предузетник са лиценцом</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Друго!$D$3:$H$3</c:f>
              <c:numCache>
                <c:formatCode>General</c:formatCode>
                <c:ptCount val="5"/>
                <c:pt idx="0">
                  <c:v>2018</c:v>
                </c:pt>
                <c:pt idx="1">
                  <c:v>2019</c:v>
                </c:pt>
                <c:pt idx="2">
                  <c:v>2020</c:v>
                </c:pt>
                <c:pt idx="3">
                  <c:v>2021</c:v>
                </c:pt>
                <c:pt idx="4">
                  <c:v>2022</c:v>
                </c:pt>
              </c:numCache>
            </c:numRef>
          </c:cat>
          <c:val>
            <c:numRef>
              <c:f>Друго!$D$5:$H$5</c:f>
              <c:numCache>
                <c:formatCode>0%</c:formatCode>
                <c:ptCount val="5"/>
                <c:pt idx="0">
                  <c:v>0.52</c:v>
                </c:pt>
                <c:pt idx="1">
                  <c:v>0.54</c:v>
                </c:pt>
                <c:pt idx="2">
                  <c:v>0.55000000000000004</c:v>
                </c:pt>
                <c:pt idx="3">
                  <c:v>0.56999999999999995</c:v>
                </c:pt>
                <c:pt idx="4">
                  <c:v>0.56000000000000005</c:v>
                </c:pt>
              </c:numCache>
            </c:numRef>
          </c:val>
          <c:extLst>
            <c:ext xmlns:c16="http://schemas.microsoft.com/office/drawing/2014/chart" uri="{C3380CC4-5D6E-409C-BE32-E72D297353CC}">
              <c16:uniqueId val="{00000001-D6B2-431B-9667-F8D756A02F56}"/>
            </c:ext>
          </c:extLst>
        </c:ser>
        <c:ser>
          <c:idx val="2"/>
          <c:order val="2"/>
          <c:tx>
            <c:strRef>
              <c:f>Друго!$B$6</c:f>
              <c:strCache>
                <c:ptCount val="1"/>
                <c:pt idx="0">
                  <c:v>сам послодавац</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Друго!$D$3:$H$3</c:f>
              <c:numCache>
                <c:formatCode>General</c:formatCode>
                <c:ptCount val="5"/>
                <c:pt idx="0">
                  <c:v>2018</c:v>
                </c:pt>
                <c:pt idx="1">
                  <c:v>2019</c:v>
                </c:pt>
                <c:pt idx="2">
                  <c:v>2020</c:v>
                </c:pt>
                <c:pt idx="3">
                  <c:v>2021</c:v>
                </c:pt>
                <c:pt idx="4">
                  <c:v>2022</c:v>
                </c:pt>
              </c:numCache>
            </c:numRef>
          </c:cat>
          <c:val>
            <c:numRef>
              <c:f>Друго!$D$6:$H$6</c:f>
              <c:numCache>
                <c:formatCode>0%</c:formatCode>
                <c:ptCount val="5"/>
                <c:pt idx="0">
                  <c:v>0.26</c:v>
                </c:pt>
                <c:pt idx="1">
                  <c:v>0.27</c:v>
                </c:pt>
                <c:pt idx="2">
                  <c:v>0.28999999999999998</c:v>
                </c:pt>
                <c:pt idx="3">
                  <c:v>0.28000000000000003</c:v>
                </c:pt>
                <c:pt idx="4">
                  <c:v>0.27</c:v>
                </c:pt>
              </c:numCache>
            </c:numRef>
          </c:val>
          <c:extLst>
            <c:ext xmlns:c16="http://schemas.microsoft.com/office/drawing/2014/chart" uri="{C3380CC4-5D6E-409C-BE32-E72D297353CC}">
              <c16:uniqueId val="{00000002-D6B2-431B-9667-F8D756A02F56}"/>
            </c:ext>
          </c:extLst>
        </c:ser>
        <c:dLbls>
          <c:showLegendKey val="0"/>
          <c:showVal val="0"/>
          <c:showCatName val="0"/>
          <c:showSerName val="0"/>
          <c:showPercent val="0"/>
          <c:showBubbleSize val="0"/>
        </c:dLbls>
        <c:gapWidth val="150"/>
        <c:overlap val="100"/>
        <c:axId val="781746111"/>
        <c:axId val="862561711"/>
      </c:barChart>
      <c:catAx>
        <c:axId val="781746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crossAx val="862561711"/>
        <c:crosses val="autoZero"/>
        <c:auto val="1"/>
        <c:lblAlgn val="ctr"/>
        <c:lblOffset val="100"/>
        <c:noMultiLvlLbl val="0"/>
      </c:catAx>
      <c:valAx>
        <c:axId val="862561711"/>
        <c:scaling>
          <c:orientation val="minMax"/>
        </c:scaling>
        <c:delete val="1"/>
        <c:axPos val="l"/>
        <c:numFmt formatCode="0%" sourceLinked="1"/>
        <c:majorTickMark val="none"/>
        <c:minorTickMark val="none"/>
        <c:tickLblPos val="nextTo"/>
        <c:crossAx val="781746111"/>
        <c:crosses val="autoZero"/>
        <c:crossBetween val="between"/>
      </c:valAx>
      <c:spPr>
        <a:noFill/>
        <a:ln>
          <a:noFill/>
        </a:ln>
        <a:effectLst/>
      </c:spPr>
    </c:plotArea>
    <c:legend>
      <c:legendPos val="b"/>
      <c:layout>
        <c:manualLayout>
          <c:xMode val="edge"/>
          <c:yMode val="edge"/>
          <c:x val="6.026365348399244E-3"/>
          <c:y val="0.9173569841656134"/>
          <c:w val="0.9635759388501165"/>
          <c:h val="7.7657970968982817E-2"/>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latin typeface="Arial Nova" panose="020B05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71330453085188E-2"/>
          <c:y val="2.4925224327018942E-2"/>
          <c:w val="0.95125733909382959"/>
          <c:h val="0.81061853808652795"/>
        </c:manualLayout>
      </c:layout>
      <c:barChart>
        <c:barDir val="col"/>
        <c:grouping val="stacked"/>
        <c:varyColors val="0"/>
        <c:ser>
          <c:idx val="0"/>
          <c:order val="0"/>
          <c:tx>
            <c:strRef>
              <c:f>треће!$B$4</c:f>
              <c:strCache>
                <c:ptCount val="1"/>
                <c:pt idx="0">
                  <c:v>уговор о раду</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треће!$D$3:$H$3</c:f>
              <c:numCache>
                <c:formatCode>General</c:formatCode>
                <c:ptCount val="5"/>
                <c:pt idx="0">
                  <c:v>2018</c:v>
                </c:pt>
                <c:pt idx="1">
                  <c:v>2019</c:v>
                </c:pt>
                <c:pt idx="2">
                  <c:v>2020</c:v>
                </c:pt>
                <c:pt idx="3">
                  <c:v>2021</c:v>
                </c:pt>
                <c:pt idx="4">
                  <c:v>2022</c:v>
                </c:pt>
              </c:numCache>
            </c:numRef>
          </c:cat>
          <c:val>
            <c:numRef>
              <c:f>треће!$D$4:$H$4</c:f>
              <c:numCache>
                <c:formatCode>0%</c:formatCode>
                <c:ptCount val="5"/>
                <c:pt idx="0">
                  <c:v>0.15</c:v>
                </c:pt>
                <c:pt idx="1">
                  <c:v>0.14000000000000001</c:v>
                </c:pt>
                <c:pt idx="2">
                  <c:v>0.12</c:v>
                </c:pt>
                <c:pt idx="3">
                  <c:v>0.1</c:v>
                </c:pt>
                <c:pt idx="4">
                  <c:v>0.05</c:v>
                </c:pt>
              </c:numCache>
            </c:numRef>
          </c:val>
          <c:extLst>
            <c:ext xmlns:c16="http://schemas.microsoft.com/office/drawing/2014/chart" uri="{C3380CC4-5D6E-409C-BE32-E72D297353CC}">
              <c16:uniqueId val="{00000000-C6EC-4169-AEBC-2D7180456A29}"/>
            </c:ext>
          </c:extLst>
        </c:ser>
        <c:ser>
          <c:idx val="1"/>
          <c:order val="1"/>
          <c:tx>
            <c:strRef>
              <c:f>треће!$B$5</c:f>
              <c:strCache>
                <c:ptCount val="1"/>
                <c:pt idx="0">
                  <c:v>Правилнико БЗР</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треће!$D$3:$H$3</c:f>
              <c:numCache>
                <c:formatCode>General</c:formatCode>
                <c:ptCount val="5"/>
                <c:pt idx="0">
                  <c:v>2018</c:v>
                </c:pt>
                <c:pt idx="1">
                  <c:v>2019</c:v>
                </c:pt>
                <c:pt idx="2">
                  <c:v>2020</c:v>
                </c:pt>
                <c:pt idx="3">
                  <c:v>2021</c:v>
                </c:pt>
                <c:pt idx="4">
                  <c:v>2022</c:v>
                </c:pt>
              </c:numCache>
            </c:numRef>
          </c:cat>
          <c:val>
            <c:numRef>
              <c:f>треће!$D$6:$H$6</c:f>
              <c:numCache>
                <c:formatCode>0%</c:formatCode>
                <c:ptCount val="5"/>
                <c:pt idx="0">
                  <c:v>0.03</c:v>
                </c:pt>
                <c:pt idx="1">
                  <c:v>0.04</c:v>
                </c:pt>
                <c:pt idx="2">
                  <c:v>0.05</c:v>
                </c:pt>
                <c:pt idx="3">
                  <c:v>0.06</c:v>
                </c:pt>
                <c:pt idx="4">
                  <c:v>0.05</c:v>
                </c:pt>
              </c:numCache>
            </c:numRef>
          </c:val>
          <c:extLst>
            <c:ext xmlns:c16="http://schemas.microsoft.com/office/drawing/2014/chart" uri="{C3380CC4-5D6E-409C-BE32-E72D297353CC}">
              <c16:uniqueId val="{00000001-C6EC-4169-AEBC-2D7180456A29}"/>
            </c:ext>
          </c:extLst>
        </c:ser>
        <c:ser>
          <c:idx val="2"/>
          <c:order val="2"/>
          <c:tx>
            <c:strRef>
              <c:f>треће!$B$6</c:f>
              <c:strCache>
                <c:ptCount val="1"/>
                <c:pt idx="0">
                  <c:v>Колективни уговор</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треће!$D$3:$H$3</c:f>
              <c:numCache>
                <c:formatCode>General</c:formatCode>
                <c:ptCount val="5"/>
                <c:pt idx="0">
                  <c:v>2018</c:v>
                </c:pt>
                <c:pt idx="1">
                  <c:v>2019</c:v>
                </c:pt>
                <c:pt idx="2">
                  <c:v>2020</c:v>
                </c:pt>
                <c:pt idx="3">
                  <c:v>2021</c:v>
                </c:pt>
                <c:pt idx="4">
                  <c:v>2022</c:v>
                </c:pt>
              </c:numCache>
            </c:numRef>
          </c:cat>
          <c:val>
            <c:numRef>
              <c:f>треће!$D$5:$H$5</c:f>
              <c:numCache>
                <c:formatCode>0%</c:formatCode>
                <c:ptCount val="5"/>
                <c:pt idx="0">
                  <c:v>0.72</c:v>
                </c:pt>
                <c:pt idx="1">
                  <c:v>0.74</c:v>
                </c:pt>
                <c:pt idx="2">
                  <c:v>0.76</c:v>
                </c:pt>
                <c:pt idx="3">
                  <c:v>0.77</c:v>
                </c:pt>
                <c:pt idx="4">
                  <c:v>0.81</c:v>
                </c:pt>
              </c:numCache>
            </c:numRef>
          </c:val>
          <c:extLst>
            <c:ext xmlns:c16="http://schemas.microsoft.com/office/drawing/2014/chart" uri="{C3380CC4-5D6E-409C-BE32-E72D297353CC}">
              <c16:uniqueId val="{00000002-C6EC-4169-AEBC-2D7180456A29}"/>
            </c:ext>
          </c:extLst>
        </c:ser>
        <c:ser>
          <c:idx val="3"/>
          <c:order val="3"/>
          <c:tx>
            <c:strRef>
              <c:f>треће!$B$7</c:f>
              <c:strCache>
                <c:ptCount val="1"/>
                <c:pt idx="0">
                  <c:v>Није уређено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треће!$D$3:$H$3</c:f>
              <c:numCache>
                <c:formatCode>General</c:formatCode>
                <c:ptCount val="5"/>
                <c:pt idx="0">
                  <c:v>2018</c:v>
                </c:pt>
                <c:pt idx="1">
                  <c:v>2019</c:v>
                </c:pt>
                <c:pt idx="2">
                  <c:v>2020</c:v>
                </c:pt>
                <c:pt idx="3">
                  <c:v>2021</c:v>
                </c:pt>
                <c:pt idx="4">
                  <c:v>2022</c:v>
                </c:pt>
              </c:numCache>
            </c:numRef>
          </c:cat>
          <c:val>
            <c:numRef>
              <c:f>треће!$D$7:$H$7</c:f>
              <c:numCache>
                <c:formatCode>0%</c:formatCode>
                <c:ptCount val="5"/>
                <c:pt idx="0">
                  <c:v>0.1</c:v>
                </c:pt>
                <c:pt idx="1">
                  <c:v>0.08</c:v>
                </c:pt>
                <c:pt idx="2">
                  <c:v>7.0000000000000007E-2</c:v>
                </c:pt>
                <c:pt idx="3">
                  <c:v>7.0000000000000007E-2</c:v>
                </c:pt>
                <c:pt idx="4">
                  <c:v>0.09</c:v>
                </c:pt>
              </c:numCache>
            </c:numRef>
          </c:val>
          <c:extLst>
            <c:ext xmlns:c16="http://schemas.microsoft.com/office/drawing/2014/chart" uri="{C3380CC4-5D6E-409C-BE32-E72D297353CC}">
              <c16:uniqueId val="{00000003-C6EC-4169-AEBC-2D7180456A29}"/>
            </c:ext>
          </c:extLst>
        </c:ser>
        <c:dLbls>
          <c:showLegendKey val="0"/>
          <c:showVal val="0"/>
          <c:showCatName val="0"/>
          <c:showSerName val="0"/>
          <c:showPercent val="0"/>
          <c:showBubbleSize val="0"/>
        </c:dLbls>
        <c:gapWidth val="150"/>
        <c:overlap val="100"/>
        <c:axId val="781746111"/>
        <c:axId val="862561711"/>
      </c:barChart>
      <c:catAx>
        <c:axId val="781746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crossAx val="862561711"/>
        <c:crosses val="autoZero"/>
        <c:auto val="1"/>
        <c:lblAlgn val="ctr"/>
        <c:lblOffset val="100"/>
        <c:noMultiLvlLbl val="0"/>
      </c:catAx>
      <c:valAx>
        <c:axId val="862561711"/>
        <c:scaling>
          <c:orientation val="minMax"/>
        </c:scaling>
        <c:delete val="1"/>
        <c:axPos val="l"/>
        <c:numFmt formatCode="0%" sourceLinked="1"/>
        <c:majorTickMark val="none"/>
        <c:minorTickMark val="none"/>
        <c:tickLblPos val="nextTo"/>
        <c:crossAx val="781746111"/>
        <c:crosses val="autoZero"/>
        <c:crossBetween val="between"/>
      </c:valAx>
      <c:spPr>
        <a:noFill/>
        <a:ln>
          <a:noFill/>
        </a:ln>
        <a:effectLst/>
      </c:spPr>
    </c:plotArea>
    <c:legend>
      <c:legendPos val="b"/>
      <c:layout>
        <c:manualLayout>
          <c:xMode val="edge"/>
          <c:yMode val="edge"/>
          <c:x val="3.6424061149883682E-2"/>
          <c:y val="0.91735712471424946"/>
          <c:w val="0.64822156452776403"/>
          <c:h val="7.7340614681229367E-2"/>
        </c:manualLayout>
      </c:layout>
      <c:overlay val="0"/>
      <c:spPr>
        <a:noFill/>
        <a:ln>
          <a:noFill/>
        </a:ln>
        <a:effectLst/>
      </c:spPr>
      <c:txPr>
        <a:bodyPr rot="0" spcFirstLastPara="1" vertOverflow="ellipsis" vert="horz" wrap="square" anchor="ctr" anchorCtr="1"/>
        <a:lstStyle/>
        <a:p>
          <a:pPr>
            <a:defRPr sz="700" b="1"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latin typeface="Arial Nova" panose="020B05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4371330453085188E-2"/>
          <c:y val="5.9379217273954114E-2"/>
          <c:w val="0.95125733909382959"/>
          <c:h val="0.77291168563443735"/>
        </c:manualLayout>
      </c:layout>
      <c:barChart>
        <c:barDir val="col"/>
        <c:grouping val="stacked"/>
        <c:varyColors val="0"/>
        <c:ser>
          <c:idx val="0"/>
          <c:order val="0"/>
          <c:tx>
            <c:strRef>
              <c:f>[Book1.xlsx]оспособљавање!$B$4</c:f>
              <c:strCache>
                <c:ptCount val="1"/>
                <c:pt idx="0">
                  <c:v>спроведено оспособљавање</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[Book1.xlsx]оспособљавање!$D$3:$H$3</c:f>
              <c:numCache>
                <c:formatCode>General</c:formatCode>
                <c:ptCount val="5"/>
                <c:pt idx="0">
                  <c:v>2018</c:v>
                </c:pt>
                <c:pt idx="1">
                  <c:v>2019</c:v>
                </c:pt>
                <c:pt idx="2">
                  <c:v>2020</c:v>
                </c:pt>
                <c:pt idx="3">
                  <c:v>2021</c:v>
                </c:pt>
                <c:pt idx="4">
                  <c:v>2022</c:v>
                </c:pt>
              </c:numCache>
            </c:numRef>
          </c:cat>
          <c:val>
            <c:numRef>
              <c:f>[Book1.xlsx]оспособљавање!$D$4:$H$4</c:f>
              <c:numCache>
                <c:formatCode>0%</c:formatCode>
                <c:ptCount val="5"/>
                <c:pt idx="0">
                  <c:v>0.75</c:v>
                </c:pt>
                <c:pt idx="1">
                  <c:v>0.75</c:v>
                </c:pt>
                <c:pt idx="2">
                  <c:v>0.77</c:v>
                </c:pt>
                <c:pt idx="3">
                  <c:v>0.76</c:v>
                </c:pt>
              </c:numCache>
            </c:numRef>
          </c:val>
          <c:extLst>
            <c:ext xmlns:c16="http://schemas.microsoft.com/office/drawing/2014/chart" uri="{C3380CC4-5D6E-409C-BE32-E72D297353CC}">
              <c16:uniqueId val="{00000000-8FC9-4B13-8F41-A959876156BC}"/>
            </c:ext>
          </c:extLst>
        </c:ser>
        <c:ser>
          <c:idx val="1"/>
          <c:order val="1"/>
          <c:tx>
            <c:strRef>
              <c:f>[Book1.xlsx]оспособљавање!$B$5</c:f>
              <c:strCache>
                <c:ptCount val="1"/>
                <c:pt idx="0">
                  <c:v>оспособљавање у складу са чл.29 ЗБЗР</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[Book1.xlsx]оспособљавање!$D$3:$H$3</c:f>
              <c:numCache>
                <c:formatCode>General</c:formatCode>
                <c:ptCount val="5"/>
                <c:pt idx="0">
                  <c:v>2018</c:v>
                </c:pt>
                <c:pt idx="1">
                  <c:v>2019</c:v>
                </c:pt>
                <c:pt idx="2">
                  <c:v>2020</c:v>
                </c:pt>
                <c:pt idx="3">
                  <c:v>2021</c:v>
                </c:pt>
                <c:pt idx="4">
                  <c:v>2022</c:v>
                </c:pt>
              </c:numCache>
            </c:numRef>
          </c:cat>
          <c:val>
            <c:numRef>
              <c:f>[Book1.xlsx]оспособљавање!$D$5:$H$5</c:f>
              <c:numCache>
                <c:formatCode>0%</c:formatCode>
                <c:ptCount val="5"/>
                <c:pt idx="0">
                  <c:v>0.05</c:v>
                </c:pt>
                <c:pt idx="1">
                  <c:v>0.05</c:v>
                </c:pt>
                <c:pt idx="2">
                  <c:v>0.05</c:v>
                </c:pt>
                <c:pt idx="3">
                  <c:v>0.06</c:v>
                </c:pt>
              </c:numCache>
            </c:numRef>
          </c:val>
          <c:extLst>
            <c:ext xmlns:c16="http://schemas.microsoft.com/office/drawing/2014/chart" uri="{C3380CC4-5D6E-409C-BE32-E72D297353CC}">
              <c16:uniqueId val="{00000001-8FC9-4B13-8F41-A959876156BC}"/>
            </c:ext>
          </c:extLst>
        </c:ser>
        <c:ser>
          <c:idx val="2"/>
          <c:order val="2"/>
          <c:tx>
            <c:strRef>
              <c:f>[Book1.xlsx]оспособљавање!$B$6</c:f>
              <c:strCache>
                <c:ptCount val="1"/>
                <c:pt idx="0">
                  <c:v>није спроведено оспособљавање</c:v>
                </c:pt>
              </c:strCache>
            </c:strRef>
          </c:tx>
          <c:spPr>
            <a:solidFill>
              <a:schemeClr val="bg1">
                <a:lumMod val="75000"/>
              </a:schemeClr>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Arial Nova" panose="020B050402020202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[Book1.xlsx]оспособљавање!$D$3:$H$3</c:f>
              <c:numCache>
                <c:formatCode>General</c:formatCode>
                <c:ptCount val="5"/>
                <c:pt idx="0">
                  <c:v>2018</c:v>
                </c:pt>
                <c:pt idx="1">
                  <c:v>2019</c:v>
                </c:pt>
                <c:pt idx="2">
                  <c:v>2020</c:v>
                </c:pt>
                <c:pt idx="3">
                  <c:v>2021</c:v>
                </c:pt>
                <c:pt idx="4">
                  <c:v>2022</c:v>
                </c:pt>
              </c:numCache>
            </c:numRef>
          </c:cat>
          <c:val>
            <c:numRef>
              <c:f>[Book1.xlsx]оспособљавање!$D$6:$H$6</c:f>
              <c:numCache>
                <c:formatCode>0%</c:formatCode>
                <c:ptCount val="5"/>
                <c:pt idx="0">
                  <c:v>0.2</c:v>
                </c:pt>
                <c:pt idx="1">
                  <c:v>0.2</c:v>
                </c:pt>
                <c:pt idx="2">
                  <c:v>0.18</c:v>
                </c:pt>
                <c:pt idx="3">
                  <c:v>0.18</c:v>
                </c:pt>
              </c:numCache>
            </c:numRef>
          </c:val>
          <c:extLst>
            <c:ext xmlns:c16="http://schemas.microsoft.com/office/drawing/2014/chart" uri="{C3380CC4-5D6E-409C-BE32-E72D297353CC}">
              <c16:uniqueId val="{00000002-8FC9-4B13-8F41-A959876156BC}"/>
            </c:ext>
          </c:extLst>
        </c:ser>
        <c:dLbls>
          <c:showLegendKey val="0"/>
          <c:showVal val="0"/>
          <c:showCatName val="0"/>
          <c:showSerName val="0"/>
          <c:showPercent val="0"/>
          <c:showBubbleSize val="0"/>
        </c:dLbls>
        <c:gapWidth val="150"/>
        <c:overlap val="100"/>
        <c:axId val="781746111"/>
        <c:axId val="862561711"/>
      </c:barChart>
      <c:catAx>
        <c:axId val="78174611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1"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crossAx val="862561711"/>
        <c:crosses val="autoZero"/>
        <c:auto val="1"/>
        <c:lblAlgn val="ctr"/>
        <c:lblOffset val="100"/>
        <c:noMultiLvlLbl val="0"/>
      </c:catAx>
      <c:valAx>
        <c:axId val="862561711"/>
        <c:scaling>
          <c:orientation val="minMax"/>
        </c:scaling>
        <c:delete val="1"/>
        <c:axPos val="l"/>
        <c:numFmt formatCode="0%" sourceLinked="1"/>
        <c:majorTickMark val="none"/>
        <c:minorTickMark val="none"/>
        <c:tickLblPos val="nextTo"/>
        <c:crossAx val="781746111"/>
        <c:crosses val="autoZero"/>
        <c:crossBetween val="between"/>
      </c:valAx>
      <c:spPr>
        <a:noFill/>
        <a:ln>
          <a:noFill/>
        </a:ln>
        <a:effectLst/>
      </c:spPr>
    </c:plotArea>
    <c:legend>
      <c:legendPos val="b"/>
      <c:layout>
        <c:manualLayout>
          <c:xMode val="edge"/>
          <c:yMode val="edge"/>
          <c:x val="1.6710847335508785E-2"/>
          <c:y val="0.9030272424629705"/>
          <c:w val="0.94442237591686884"/>
          <c:h val="6.7372362865100677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Nova" panose="020B0504020202020204" pitchFamily="34" charset="0"/>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b="1">
          <a:latin typeface="Arial Nova" panose="020B05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B750D-E0C2-4C80-8715-FBC4551E6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46</Pages>
  <Words>18548</Words>
  <Characters>105730</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Zlatko Petrović</dc:creator>
  <cp:keywords/>
  <dc:description/>
  <cp:lastModifiedBy>Biljana Djuric</cp:lastModifiedBy>
  <cp:revision>5</cp:revision>
  <cp:lastPrinted>2023-08-25T08:51:00Z</cp:lastPrinted>
  <dcterms:created xsi:type="dcterms:W3CDTF">2023-09-28T07:05:00Z</dcterms:created>
  <dcterms:modified xsi:type="dcterms:W3CDTF">2023-09-28T07:31:00Z</dcterms:modified>
</cp:coreProperties>
</file>