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8F9" w:rsidRDefault="003E28F9" w:rsidP="003E28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76F5">
        <w:rPr>
          <w:rFonts w:ascii="Times New Roman" w:hAnsi="Times New Roman" w:cs="Times New Roman"/>
          <w:b/>
          <w:sz w:val="24"/>
          <w:szCs w:val="24"/>
          <w:lang w:val="sr-Cyrl-RS"/>
        </w:rPr>
        <w:t>Европска година вештина</w:t>
      </w:r>
    </w:p>
    <w:p w:rsidR="003E28F9" w:rsidRDefault="003E28F9" w:rsidP="003E28F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DAC4921" wp14:editId="557E668E">
            <wp:extent cx="1572895" cy="1097280"/>
            <wp:effectExtent l="0" t="0" r="825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E28F9" w:rsidRPr="00383A8F" w:rsidRDefault="003E28F9" w:rsidP="003E28F9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Иницијатива Европске комисије за унапређење обука и усавршавања</w:t>
      </w:r>
    </w:p>
    <w:p w:rsidR="003E28F9" w:rsidRPr="00383A8F" w:rsidRDefault="003E28F9" w:rsidP="003E28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3A8F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Европска година вештина ће дати нови подстицај </w:t>
      </w:r>
      <w:proofErr w:type="spellStart"/>
      <w:r w:rsidRPr="00383A8F">
        <w:rPr>
          <w:rFonts w:ascii="Times New Roman" w:hAnsi="Times New Roman" w:cs="Times New Roman"/>
          <w:sz w:val="24"/>
          <w:szCs w:val="24"/>
          <w:lang w:val="sr-Cyrl-RS"/>
        </w:rPr>
        <w:t>целоживотном</w:t>
      </w:r>
      <w:proofErr w:type="spellEnd"/>
      <w:r w:rsidRPr="00383A8F">
        <w:rPr>
          <w:rFonts w:ascii="Times New Roman" w:hAnsi="Times New Roman" w:cs="Times New Roman"/>
          <w:sz w:val="24"/>
          <w:szCs w:val="24"/>
          <w:lang w:val="sr-Cyrl-RS"/>
        </w:rPr>
        <w:t xml:space="preserve"> учењу, оснажујући људе и предузећа да допринесу зеленој и дигиталној транзицији, подржавајући иновације и конкурентност.</w:t>
      </w:r>
    </w:p>
    <w:p w:rsidR="003E28F9" w:rsidRPr="00383A8F" w:rsidRDefault="003E28F9" w:rsidP="003E28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3A8F">
        <w:rPr>
          <w:rFonts w:ascii="Times New Roman" w:hAnsi="Times New Roman" w:cs="Times New Roman"/>
          <w:sz w:val="24"/>
          <w:szCs w:val="24"/>
          <w:lang w:val="sr-Cyrl-RS"/>
        </w:rPr>
        <w:t>Европска година вештина ставља вештине у центар пажње. Пружање помоћи људима да стекну праве вештине за квалитетне послове и помоћи предузећима, посебно малим и средњим предузећима, да се изборе са недостатком вештина у ЕУ је оно чему је посвећена ова година.</w:t>
      </w:r>
    </w:p>
    <w:p w:rsidR="003E28F9" w:rsidRDefault="003E28F9" w:rsidP="003E28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3A8F">
        <w:rPr>
          <w:rFonts w:ascii="Times New Roman" w:hAnsi="Times New Roman" w:cs="Times New Roman"/>
          <w:sz w:val="24"/>
          <w:szCs w:val="24"/>
          <w:lang w:val="sr-Cyrl-RS"/>
        </w:rPr>
        <w:t>Европска година вештина почиње 9. маја 2023. године и трајаће 12 месеци, уз бројне активности и иницијативе које ће бити покренуте и промовисане. Четири главна циља су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E28F9" w:rsidRPr="00DE1E44" w:rsidRDefault="003E28F9" w:rsidP="003E28F9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DE1E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промовисање улагања у обуку и усавршавање</w:t>
      </w:r>
    </w:p>
    <w:p w:rsidR="003E28F9" w:rsidRPr="00DE1E44" w:rsidRDefault="003E28F9" w:rsidP="003E28F9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DE1E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обезбеђивање да вештине одговарају потребама послодаваца</w:t>
      </w:r>
    </w:p>
    <w:p w:rsidR="003E28F9" w:rsidRPr="00DE1E44" w:rsidRDefault="003E28F9" w:rsidP="003E28F9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DE1E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усклађивање </w:t>
      </w:r>
      <w:r w:rsidRPr="0031524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аспирација/тежњи</w:t>
      </w:r>
      <w:r w:rsidRPr="00DE1E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људи и њихових скупова вештина са могућностима на тржишту рада</w:t>
      </w:r>
    </w:p>
    <w:p w:rsidR="003E28F9" w:rsidRPr="00DE1E44" w:rsidRDefault="003E28F9" w:rsidP="003E28F9">
      <w:pPr>
        <w:numPr>
          <w:ilvl w:val="0"/>
          <w:numId w:val="1"/>
        </w:numPr>
        <w:shd w:val="clear" w:color="auto" w:fill="FFFFFF"/>
        <w:spacing w:before="100" w:beforeAutospacing="1" w:after="120" w:line="336" w:lineRule="atLeast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DE1E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привлачење људи изван ЕУ са потребним вештинама</w:t>
      </w:r>
    </w:p>
    <w:p w:rsidR="003E28F9" w:rsidRDefault="003E28F9" w:rsidP="003E28F9">
      <w:pPr>
        <w:shd w:val="clear" w:color="auto" w:fill="FFFFFF"/>
        <w:spacing w:before="100" w:beforeAutospacing="1" w:after="120" w:line="336" w:lineRule="atLeas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E1E4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Погледати и</w:t>
      </w:r>
      <w:r w:rsidRPr="00DE1E44">
        <w:rPr>
          <w:rFonts w:ascii="Times New Roman" w:eastAsia="Times New Roman" w:hAnsi="Times New Roman" w:cs="Times New Roman"/>
          <w:sz w:val="24"/>
          <w:szCs w:val="24"/>
          <w:lang w:val="en-GB" w:eastAsia="sr-Latn-RS"/>
        </w:rPr>
        <w:t xml:space="preserve">: </w:t>
      </w:r>
      <w:hyperlink r:id="rId6" w:tgtFrame="_blank" w:history="1">
        <w:r w:rsidRPr="00383A8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European Year of Skills I europa.eu</w:t>
        </w:r>
      </w:hyperlink>
      <w:r w:rsidRPr="00383A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E28F9" w:rsidRDefault="003E28F9" w:rsidP="003E28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28F9" w:rsidRPr="009C617F" w:rsidRDefault="003E28F9" w:rsidP="003E28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17F">
        <w:rPr>
          <w:rFonts w:ascii="Times New Roman" w:hAnsi="Times New Roman" w:cs="Times New Roman"/>
          <w:sz w:val="24"/>
          <w:szCs w:val="24"/>
          <w:lang w:val="sr-Cyrl-RS"/>
        </w:rPr>
        <w:t>Европска година вештина у Републици Србији, имајући у виду главне циљеве:</w:t>
      </w:r>
    </w:p>
    <w:p w:rsidR="003E28F9" w:rsidRPr="009C617F" w:rsidRDefault="003E28F9" w:rsidP="003E28F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17F">
        <w:rPr>
          <w:rFonts w:ascii="Times New Roman" w:hAnsi="Times New Roman" w:cs="Times New Roman"/>
          <w:b/>
          <w:sz w:val="24"/>
          <w:szCs w:val="24"/>
          <w:lang w:val="sr-Cyrl-RS"/>
        </w:rPr>
        <w:t>Повећање и унапређење улагања у вештине</w:t>
      </w:r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 – Реализација мера из система активног тражења посла (обука за активно тражење посла, клуб за тражење посла, сајмови запошљавања и сл.) ради стицања вештина за активно тражење посла, представљање послодавцу и др.  Реализација мера из система додатног образовања и обуке (стручна пракса, </w:t>
      </w:r>
      <w:proofErr w:type="spellStart"/>
      <w:r w:rsidRPr="009C617F">
        <w:rPr>
          <w:rFonts w:ascii="Times New Roman" w:hAnsi="Times New Roman" w:cs="Times New Roman"/>
          <w:sz w:val="24"/>
          <w:szCs w:val="24"/>
          <w:lang w:val="sr-Cyrl-RS"/>
        </w:rPr>
        <w:t>приправништво</w:t>
      </w:r>
      <w:proofErr w:type="spellEnd"/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, обуке за потребе тржишта рада и сл.) ради стицања додатних знања и вештина са циљем благовремене и ефикасне интеграције и </w:t>
      </w:r>
      <w:proofErr w:type="spellStart"/>
      <w:r w:rsidRPr="009C617F">
        <w:rPr>
          <w:rFonts w:ascii="Times New Roman" w:hAnsi="Times New Roman" w:cs="Times New Roman"/>
          <w:sz w:val="24"/>
          <w:szCs w:val="24"/>
          <w:lang w:val="sr-Cyrl-RS"/>
        </w:rPr>
        <w:t>реинтеграције</w:t>
      </w:r>
      <w:proofErr w:type="spellEnd"/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 на тржиште рада. </w:t>
      </w:r>
    </w:p>
    <w:p w:rsidR="003E28F9" w:rsidRPr="00315243" w:rsidRDefault="003E28F9" w:rsidP="003E28F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17F">
        <w:rPr>
          <w:rFonts w:ascii="Times New Roman" w:hAnsi="Times New Roman" w:cs="Times New Roman"/>
          <w:b/>
          <w:sz w:val="24"/>
          <w:szCs w:val="24"/>
          <w:lang w:val="sr-Cyrl-RS"/>
        </w:rPr>
        <w:t>Уверите се да су вештине релевантне</w:t>
      </w:r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 – Реализација годишњег анкетног истраживања потреба послодаваца (један од сегмената који се анкетирају и анализирају односи се и на поседовање или недостатак вештина које су потребне послодавцу ради обављања конкретних послова на конкретном радном месту од стране запослених). Праћење задовољења потреба за запошљавањем </w:t>
      </w:r>
      <w:r w:rsidRPr="00315243">
        <w:rPr>
          <w:rFonts w:ascii="Times New Roman" w:hAnsi="Times New Roman" w:cs="Times New Roman"/>
          <w:sz w:val="24"/>
          <w:szCs w:val="24"/>
          <w:lang w:val="sr-Cyrl-RS"/>
        </w:rPr>
        <w:t>које су послодавци поднели Националној служби за запошљавање.</w:t>
      </w:r>
    </w:p>
    <w:p w:rsidR="003E28F9" w:rsidRPr="009C617F" w:rsidRDefault="003E28F9" w:rsidP="003E28F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17F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Усклађивање </w:t>
      </w:r>
      <w:r w:rsidRPr="00315243">
        <w:rPr>
          <w:rFonts w:ascii="Times New Roman" w:hAnsi="Times New Roman" w:cs="Times New Roman"/>
          <w:b/>
          <w:sz w:val="24"/>
          <w:szCs w:val="24"/>
          <w:lang w:val="sr-Cyrl-RS"/>
        </w:rPr>
        <w:t>аспирација/тежњи</w:t>
      </w:r>
      <w:r w:rsidRPr="009C61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људи са потребама тржишта рада</w:t>
      </w:r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 – Даљи развој метода и техника процене </w:t>
      </w:r>
      <w:proofErr w:type="spellStart"/>
      <w:r w:rsidRPr="009C617F">
        <w:rPr>
          <w:rFonts w:ascii="Times New Roman" w:hAnsi="Times New Roman" w:cs="Times New Roman"/>
          <w:sz w:val="24"/>
          <w:szCs w:val="24"/>
          <w:lang w:val="sr-Cyrl-RS"/>
        </w:rPr>
        <w:t>запошљивости</w:t>
      </w:r>
      <w:proofErr w:type="spellEnd"/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 (укључујући и увођење статистичког </w:t>
      </w:r>
      <w:proofErr w:type="spellStart"/>
      <w:r w:rsidRPr="009C617F">
        <w:rPr>
          <w:rFonts w:ascii="Times New Roman" w:hAnsi="Times New Roman" w:cs="Times New Roman"/>
          <w:sz w:val="24"/>
          <w:szCs w:val="24"/>
          <w:lang w:val="sr-Cyrl-RS"/>
        </w:rPr>
        <w:t>профилисања</w:t>
      </w:r>
      <w:proofErr w:type="spellEnd"/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) за незапослена лица на евиденцији Националне службе за запошљавање. Даљи развој система </w:t>
      </w:r>
      <w:proofErr w:type="spellStart"/>
      <w:r w:rsidRPr="009C617F">
        <w:rPr>
          <w:rFonts w:ascii="Times New Roman" w:hAnsi="Times New Roman" w:cs="Times New Roman"/>
          <w:sz w:val="24"/>
          <w:szCs w:val="24"/>
          <w:lang w:val="sr-Cyrl-RS"/>
        </w:rPr>
        <w:t>каријерног</w:t>
      </w:r>
      <w:proofErr w:type="spellEnd"/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 вођења и саветовања и информисања незапослених лица о могућностима запошљавања сходно потребама тржишта рада.</w:t>
      </w:r>
    </w:p>
    <w:p w:rsidR="003E28F9" w:rsidRPr="009C617F" w:rsidRDefault="003E28F9" w:rsidP="003E28F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617F">
        <w:rPr>
          <w:rFonts w:ascii="Times New Roman" w:hAnsi="Times New Roman" w:cs="Times New Roman"/>
          <w:b/>
          <w:sz w:val="24"/>
          <w:szCs w:val="24"/>
          <w:lang w:val="sr-Cyrl-RS"/>
        </w:rPr>
        <w:t>Привлачење талената са правим вештинама у Европу</w:t>
      </w:r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 – Учествовање у различитим иницијативама (нарочито регионалним, каква је Гаранција за младе и сл.); закључивање билатералних споразума који омогућавају и олакшавају приступ тржишту рада у земљи домаћину. </w:t>
      </w:r>
    </w:p>
    <w:p w:rsidR="003E28F9" w:rsidRPr="009C617F" w:rsidRDefault="003E28F9" w:rsidP="003E2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28F9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9C617F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Национални циљеви</w:t>
      </w:r>
      <w:r w:rsidRPr="009C617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340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Идентификација вештина које су потребне, а недостајуће на националном тржишту рада у домену дигиталних вештина и зелене економије и развој програма обука за стицање истих, са циљем повећања броја запослених у предметним секторима.</w:t>
      </w:r>
    </w:p>
    <w:p w:rsidR="003E28F9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3E28F9" w:rsidRPr="00C3402E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C340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Погледати и:</w:t>
      </w:r>
    </w:p>
    <w:p w:rsidR="003E28F9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C340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Мере активне политике запошљавања у оквиру Националне службе за запошљавање:</w:t>
      </w:r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Pr="00374CA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https://www.nsz.gov.rs/</w:t>
        </w:r>
      </w:hyperlink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28F9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C340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Јавно признати организатори образовања одраслих акредитовани од стране Министарства просвете и Агенције за квалификације:</w:t>
      </w:r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8" w:history="1">
        <w:r w:rsidRPr="00374CA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https://prosveta.gov.rs/prosveta/srednje-obrazovanje/obrazovanje-odraslih/javno-priznati-organizatori-obrazovanja-odraslih/</w:t>
        </w:r>
      </w:hyperlink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28F9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C340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Агенција за квалификације:</w:t>
      </w:r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Pr="00374CA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https://azk.gov.rs/</w:t>
        </w:r>
      </w:hyperlink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28F9" w:rsidRPr="00CF08A1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C340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Министарство просвете:</w:t>
      </w:r>
      <w:r w:rsidRPr="00CF08A1">
        <w:t xml:space="preserve"> </w:t>
      </w:r>
      <w:hyperlink r:id="rId10" w:history="1">
        <w:r w:rsidRPr="00374CA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https://prosveta.gov.rs/</w:t>
        </w:r>
      </w:hyperlink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3E28F9" w:rsidRPr="00CF08A1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340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Темпус</w:t>
      </w:r>
      <w:proofErr w:type="spellEnd"/>
      <w:r w:rsidRPr="00C3402E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фондација:</w:t>
      </w:r>
      <w:r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11" w:history="1">
        <w:r w:rsidRPr="00374CA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https://tempus.ac.rs/</w:t>
        </w:r>
      </w:hyperlink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3E28F9" w:rsidRPr="009C617F" w:rsidRDefault="003E28F9" w:rsidP="003E28F9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3E28F9" w:rsidRPr="009C617F" w:rsidRDefault="003E28F9" w:rsidP="003E28F9">
      <w:pPr>
        <w:spacing w:after="0" w:line="240" w:lineRule="auto"/>
        <w:rPr>
          <w:rFonts w:ascii="Cambria" w:hAnsi="Cambria"/>
          <w:lang w:val="sr-Cyrl-RS"/>
        </w:rPr>
      </w:pPr>
    </w:p>
    <w:p w:rsidR="003E28F9" w:rsidRPr="00301519" w:rsidRDefault="003E28F9" w:rsidP="003E28F9">
      <w:pPr>
        <w:rPr>
          <w:lang w:val="sr-Cyrl-RS"/>
        </w:rPr>
      </w:pPr>
    </w:p>
    <w:p w:rsidR="000F4456" w:rsidRDefault="000F4456">
      <w:bookmarkStart w:id="0" w:name="_GoBack"/>
      <w:bookmarkEnd w:id="0"/>
    </w:p>
    <w:sectPr w:rsidR="000F4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17E0"/>
    <w:multiLevelType w:val="hybridMultilevel"/>
    <w:tmpl w:val="30C8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672A"/>
    <w:multiLevelType w:val="multilevel"/>
    <w:tmpl w:val="2254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F9"/>
    <w:rsid w:val="000F4456"/>
    <w:rsid w:val="00315243"/>
    <w:rsid w:val="003E28F9"/>
    <w:rsid w:val="00C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0B6D-4E77-4F9E-B23E-BDA4D6B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8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28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eta.gov.rs/prosveta/srednje-obrazovanje/obrazovanje-odraslih/javno-priznati-organizatori-obrazovanja-odrasli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sz.gov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ear-of-skills.europa.eu/index_en" TargetMode="External"/><Relationship Id="rId11" Type="http://schemas.openxmlformats.org/officeDocument/2006/relationships/hyperlink" Target="https://tempus.ac.r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osvet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k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danka.cancarevic</dc:creator>
  <cp:keywords/>
  <dc:description/>
  <cp:lastModifiedBy>danka.cancarevic</cp:lastModifiedBy>
  <cp:revision>3</cp:revision>
  <dcterms:created xsi:type="dcterms:W3CDTF">2023-07-12T08:42:00Z</dcterms:created>
  <dcterms:modified xsi:type="dcterms:W3CDTF">2023-07-12T10:46:00Z</dcterms:modified>
</cp:coreProperties>
</file>