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pageBreakBefore w:val="0"/>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p>
    <w:p w:rsidR="00000000" w:rsidDel="00000000" w:rsidP="00000000" w:rsidRDefault="00000000" w:rsidRPr="00000000" w14:paraId="0000005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p>
    <w:p w:rsidR="00000000" w:rsidDel="00000000" w:rsidP="00000000" w:rsidRDefault="00000000" w:rsidRPr="00000000" w14:paraId="0000005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6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[list derogations to the General Conditions, or state ‘None applicable’]</w:t>
      </w:r>
      <w:r w:rsidDel="00000000" w:rsidR="00000000" w:rsidRPr="00000000">
        <w:rPr>
          <w:rtl w:val="0"/>
        </w:rPr>
      </w:r>
    </w:p>
    <w:p w:rsidR="00000000" w:rsidDel="00000000" w:rsidP="00000000" w:rsidRDefault="00000000" w:rsidRPr="00000000" w14:paraId="0000006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06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075">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tbl>
      <w:tblPr>
        <w:tblStyle w:val="Table2"/>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8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tl w:val="0"/>
        </w:rPr>
      </w:r>
    </w:p>
    <w:p w:rsidR="00000000" w:rsidDel="00000000" w:rsidP="00000000" w:rsidRDefault="00000000" w:rsidRPr="00000000" w14:paraId="0000009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7">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8">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A">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B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F">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7">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D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E">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E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F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10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4">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7">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9">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A">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4">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6">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20">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2">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24">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6">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12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A">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p>
    <w:p w:rsidR="00000000" w:rsidDel="00000000" w:rsidP="00000000" w:rsidRDefault="00000000" w:rsidRPr="00000000" w14:paraId="0000012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2D">
      <w:pPr>
        <w:pageBreakBefore w:val="0"/>
        <w:numPr>
          <w:ilvl w:val="0"/>
          <w:numId w:val="2"/>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30">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2">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9">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10">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