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Open Call for Proposals</w:t>
      </w:r>
    </w:p>
    <w:p w:rsidR="00000000" w:rsidDel="00000000" w:rsidP="00000000" w:rsidRDefault="00000000" w:rsidRPr="00000000" w14:paraId="00000005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For Local Infrastructure Projects</w:t>
      </w:r>
    </w:p>
    <w:p w:rsidR="00000000" w:rsidDel="00000000" w:rsidP="00000000" w:rsidRDefault="00000000" w:rsidRPr="00000000" w14:paraId="00000006">
      <w:pPr>
        <w:pageBreakBefore w:val="0"/>
        <w:spacing w:after="240" w:line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240" w:before="480" w:line="240" w:lineRule="auto"/>
        <w:jc w:val="center"/>
        <w:rPr>
          <w:color w:val="1f4d78"/>
          <w:sz w:val="24"/>
          <w:szCs w:val="24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Annex I</w:t>
      </w:r>
      <w:r w:rsidDel="00000000" w:rsidR="00000000" w:rsidRPr="00000000">
        <w:rPr>
          <w:color w:val="1f4d78"/>
          <w:sz w:val="24"/>
          <w:szCs w:val="24"/>
          <w:rtl w:val="0"/>
        </w:rPr>
        <w:br w:type="textWrapping"/>
      </w: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List of Eligible Local Self Governments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f4d78"/>
          <w:sz w:val="24"/>
          <w:szCs w:val="24"/>
          <w:rtl w:val="0"/>
        </w:rPr>
        <w:t xml:space="preserve">Reference: Call for Proposals number </w:t>
      </w: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4"/>
          <w:szCs w:val="24"/>
          <w:rtl w:val="0"/>
        </w:rPr>
        <w:t xml:space="preserve">CfP </w:t>
      </w: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4"/>
          <w:szCs w:val="24"/>
          <w:rtl w:val="0"/>
        </w:rPr>
        <w:t xml:space="preserve">02-EUPROPLUS-2021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pageBreakBefore w:val="0"/>
        <w:spacing w:after="0" w:before="40" w:lineRule="auto"/>
        <w:ind w:firstLine="360"/>
        <w:jc w:val="center"/>
        <w:rPr>
          <w:rFonts w:ascii="Montserrat SemiBold" w:cs="Montserrat SemiBold" w:eastAsia="Montserrat SemiBold" w:hAnsi="Montserrat SemiBold"/>
          <w:b w:val="0"/>
          <w:color w:val="263e93"/>
          <w:sz w:val="28"/>
          <w:szCs w:val="28"/>
        </w:rPr>
      </w:pPr>
      <w:bookmarkStart w:colFirst="0" w:colLast="0" w:name="_heading=h.nj7c2n3lo4q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pageBreakBefore w:val="0"/>
        <w:spacing w:after="0" w:before="40" w:lineRule="auto"/>
        <w:ind w:firstLine="360"/>
        <w:jc w:val="center"/>
        <w:rPr>
          <w:rFonts w:ascii="Montserrat SemiBold" w:cs="Montserrat SemiBold" w:eastAsia="Montserrat SemiBold" w:hAnsi="Montserrat SemiBold"/>
          <w:b w:val="0"/>
          <w:color w:val="263e93"/>
          <w:sz w:val="28"/>
          <w:szCs w:val="28"/>
        </w:rPr>
      </w:pPr>
      <w:bookmarkStart w:colFirst="0" w:colLast="0" w:name="_heading=h.3sz3qi8yqeb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pageBreakBefore w:val="0"/>
        <w:spacing w:after="0" w:before="40" w:lineRule="auto"/>
        <w:ind w:firstLine="360"/>
        <w:jc w:val="center"/>
        <w:rPr>
          <w:rFonts w:ascii="Montserrat SemiBold" w:cs="Montserrat SemiBold" w:eastAsia="Montserrat SemiBold" w:hAnsi="Montserrat SemiBold"/>
          <w:b w:val="0"/>
          <w:color w:val="263e93"/>
          <w:sz w:val="28"/>
          <w:szCs w:val="28"/>
        </w:rPr>
      </w:pPr>
      <w:bookmarkStart w:colFirst="0" w:colLast="0" w:name="_heading=h.cr9itb6q9cjk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pageBreakBefore w:val="0"/>
        <w:spacing w:after="0" w:before="40" w:lineRule="auto"/>
        <w:ind w:firstLine="360"/>
        <w:jc w:val="center"/>
        <w:rPr>
          <w:rFonts w:ascii="Montserrat SemiBold" w:cs="Montserrat SemiBold" w:eastAsia="Montserrat SemiBold" w:hAnsi="Montserrat SemiBold"/>
          <w:b w:val="0"/>
          <w:color w:val="263e93"/>
          <w:sz w:val="28"/>
          <w:szCs w:val="28"/>
        </w:rPr>
      </w:pPr>
      <w:bookmarkStart w:colFirst="0" w:colLast="0" w:name="_heading=h.1gldmtnokz5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pageBreakBefore w:val="0"/>
        <w:spacing w:after="0" w:before="40" w:lineRule="auto"/>
        <w:ind w:firstLine="360"/>
        <w:jc w:val="center"/>
        <w:rPr>
          <w:rFonts w:ascii="Montserrat SemiBold" w:cs="Montserrat SemiBold" w:eastAsia="Montserrat SemiBold" w:hAnsi="Montserrat SemiBold"/>
          <w:b w:val="0"/>
          <w:color w:val="263e93"/>
          <w:sz w:val="28"/>
          <w:szCs w:val="28"/>
        </w:rPr>
      </w:pPr>
      <w:bookmarkStart w:colFirst="0" w:colLast="0" w:name="_heading=h.qdmyrei43pi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240" w:before="480" w:line="240" w:lineRule="auto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after="240" w:before="48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The List of Eligible Local Self Governments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"/>
        <w:gridCol w:w="2280"/>
        <w:gridCol w:w="1560"/>
        <w:gridCol w:w="3120"/>
        <w:gridCol w:w="1579"/>
        <w:tblGridChange w:id="0">
          <w:tblGrid>
            <w:gridCol w:w="538"/>
            <w:gridCol w:w="2280"/>
            <w:gridCol w:w="1560"/>
            <w:gridCol w:w="3120"/>
            <w:gridCol w:w="1579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bookmarkStart w:colFirst="0" w:colLast="0" w:name="bookmark=id.gjdgxs" w:id="5"/>
          <w:bookmarkEnd w:id="5"/>
          <w:p w:rsidR="00000000" w:rsidDel="00000000" w:rsidP="00000000" w:rsidRDefault="00000000" w:rsidRPr="00000000" w14:paraId="00000023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LSG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Region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District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Aleksandrovac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Aleksinac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Aranđelovac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Arilje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Babušnica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Pirot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Bajina Bašta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Batočina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Bela Palanka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Pirot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Blace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Toplica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Bogatić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Bojnik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Boljevac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Zaječar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Bor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Bosilegrad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Brus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Bujanovac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Čačak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Moravica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Čajetina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Ćićevac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Crna Trava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Ćuprija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Despotovac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Dimitrovgrad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Pirot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Doljevac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Gadžin Han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Golubac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Gornji Milanovac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Moravica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A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Ivanjica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Moravica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Jagodina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Kladovo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Knić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B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Knjaževac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Zaječar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Koceljeva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Kosjerić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Kragujevac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Kraljevo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Krupanj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D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Kruševac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Kučevo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Kuršumlija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Toplica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E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Lajkovac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bookmarkStart w:colFirst="0" w:colLast="0" w:name="_heading=h.30j0zll" w:id="6"/>
            <w:bookmarkEnd w:id="6"/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Lapovo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Lebane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0F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Leskovac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Ljig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Ljubovija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Loznica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0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Lučani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Moravica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Majdanpek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Mali Zvornik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1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Malo Crniće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Medveđa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Merošina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2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Mionica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Negotin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3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Nova Varoš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Novi Pazar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Osečina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4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Paraćin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Petrovac na Mlavi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Pirot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Pirot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Požarevac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5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Požega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Preševo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Priboj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6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Prijepolje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Prokuplje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Toplica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Rača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7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Ražanj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Rekovac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8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Šabac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Sjenica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Smederevo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Podunavlje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9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Smederevska Palanka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Podunavlje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Sokobanja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Zaječar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Surdulica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Svilajnac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A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Pomoravlje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Svrljig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Topola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Trgovište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B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Trstenik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Tutin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Ub 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C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Užice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Zlatibor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Valjevo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Kolubara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Varvarin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Rasina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D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Velika Plana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Podunavlje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90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Veliko Gradište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Vladičin Han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E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Vladimirci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Mačva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Vlasotince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Jablanica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Vranje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Pčinja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Vrnjačka Banja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1F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Šumadija and Western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Raška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Žabari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Žagubica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Braničevo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Zaječar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0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Zaječar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Žitorađa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Municipality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Southern and Eastern Serbia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</w:tcPr>
          <w:p w:rsidR="00000000" w:rsidDel="00000000" w:rsidP="00000000" w:rsidRDefault="00000000" w:rsidRPr="00000000" w14:paraId="0000021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Toplica</w:t>
            </w:r>
          </w:p>
        </w:tc>
      </w:tr>
    </w:tbl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EUPRO Plus_CFPs_List of LSGs</w:t>
    </w:r>
  </w:p>
  <w:p w:rsidR="00000000" w:rsidDel="00000000" w:rsidP="00000000" w:rsidRDefault="00000000" w:rsidRPr="00000000" w14:paraId="000002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A">
    <w:pPr>
      <w:tabs>
        <w:tab w:val="left" w:pos="7079.4094488188975"/>
      </w:tabs>
      <w:spacing w:after="240" w:line="276" w:lineRule="auto"/>
      <w:ind w:right="-419.5275590551165"/>
      <w:rPr/>
    </w:pPr>
    <w:r w:rsidDel="00000000" w:rsidR="00000000" w:rsidRPr="00000000">
      <w:rPr>
        <w:rFonts w:ascii="Open Sans" w:cs="Open Sans" w:eastAsia="Open Sans" w:hAnsi="Open Sans"/>
        <w:b w:val="1"/>
        <w:color w:val="666666"/>
        <w:sz w:val="12"/>
        <w:szCs w:val="12"/>
        <w:rtl w:val="0"/>
      </w:rPr>
      <w:t xml:space="preserve">The Public  Call for Proposals for Local Infrastructure Projects </w:t>
      <w:tab/>
    </w:r>
    <w:r w:rsidDel="00000000" w:rsidR="00000000" w:rsidRPr="00000000">
      <w:rPr>
        <w:rFonts w:ascii="Open Sans" w:cs="Open Sans" w:eastAsia="Open Sans" w:hAnsi="Open Sans"/>
        <w:b w:val="1"/>
        <w:color w:val="666666"/>
        <w:sz w:val="12"/>
        <w:szCs w:val="12"/>
      </w:rPr>
      <w:drawing>
        <wp:inline distB="57150" distT="57150" distL="57150" distR="57150">
          <wp:extent cx="1436269" cy="40532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-2492" r="4028" t="0"/>
                  <a:stretch>
                    <a:fillRect/>
                  </a:stretch>
                </pic:blipFill>
                <pic:spPr>
                  <a:xfrm>
                    <a:off x="0" y="0"/>
                    <a:ext cx="1436269" cy="4053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E275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E2753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2753B"/>
  </w:style>
  <w:style w:type="paragraph" w:styleId="Footer">
    <w:name w:val="footer"/>
    <w:basedOn w:val="Normal"/>
    <w:link w:val="FooterChar"/>
    <w:uiPriority w:val="99"/>
    <w:unhideWhenUsed w:val="1"/>
    <w:rsid w:val="00E2753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2753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RJb5StqUUfDY6YRBdI8egi9dWw==">AMUW2mX1Fr+CiaXFeLQvWD4I1RdHCL6DN2t7WnQWojXfbDAvuE8GzPScFR4rAUU4w9/Hszg42hyetyReEUbM+0/WqkpNZMLf1G469ahHR/tl+jiX9F+MGhk343yx33nO8LaWBMZUyhOt+4ky3zfUtPgW3aFkFDJjNpSKNDxtubv9jiIfOH+4EeKEgFLdZaJfE2qJzstr/gflMEjSsYm88Boasxc6jIdtmJ4XSIqcJ9OP0bNW9Pd3Ysw=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2018-02-13T09:30:00Z</dcterms:created>
  <dc:creator>Jasmina Ilic</dc:creator>
</cp:coreProperties>
</file>