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4b61vqtpf8p5" w:id="0"/>
      <w:bookmarkEnd w:id="0"/>
      <w:r w:rsidDel="00000000" w:rsidR="00000000" w:rsidRPr="00000000">
        <w:rPr>
          <w:rtl w:val="0"/>
        </w:rPr>
      </w:r>
    </w:p>
    <w:p w:rsidR="00000000" w:rsidDel="00000000" w:rsidP="00000000" w:rsidRDefault="00000000" w:rsidRPr="00000000" w14:paraId="00000002">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p0dpkacd1s0q" w:id="1"/>
      <w:bookmarkEnd w:id="1"/>
      <w:r w:rsidDel="00000000" w:rsidR="00000000" w:rsidRPr="00000000">
        <w:rPr>
          <w:rtl w:val="0"/>
        </w:rPr>
      </w:r>
    </w:p>
    <w:p w:rsidR="00000000" w:rsidDel="00000000" w:rsidP="00000000" w:rsidRDefault="00000000" w:rsidRPr="00000000" w14:paraId="00000003">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ehlurlfikldp" w:id="2"/>
      <w:bookmarkEnd w:id="2"/>
      <w:r w:rsidDel="00000000" w:rsidR="00000000" w:rsidRPr="00000000">
        <w:rPr>
          <w:rtl w:val="0"/>
        </w:rPr>
      </w:r>
    </w:p>
    <w:p w:rsidR="00000000" w:rsidDel="00000000" w:rsidP="00000000" w:rsidRDefault="00000000" w:rsidRPr="00000000" w14:paraId="00000004">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klr0j0z6o66h" w:id="3"/>
      <w:bookmarkEnd w:id="3"/>
      <w:r w:rsidDel="00000000" w:rsidR="00000000" w:rsidRPr="00000000">
        <w:rPr>
          <w:rtl w:val="0"/>
        </w:rPr>
      </w:r>
    </w:p>
    <w:p w:rsidR="00000000" w:rsidDel="00000000" w:rsidP="00000000" w:rsidRDefault="00000000" w:rsidRPr="00000000" w14:paraId="00000005">
      <w:pPr>
        <w:pageBreakBefore w:val="0"/>
        <w:spacing w:after="240" w:line="240" w:lineRule="auto"/>
        <w:jc w:val="center"/>
        <w:rPr>
          <w:rFonts w:ascii="Montserrat" w:cs="Montserrat" w:eastAsia="Montserrat" w:hAnsi="Montserrat"/>
          <w:b w:val="1"/>
          <w:color w:val="263e93"/>
          <w:sz w:val="28"/>
          <w:szCs w:val="28"/>
        </w:rPr>
      </w:pPr>
      <w:r w:rsidDel="00000000" w:rsidR="00000000" w:rsidRPr="00000000">
        <w:rPr>
          <w:rFonts w:ascii="Montserrat" w:cs="Montserrat" w:eastAsia="Montserrat" w:hAnsi="Montserrat"/>
          <w:b w:val="1"/>
          <w:color w:val="263e93"/>
          <w:sz w:val="28"/>
          <w:szCs w:val="28"/>
          <w:rtl w:val="0"/>
        </w:rPr>
        <w:t xml:space="preserve">Open Call for Proposals</w:t>
      </w:r>
    </w:p>
    <w:p w:rsidR="00000000" w:rsidDel="00000000" w:rsidP="00000000" w:rsidRDefault="00000000" w:rsidRPr="00000000" w14:paraId="00000006">
      <w:pPr>
        <w:pageBreakBefore w:val="0"/>
        <w:spacing w:after="240" w:line="240" w:lineRule="auto"/>
        <w:jc w:val="center"/>
        <w:rPr>
          <w:rFonts w:ascii="Montserrat" w:cs="Montserrat" w:eastAsia="Montserrat" w:hAnsi="Montserrat"/>
          <w:b w:val="1"/>
          <w:color w:val="263e93"/>
          <w:sz w:val="28"/>
          <w:szCs w:val="28"/>
        </w:rPr>
      </w:pPr>
      <w:r w:rsidDel="00000000" w:rsidR="00000000" w:rsidRPr="00000000">
        <w:rPr>
          <w:rFonts w:ascii="Montserrat" w:cs="Montserrat" w:eastAsia="Montserrat" w:hAnsi="Montserrat"/>
          <w:b w:val="1"/>
          <w:color w:val="263e93"/>
          <w:sz w:val="28"/>
          <w:szCs w:val="28"/>
          <w:rtl w:val="0"/>
        </w:rPr>
        <w:t xml:space="preserve">For Local Infrastructure Projects</w:t>
      </w:r>
    </w:p>
    <w:p w:rsidR="00000000" w:rsidDel="00000000" w:rsidP="00000000" w:rsidRDefault="00000000" w:rsidRPr="00000000" w14:paraId="00000007">
      <w:pPr>
        <w:pageBreakBefore w:val="0"/>
        <w:spacing w:after="240" w:line="240" w:lineRule="auto"/>
        <w:jc w:val="center"/>
        <w:rPr>
          <w:rFonts w:ascii="Montserrat SemiBold" w:cs="Montserrat SemiBold" w:eastAsia="Montserrat SemiBold" w:hAnsi="Montserrat SemiBold"/>
          <w:color w:val="263e93"/>
          <w:sz w:val="28"/>
          <w:szCs w:val="28"/>
        </w:rPr>
      </w:pPr>
      <w:r w:rsidDel="00000000" w:rsidR="00000000" w:rsidRPr="00000000">
        <w:rPr>
          <w:rtl w:val="0"/>
        </w:rPr>
      </w:r>
    </w:p>
    <w:p w:rsidR="00000000" w:rsidDel="00000000" w:rsidP="00000000" w:rsidRDefault="00000000" w:rsidRPr="00000000" w14:paraId="00000008">
      <w:pPr>
        <w:pageBreakBefore w:val="0"/>
        <w:spacing w:after="240" w:line="240" w:lineRule="auto"/>
        <w:jc w:val="center"/>
        <w:rPr>
          <w:rFonts w:ascii="Montserrat" w:cs="Montserrat" w:eastAsia="Montserrat" w:hAnsi="Montserrat"/>
          <w:b w:val="1"/>
          <w:color w:val="263e93"/>
          <w:sz w:val="28"/>
          <w:szCs w:val="28"/>
        </w:rPr>
      </w:pPr>
      <w:r w:rsidDel="00000000" w:rsidR="00000000" w:rsidRPr="00000000">
        <w:rPr>
          <w:rtl w:val="0"/>
        </w:rPr>
      </w:r>
    </w:p>
    <w:p w:rsidR="00000000" w:rsidDel="00000000" w:rsidP="00000000" w:rsidRDefault="00000000" w:rsidRPr="00000000" w14:paraId="00000009">
      <w:pPr>
        <w:pageBreakBefore w:val="0"/>
        <w:spacing w:after="240" w:before="480" w:line="240" w:lineRule="auto"/>
        <w:jc w:val="center"/>
        <w:rPr>
          <w:rFonts w:ascii="Calibri" w:cs="Calibri" w:eastAsia="Calibri" w:hAnsi="Calibri"/>
          <w:color w:val="1f4d78"/>
          <w:sz w:val="24"/>
          <w:szCs w:val="24"/>
        </w:rPr>
      </w:pPr>
      <w:r w:rsidDel="00000000" w:rsidR="00000000" w:rsidRPr="00000000">
        <w:rPr>
          <w:rFonts w:ascii="Montserrat SemiBold" w:cs="Montserrat SemiBold" w:eastAsia="Montserrat SemiBold" w:hAnsi="Montserrat SemiBold"/>
          <w:color w:val="263e93"/>
          <w:sz w:val="28"/>
          <w:szCs w:val="28"/>
          <w:rtl w:val="0"/>
        </w:rPr>
        <w:t xml:space="preserve">Annex E</w:t>
      </w:r>
      <w:r w:rsidDel="00000000" w:rsidR="00000000" w:rsidRPr="00000000">
        <w:rPr>
          <w:rFonts w:ascii="Calibri" w:cs="Calibri" w:eastAsia="Calibri" w:hAnsi="Calibri"/>
          <w:color w:val="1f4d78"/>
          <w:sz w:val="24"/>
          <w:szCs w:val="24"/>
          <w:rtl w:val="0"/>
        </w:rPr>
        <w:br w:type="textWrapping"/>
      </w:r>
      <w:r w:rsidDel="00000000" w:rsidR="00000000" w:rsidRPr="00000000">
        <w:rPr>
          <w:rFonts w:ascii="Montserrat SemiBold" w:cs="Montserrat SemiBold" w:eastAsia="Montserrat SemiBold" w:hAnsi="Montserrat SemiBold"/>
          <w:color w:val="263e93"/>
          <w:sz w:val="28"/>
          <w:szCs w:val="28"/>
          <w:rtl w:val="0"/>
        </w:rPr>
        <w:t xml:space="preserve">Eligibility Declaration by the Applicant</w:t>
      </w:r>
      <w:r w:rsidDel="00000000" w:rsidR="00000000" w:rsidRPr="00000000">
        <w:rPr>
          <w:rtl w:val="0"/>
        </w:rPr>
      </w:r>
    </w:p>
    <w:p w:rsidR="00000000" w:rsidDel="00000000" w:rsidP="00000000" w:rsidRDefault="00000000" w:rsidRPr="00000000" w14:paraId="0000000A">
      <w:pPr>
        <w:pageBreakBefore w:val="0"/>
        <w:spacing w:after="240" w:line="240" w:lineRule="auto"/>
        <w:jc w:val="center"/>
        <w:rPr>
          <w:rFonts w:ascii="Montserrat SemiBold" w:cs="Montserrat SemiBold" w:eastAsia="Montserrat SemiBold" w:hAnsi="Montserrat SemiBold"/>
          <w:color w:val="263e93"/>
          <w:sz w:val="24"/>
          <w:szCs w:val="24"/>
        </w:rPr>
      </w:pPr>
      <w:r w:rsidDel="00000000" w:rsidR="00000000" w:rsidRPr="00000000">
        <w:rPr>
          <w:rFonts w:ascii="Montserrat" w:cs="Montserrat" w:eastAsia="Montserrat" w:hAnsi="Montserrat"/>
          <w:color w:val="1f4d78"/>
          <w:sz w:val="24"/>
          <w:szCs w:val="24"/>
          <w:rtl w:val="0"/>
        </w:rPr>
        <w:t xml:space="preserve">Reference: Call for Proposals number </w:t>
      </w:r>
      <w:r w:rsidDel="00000000" w:rsidR="00000000" w:rsidRPr="00000000">
        <w:rPr>
          <w:rFonts w:ascii="Montserrat" w:cs="Montserrat" w:eastAsia="Montserrat" w:hAnsi="Montserrat"/>
          <w:b w:val="1"/>
          <w:color w:val="263e93"/>
          <w:sz w:val="24"/>
          <w:szCs w:val="24"/>
          <w:rtl w:val="0"/>
        </w:rPr>
        <w:t xml:space="preserve">CfP </w:t>
      </w:r>
      <w:r w:rsidDel="00000000" w:rsidR="00000000" w:rsidRPr="00000000">
        <w:rPr>
          <w:rFonts w:ascii="Montserrat" w:cs="Montserrat" w:eastAsia="Montserrat" w:hAnsi="Montserrat"/>
          <w:b w:val="1"/>
          <w:color w:val="263e93"/>
          <w:sz w:val="24"/>
          <w:szCs w:val="24"/>
          <w:rtl w:val="0"/>
        </w:rPr>
        <w:t xml:space="preserve">02-EUPROPLUS-2021</w:t>
      </w:r>
      <w:r w:rsidDel="00000000" w:rsidR="00000000" w:rsidRPr="00000000">
        <w:rPr>
          <w:rtl w:val="0"/>
        </w:rPr>
      </w:r>
    </w:p>
    <w:p w:rsidR="00000000" w:rsidDel="00000000" w:rsidP="00000000" w:rsidRDefault="00000000" w:rsidRPr="00000000" w14:paraId="0000000B">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nj7c2n3lo4qi" w:id="4"/>
      <w:bookmarkEnd w:id="4"/>
      <w:r w:rsidDel="00000000" w:rsidR="00000000" w:rsidRPr="00000000">
        <w:rPr>
          <w:rtl w:val="0"/>
        </w:rPr>
      </w:r>
    </w:p>
    <w:p w:rsidR="00000000" w:rsidDel="00000000" w:rsidP="00000000" w:rsidRDefault="00000000" w:rsidRPr="00000000" w14:paraId="0000000C">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3sz3qi8yqebz" w:id="5"/>
      <w:bookmarkEnd w:id="5"/>
      <w:r w:rsidDel="00000000" w:rsidR="00000000" w:rsidRPr="00000000">
        <w:rPr>
          <w:rtl w:val="0"/>
        </w:rPr>
      </w:r>
    </w:p>
    <w:p w:rsidR="00000000" w:rsidDel="00000000" w:rsidP="00000000" w:rsidRDefault="00000000" w:rsidRPr="00000000" w14:paraId="0000000D">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cr9itb6q9cjk" w:id="6"/>
      <w:bookmarkEnd w:id="6"/>
      <w:r w:rsidDel="00000000" w:rsidR="00000000" w:rsidRPr="00000000">
        <w:rPr>
          <w:rtl w:val="0"/>
        </w:rPr>
      </w:r>
    </w:p>
    <w:p w:rsidR="00000000" w:rsidDel="00000000" w:rsidP="00000000" w:rsidRDefault="00000000" w:rsidRPr="00000000" w14:paraId="0000000E">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1gldmtnokz54" w:id="7"/>
      <w:bookmarkEnd w:id="7"/>
      <w:r w:rsidDel="00000000" w:rsidR="00000000" w:rsidRPr="00000000">
        <w:rPr>
          <w:rtl w:val="0"/>
        </w:rPr>
      </w:r>
    </w:p>
    <w:p w:rsidR="00000000" w:rsidDel="00000000" w:rsidP="00000000" w:rsidRDefault="00000000" w:rsidRPr="00000000" w14:paraId="0000000F">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qdmyrei43pi" w:id="8"/>
      <w:bookmarkEnd w:id="8"/>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Style w:val="Heading1"/>
        <w:keepLines w:val="0"/>
        <w:pageBreakBefore w:val="0"/>
        <w:spacing w:after="0" w:before="240" w:line="240" w:lineRule="auto"/>
        <w:jc w:val="center"/>
        <w:rPr>
          <w:rFonts w:ascii="Montserrat SemiBold" w:cs="Montserrat SemiBold" w:eastAsia="Montserrat SemiBold" w:hAnsi="Montserrat SemiBold"/>
          <w:color w:val="263e93"/>
          <w:sz w:val="26"/>
          <w:szCs w:val="26"/>
        </w:rPr>
      </w:pPr>
      <w:bookmarkStart w:colFirst="0" w:colLast="0" w:name="_qsh70q" w:id="9"/>
      <w:bookmarkEnd w:id="9"/>
      <w:r w:rsidDel="00000000" w:rsidR="00000000" w:rsidRPr="00000000">
        <w:rPr>
          <w:rFonts w:ascii="Montserrat SemiBold" w:cs="Montserrat SemiBold" w:eastAsia="Montserrat SemiBold" w:hAnsi="Montserrat SemiBold"/>
          <w:color w:val="263e93"/>
          <w:sz w:val="26"/>
          <w:szCs w:val="26"/>
          <w:rtl w:val="0"/>
        </w:rPr>
        <w:t xml:space="preserve">Eligibility </w:t>
      </w:r>
      <w:r w:rsidDel="00000000" w:rsidR="00000000" w:rsidRPr="00000000">
        <w:rPr>
          <w:rFonts w:ascii="Montserrat SemiBold" w:cs="Montserrat SemiBold" w:eastAsia="Montserrat SemiBold" w:hAnsi="Montserrat SemiBold"/>
          <w:color w:val="263e93"/>
          <w:sz w:val="26"/>
          <w:szCs w:val="26"/>
          <w:rtl w:val="0"/>
        </w:rPr>
        <w:t xml:space="preserve">Declaration by the Applicant</w:t>
      </w:r>
    </w:p>
    <w:p w:rsidR="00000000" w:rsidDel="00000000" w:rsidP="00000000" w:rsidRDefault="00000000" w:rsidRPr="00000000" w14:paraId="00000024">
      <w:pPr>
        <w:shd w:fill="ffffff" w:val="clear"/>
        <w:spacing w:after="20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Please confirm the application submission with the following declaration</w:t>
      </w:r>
      <w:r w:rsidDel="00000000" w:rsidR="00000000" w:rsidRPr="00000000">
        <w:rPr>
          <w:rtl w:val="0"/>
        </w:rPr>
      </w:r>
    </w:p>
    <w:p w:rsidR="00000000" w:rsidDel="00000000" w:rsidP="00000000" w:rsidRDefault="00000000" w:rsidRPr="00000000" w14:paraId="00000025">
      <w:pPr>
        <w:widowControl w:val="0"/>
        <w:spacing w:after="160" w:line="259"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 the undersigned, being the authorised representative of the Applicant (including all partners, if any), hereby declare that we have examined and accept without reserve or restriction the entire contents of the CFP documents. Therefore, I certify that the information contained in this application is correct.</w:t>
      </w:r>
    </w:p>
    <w:p w:rsidR="00000000" w:rsidDel="00000000" w:rsidP="00000000" w:rsidRDefault="00000000" w:rsidRPr="00000000" w14:paraId="00000026">
      <w:pPr>
        <w:spacing w:after="160" w:before="5" w:line="26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Moreover, I certify on my honour that the Applicant (including all partners, if any) is not in one of the situations which would exclude it from taking part in the CFP selection process and accordingly declare that the Applicant (including all partners, if any):</w:t>
      </w:r>
    </w:p>
    <w:p w:rsidR="00000000" w:rsidDel="00000000" w:rsidP="00000000" w:rsidRDefault="00000000" w:rsidRPr="00000000" w14:paraId="00000027">
      <w:pPr>
        <w:widowControl w:val="0"/>
        <w:numPr>
          <w:ilvl w:val="0"/>
          <w:numId w:val="1"/>
        </w:numPr>
        <w:tabs>
          <w:tab w:val="left" w:pos="541"/>
        </w:tabs>
        <w:spacing w:before="27"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is not bankrupt or being wound up, is not having its affairs administered by a liquidator or  by a court, has not entered into an arrangement with creditors or suspended business activities, and is not in any analogous situation arising from a similar procedure provided for in national legislation or regulations;</w:t>
      </w:r>
    </w:p>
    <w:p w:rsidR="00000000" w:rsidDel="00000000" w:rsidP="00000000" w:rsidRDefault="00000000" w:rsidRPr="00000000" w14:paraId="00000028">
      <w:pPr>
        <w:widowControl w:val="0"/>
        <w:numPr>
          <w:ilvl w:val="0"/>
          <w:numId w:val="1"/>
        </w:numPr>
        <w:tabs>
          <w:tab w:val="left" w:pos="541"/>
        </w:tabs>
        <w:spacing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has met its obligations relating to the payment of social security contributions or taxes under the legislation of the country in which it is established;</w:t>
      </w:r>
    </w:p>
    <w:p w:rsidR="00000000" w:rsidDel="00000000" w:rsidP="00000000" w:rsidRDefault="00000000" w:rsidRPr="00000000" w14:paraId="00000029">
      <w:pPr>
        <w:widowControl w:val="0"/>
        <w:numPr>
          <w:ilvl w:val="0"/>
          <w:numId w:val="1"/>
        </w:numPr>
        <w:tabs>
          <w:tab w:val="left" w:pos="541"/>
        </w:tabs>
        <w:spacing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is not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w:t>
      </w:r>
    </w:p>
    <w:p w:rsidR="00000000" w:rsidDel="00000000" w:rsidP="00000000" w:rsidRDefault="00000000" w:rsidRPr="00000000" w14:paraId="0000002A">
      <w:pPr>
        <w:widowControl w:val="0"/>
        <w:numPr>
          <w:ilvl w:val="0"/>
          <w:numId w:val="1"/>
        </w:numPr>
        <w:tabs>
          <w:tab w:val="left" w:pos="541"/>
        </w:tabs>
        <w:spacing w:before="1"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2B">
      <w:pPr>
        <w:widowControl w:val="0"/>
        <w:numPr>
          <w:ilvl w:val="0"/>
          <w:numId w:val="1"/>
        </w:numPr>
        <w:tabs>
          <w:tab w:val="left" w:pos="541"/>
        </w:tabs>
        <w:spacing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has not been the subject of a judgment which has the force of res judicata for fraud, corruption, involvement in a criminal organisation or any other illegal activity detrimental to the Community’s financial interests;</w:t>
      </w:r>
    </w:p>
    <w:p w:rsidR="00000000" w:rsidDel="00000000" w:rsidP="00000000" w:rsidRDefault="00000000" w:rsidRPr="00000000" w14:paraId="0000002C">
      <w:pPr>
        <w:widowControl w:val="0"/>
        <w:numPr>
          <w:ilvl w:val="0"/>
          <w:numId w:val="1"/>
        </w:numPr>
        <w:tabs>
          <w:tab w:val="left" w:pos="541"/>
        </w:tabs>
        <w:spacing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has not been the subject of a judgment which has the force of res judicata for money laundering or terrorist financing;</w:t>
      </w:r>
    </w:p>
    <w:p w:rsidR="00000000" w:rsidDel="00000000" w:rsidP="00000000" w:rsidRDefault="00000000" w:rsidRPr="00000000" w14:paraId="0000002D">
      <w:pPr>
        <w:widowControl w:val="0"/>
        <w:numPr>
          <w:ilvl w:val="0"/>
          <w:numId w:val="1"/>
        </w:numPr>
        <w:tabs>
          <w:tab w:val="left" w:pos="541"/>
        </w:tabs>
        <w:spacing w:before="4"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has not been convicted of an offence for terrorism, or any other offences linked to terrorist activities which has the force of res judicata;</w:t>
      </w:r>
    </w:p>
    <w:p w:rsidR="00000000" w:rsidDel="00000000" w:rsidP="00000000" w:rsidRDefault="00000000" w:rsidRPr="00000000" w14:paraId="0000002E">
      <w:pPr>
        <w:widowControl w:val="0"/>
        <w:numPr>
          <w:ilvl w:val="0"/>
          <w:numId w:val="1"/>
        </w:numPr>
        <w:tabs>
          <w:tab w:val="left" w:pos="541"/>
        </w:tabs>
        <w:spacing w:before="4"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has not been the subject of a judgment which has the force of res judicata for child labour or other forms of trafficking in human beings;</w:t>
      </w:r>
    </w:p>
    <w:p w:rsidR="00000000" w:rsidDel="00000000" w:rsidP="00000000" w:rsidRDefault="00000000" w:rsidRPr="00000000" w14:paraId="0000002F">
      <w:pPr>
        <w:widowControl w:val="0"/>
        <w:numPr>
          <w:ilvl w:val="0"/>
          <w:numId w:val="1"/>
        </w:numPr>
        <w:tabs>
          <w:tab w:val="left" w:pos="541"/>
        </w:tabs>
        <w:spacing w:before="4"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is not a shell company or involved in creation of shell companies</w:t>
      </w:r>
    </w:p>
    <w:p w:rsidR="00000000" w:rsidDel="00000000" w:rsidP="00000000" w:rsidRDefault="00000000" w:rsidRPr="00000000" w14:paraId="00000030">
      <w:pPr>
        <w:widowControl w:val="0"/>
        <w:numPr>
          <w:ilvl w:val="0"/>
          <w:numId w:val="1"/>
        </w:numPr>
        <w:tabs>
          <w:tab w:val="left" w:pos="541"/>
        </w:tabs>
        <w:spacing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is not guilty of grave professional misconduct proven by any means which the contracting authority can justify;</w:t>
      </w:r>
    </w:p>
    <w:p w:rsidR="00000000" w:rsidDel="00000000" w:rsidP="00000000" w:rsidRDefault="00000000" w:rsidRPr="00000000" w14:paraId="00000031">
      <w:pPr>
        <w:widowControl w:val="0"/>
        <w:numPr>
          <w:ilvl w:val="0"/>
          <w:numId w:val="1"/>
        </w:numPr>
        <w:tabs>
          <w:tab w:val="left" w:pos="541"/>
        </w:tabs>
        <w:spacing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has not been declared to be in serious breach of contract for failure to comply with its contractual obligations subsequent to another grant award procedure financed by the Community budget.</w:t>
      </w:r>
    </w:p>
    <w:p w:rsidR="00000000" w:rsidDel="00000000" w:rsidP="00000000" w:rsidRDefault="00000000" w:rsidRPr="00000000" w14:paraId="00000032">
      <w:pPr>
        <w:widowControl w:val="0"/>
        <w:numPr>
          <w:ilvl w:val="0"/>
          <w:numId w:val="1"/>
        </w:numPr>
        <w:tabs>
          <w:tab w:val="left" w:pos="541"/>
        </w:tabs>
        <w:spacing w:before="29"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does not have any conflict of interest in connection with the contract; a conflict of interest may arise in particular as a result of economic interests, political or national affinities, family or emotional ties, or any other relevant connection or shared interest;</w:t>
      </w:r>
    </w:p>
    <w:p w:rsidR="00000000" w:rsidDel="00000000" w:rsidP="00000000" w:rsidRDefault="00000000" w:rsidRPr="00000000" w14:paraId="00000033">
      <w:pPr>
        <w:widowControl w:val="0"/>
        <w:numPr>
          <w:ilvl w:val="0"/>
          <w:numId w:val="1"/>
        </w:numPr>
        <w:tabs>
          <w:tab w:val="left" w:pos="541"/>
        </w:tabs>
        <w:spacing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will, if need be, inform the contracting authority, without delay, of any situation constituting a conflict of interest or which could give rise to a conflict of interest;</w:t>
      </w:r>
    </w:p>
    <w:p w:rsidR="00000000" w:rsidDel="00000000" w:rsidP="00000000" w:rsidRDefault="00000000" w:rsidRPr="00000000" w14:paraId="00000034">
      <w:pPr>
        <w:widowControl w:val="0"/>
        <w:numPr>
          <w:ilvl w:val="0"/>
          <w:numId w:val="1"/>
        </w:numPr>
        <w:tabs>
          <w:tab w:val="left" w:pos="541"/>
        </w:tabs>
        <w:spacing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has not granted, sought, attempted to obtain or accepted and will not grant, seek, attempt to obtain, or accept any advantage, financial or in kind, to or from any party whatsoever, constituting an illegal or corrupt practice, either directly or indirectly, as an incentive or reward relating to the award of the contract;</w:t>
      </w:r>
    </w:p>
    <w:p w:rsidR="00000000" w:rsidDel="00000000" w:rsidP="00000000" w:rsidRDefault="00000000" w:rsidRPr="00000000" w14:paraId="00000035">
      <w:pPr>
        <w:widowControl w:val="0"/>
        <w:numPr>
          <w:ilvl w:val="0"/>
          <w:numId w:val="1"/>
        </w:numPr>
        <w:tabs>
          <w:tab w:val="left" w:pos="541"/>
        </w:tabs>
        <w:spacing w:before="1"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36">
      <w:pPr>
        <w:widowControl w:val="0"/>
        <w:numPr>
          <w:ilvl w:val="0"/>
          <w:numId w:val="1"/>
        </w:numPr>
        <w:tabs>
          <w:tab w:val="left" w:pos="541"/>
        </w:tabs>
        <w:spacing w:before="34" w:line="240" w:lineRule="auto"/>
        <w:ind w:right="4"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is not subject to one of the criteria for exclusion from the grant procedure outlined in points a) to o) above.</w:t>
      </w:r>
    </w:p>
    <w:p w:rsidR="00000000" w:rsidDel="00000000" w:rsidP="00000000" w:rsidRDefault="00000000" w:rsidRPr="00000000" w14:paraId="00000037">
      <w:pPr>
        <w:numPr>
          <w:ilvl w:val="0"/>
          <w:numId w:val="1"/>
        </w:numPr>
        <w:tabs>
          <w:tab w:val="left" w:pos="-284"/>
          <w:tab w:val="left" w:pos="284"/>
        </w:tabs>
        <w:spacing w:after="0" w:line="240" w:lineRule="auto"/>
        <w:ind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is responsible for the content of the proposal submitted through annexes A-F and confirm possessing the sources of financing and professional competence and qualifications specified in section 2 of the Guidelines for Applicants;</w:t>
      </w:r>
    </w:p>
    <w:p w:rsidR="00000000" w:rsidDel="00000000" w:rsidP="00000000" w:rsidRDefault="00000000" w:rsidRPr="00000000" w14:paraId="00000038">
      <w:pPr>
        <w:numPr>
          <w:ilvl w:val="0"/>
          <w:numId w:val="1"/>
        </w:numPr>
        <w:tabs>
          <w:tab w:val="left" w:pos="-284"/>
          <w:tab w:val="left" w:pos="284"/>
        </w:tabs>
        <w:spacing w:after="0" w:line="240" w:lineRule="auto"/>
        <w:ind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undertakes to comply with the obligations foreseen in the partnership statement of the grant application form and with the principles of good partnership practice;</w:t>
      </w:r>
    </w:p>
    <w:p w:rsidR="00000000" w:rsidDel="00000000" w:rsidP="00000000" w:rsidRDefault="00000000" w:rsidRPr="00000000" w14:paraId="00000039">
      <w:pPr>
        <w:numPr>
          <w:ilvl w:val="0"/>
          <w:numId w:val="1"/>
        </w:numPr>
        <w:tabs>
          <w:tab w:val="left" w:pos="-284"/>
          <w:tab w:val="left" w:pos="284"/>
        </w:tabs>
        <w:spacing w:after="0" w:line="240" w:lineRule="auto"/>
        <w:ind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is directly responsible for the preparation, management and implementation of the action with its partners, if any, and is not acting as an intermediary;</w:t>
      </w:r>
    </w:p>
    <w:p w:rsidR="00000000" w:rsidDel="00000000" w:rsidP="00000000" w:rsidRDefault="00000000" w:rsidRPr="00000000" w14:paraId="0000003A">
      <w:pPr>
        <w:numPr>
          <w:ilvl w:val="0"/>
          <w:numId w:val="1"/>
        </w:numPr>
        <w:tabs>
          <w:tab w:val="left" w:pos="-284"/>
          <w:tab w:val="left" w:pos="284"/>
        </w:tabs>
        <w:spacing w:after="0" w:line="240" w:lineRule="auto"/>
        <w:ind w:hanging="361"/>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the applicant and each partner (if any) are eligible in accordance with the criteria set out under section 8. of the Guidelines for Applicants;</w:t>
      </w:r>
    </w:p>
    <w:p w:rsidR="00000000" w:rsidDel="00000000" w:rsidP="00000000" w:rsidRDefault="00000000" w:rsidRPr="00000000" w14:paraId="0000003B">
      <w:pPr>
        <w:numPr>
          <w:ilvl w:val="0"/>
          <w:numId w:val="1"/>
        </w:numPr>
        <w:tabs>
          <w:tab w:val="left" w:pos="-284"/>
          <w:tab w:val="left" w:pos="284"/>
        </w:tabs>
        <w:spacing w:after="0" w:line="240" w:lineRule="auto"/>
        <w:ind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and each partner (if any) are obliged to undertake visibility steps prescribed by the Programme to promote the European Union (EU) financial contribution to the Action. All visibility activities, in particular the marking ceremonies have to be agreed with and approved by the EU PRO Plus Communication team;</w:t>
      </w:r>
      <w:r w:rsidDel="00000000" w:rsidR="00000000" w:rsidRPr="00000000">
        <w:rPr>
          <w:rtl w:val="0"/>
        </w:rPr>
      </w:r>
    </w:p>
    <w:p w:rsidR="00000000" w:rsidDel="00000000" w:rsidP="00000000" w:rsidRDefault="00000000" w:rsidRPr="00000000" w14:paraId="0000003C">
      <w:pPr>
        <w:numPr>
          <w:ilvl w:val="0"/>
          <w:numId w:val="1"/>
        </w:numPr>
        <w:tabs>
          <w:tab w:val="left" w:pos="-284"/>
          <w:tab w:val="left" w:pos="284"/>
        </w:tabs>
        <w:spacing w:after="0" w:line="240" w:lineRule="auto"/>
        <w:ind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if recommended to be awarded a grant, the applicant accepts the contractual conditions as laid down in the Standard Contract annexed to the Guidelines for Applicants (annex H)</w:t>
      </w:r>
    </w:p>
    <w:p w:rsidR="00000000" w:rsidDel="00000000" w:rsidP="00000000" w:rsidRDefault="00000000" w:rsidRPr="00000000" w14:paraId="0000003D">
      <w:pPr>
        <w:numPr>
          <w:ilvl w:val="0"/>
          <w:numId w:val="1"/>
        </w:numPr>
        <w:tabs>
          <w:tab w:val="left" w:pos="284"/>
        </w:tabs>
        <w:spacing w:after="0" w:line="240" w:lineRule="auto"/>
        <w:ind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and its partners are aware that, for the purposes of safeguarding the financial interests of the Communities, their personal data may be transferred to internal audit services, to the European Court of Auditors, to the Financial Irregularities Panel or to the European Anti-Fraud Office;</w:t>
      </w:r>
    </w:p>
    <w:p w:rsidR="00000000" w:rsidDel="00000000" w:rsidP="00000000" w:rsidRDefault="00000000" w:rsidRPr="00000000" w14:paraId="0000003E">
      <w:pPr>
        <w:numPr>
          <w:ilvl w:val="0"/>
          <w:numId w:val="1"/>
        </w:numPr>
        <w:tabs>
          <w:tab w:val="left" w:pos="-284"/>
        </w:tabs>
        <w:spacing w:line="240" w:lineRule="auto"/>
        <w:ind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is fully aware of the obligation to inform without delay the Contracting Authority to which this application is submitted if the same application for funding made to other European Commission departments or European Union institutions has been approved by them after the submission of this grant application.</w:t>
      </w:r>
    </w:p>
    <w:p w:rsidR="00000000" w:rsidDel="00000000" w:rsidP="00000000" w:rsidRDefault="00000000" w:rsidRPr="00000000" w14:paraId="0000003F">
      <w:pPr>
        <w:tabs>
          <w:tab w:val="left" w:pos="-284"/>
        </w:tabs>
        <w:spacing w:line="240" w:lineRule="auto"/>
        <w:jc w:val="both"/>
        <w:rPr>
          <w:rFonts w:ascii="Open Sans" w:cs="Open Sans" w:eastAsia="Open Sans" w:hAnsi="Open Sans"/>
          <w:sz w:val="20"/>
          <w:szCs w:val="20"/>
        </w:rPr>
      </w:pPr>
      <w:r w:rsidDel="00000000" w:rsidR="00000000" w:rsidRPr="00000000">
        <w:rPr>
          <w:rtl w:val="0"/>
        </w:rPr>
      </w:r>
    </w:p>
    <w:tbl>
      <w:tblPr>
        <w:tblStyle w:val="Table1"/>
        <w:tblW w:w="9480.0" w:type="dxa"/>
        <w:jc w:val="left"/>
        <w:tblInd w:w="0.0" w:type="pct"/>
        <w:tblLayout w:type="fixed"/>
        <w:tblLook w:val="0000"/>
      </w:tblPr>
      <w:tblGrid>
        <w:gridCol w:w="2655"/>
        <w:gridCol w:w="6825"/>
        <w:tblGridChange w:id="0">
          <w:tblGrid>
            <w:gridCol w:w="2655"/>
            <w:gridCol w:w="6825"/>
          </w:tblGrid>
        </w:tblGridChange>
      </w:tblGrid>
      <w:tr>
        <w:trPr>
          <w:cantSplit w:val="0"/>
          <w:trHeight w:val="717"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0">
            <w:pPr>
              <w:widowControl w:val="0"/>
              <w:spacing w:before="9" w:line="110" w:lineRule="auto"/>
              <w:rPr>
                <w:sz w:val="20"/>
                <w:szCs w:val="20"/>
              </w:rPr>
            </w:pPr>
            <w:r w:rsidDel="00000000" w:rsidR="00000000" w:rsidRPr="00000000">
              <w:rPr>
                <w:rtl w:val="0"/>
              </w:rPr>
            </w:r>
          </w:p>
          <w:p w:rsidR="00000000" w:rsidDel="00000000" w:rsidP="00000000" w:rsidRDefault="00000000" w:rsidRPr="00000000" w14:paraId="00000041">
            <w:pPr>
              <w:widowControl w:val="0"/>
              <w:spacing w:line="240" w:lineRule="auto"/>
              <w:rPr>
                <w:b w:val="1"/>
                <w:sz w:val="20"/>
                <w:szCs w:val="20"/>
              </w:rPr>
            </w:pPr>
            <w:r w:rsidDel="00000000" w:rsidR="00000000" w:rsidRPr="00000000">
              <w:rPr>
                <w:b w:val="1"/>
                <w:sz w:val="20"/>
                <w:szCs w:val="20"/>
                <w:rtl w:val="0"/>
              </w:rPr>
              <w:t xml:space="preserve"> The Applicant </w:t>
            </w:r>
          </w:p>
          <w:p w:rsidR="00000000" w:rsidDel="00000000" w:rsidP="00000000" w:rsidRDefault="00000000" w:rsidRPr="00000000" w14:paraId="00000042">
            <w:pPr>
              <w:widowControl w:val="0"/>
              <w:spacing w:line="240" w:lineRule="auto"/>
              <w:rPr>
                <w:sz w:val="20"/>
                <w:szCs w:val="20"/>
              </w:rPr>
            </w:pPr>
            <w:r w:rsidDel="00000000" w:rsidR="00000000" w:rsidRPr="00000000">
              <w:rPr>
                <w:b w:val="1"/>
                <w:sz w:val="20"/>
                <w:szCs w:val="20"/>
                <w:rtl w:val="0"/>
              </w:rPr>
              <w:t xml:space="preserve">(legal entity full name)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3">
            <w:pPr>
              <w:spacing w:after="160" w:line="259" w:lineRule="auto"/>
              <w:rPr>
                <w:sz w:val="20"/>
                <w:szCs w:val="20"/>
              </w:rPr>
            </w:pPr>
            <w:r w:rsidDel="00000000" w:rsidR="00000000" w:rsidRPr="00000000">
              <w:rPr>
                <w:rtl w:val="0"/>
              </w:rPr>
            </w:r>
          </w:p>
        </w:tc>
      </w:tr>
    </w:tbl>
    <w:p w:rsidR="00000000" w:rsidDel="00000000" w:rsidP="00000000" w:rsidRDefault="00000000" w:rsidRPr="00000000" w14:paraId="00000044">
      <w:pPr>
        <w:shd w:fill="ffffff" w:val="clear"/>
        <w:spacing w:after="200" w:line="240" w:lineRule="auto"/>
        <w:jc w:val="both"/>
        <w:rPr>
          <w:sz w:val="20"/>
          <w:szCs w:val="20"/>
        </w:rPr>
      </w:pPr>
      <w:r w:rsidDel="00000000" w:rsidR="00000000" w:rsidRPr="00000000">
        <w:rPr>
          <w:sz w:val="20"/>
          <w:szCs w:val="20"/>
          <w:rtl w:val="0"/>
        </w:rPr>
        <w:t xml:space="preserve">  Signed on behalf of the Applicant</w:t>
      </w:r>
    </w:p>
    <w:tbl>
      <w:tblPr>
        <w:tblStyle w:val="Table2"/>
        <w:tblW w:w="9510.0" w:type="dxa"/>
        <w:jc w:val="left"/>
        <w:tblInd w:w="-30.0" w:type="dxa"/>
        <w:tblLayout w:type="fixed"/>
        <w:tblLook w:val="0000"/>
      </w:tblPr>
      <w:tblGrid>
        <w:gridCol w:w="2685"/>
        <w:gridCol w:w="6825"/>
        <w:tblGridChange w:id="0">
          <w:tblGrid>
            <w:gridCol w:w="2685"/>
            <w:gridCol w:w="6825"/>
          </w:tblGrid>
        </w:tblGridChange>
      </w:tblGrid>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5">
            <w:pPr>
              <w:widowControl w:val="0"/>
              <w:spacing w:before="9" w:line="110" w:lineRule="auto"/>
              <w:rPr>
                <w:sz w:val="20"/>
                <w:szCs w:val="20"/>
              </w:rPr>
            </w:pPr>
            <w:r w:rsidDel="00000000" w:rsidR="00000000" w:rsidRPr="00000000">
              <w:rPr>
                <w:rtl w:val="0"/>
              </w:rPr>
            </w:r>
          </w:p>
          <w:p w:rsidR="00000000" w:rsidDel="00000000" w:rsidP="00000000" w:rsidRDefault="00000000" w:rsidRPr="00000000" w14:paraId="00000046">
            <w:pPr>
              <w:widowControl w:val="0"/>
              <w:spacing w:line="240" w:lineRule="auto"/>
              <w:rPr>
                <w:sz w:val="20"/>
                <w:szCs w:val="20"/>
              </w:rPr>
            </w:pPr>
            <w:r w:rsidDel="00000000" w:rsidR="00000000" w:rsidRPr="00000000">
              <w:rPr>
                <w:b w:val="1"/>
                <w:sz w:val="20"/>
                <w:szCs w:val="20"/>
                <w:rtl w:val="0"/>
              </w:rPr>
              <w:t xml:space="preserve"> Name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7">
            <w:pPr>
              <w:spacing w:after="160" w:line="259" w:lineRule="auto"/>
              <w:rPr>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8">
            <w:pPr>
              <w:widowControl w:val="0"/>
              <w:spacing w:before="9" w:line="110" w:lineRule="auto"/>
              <w:rPr>
                <w:sz w:val="20"/>
                <w:szCs w:val="20"/>
              </w:rPr>
            </w:pPr>
            <w:r w:rsidDel="00000000" w:rsidR="00000000" w:rsidRPr="00000000">
              <w:rPr>
                <w:rtl w:val="0"/>
              </w:rPr>
            </w:r>
          </w:p>
          <w:p w:rsidR="00000000" w:rsidDel="00000000" w:rsidP="00000000" w:rsidRDefault="00000000" w:rsidRPr="00000000" w14:paraId="00000049">
            <w:pPr>
              <w:widowControl w:val="0"/>
              <w:spacing w:line="240" w:lineRule="auto"/>
              <w:rPr>
                <w:sz w:val="20"/>
                <w:szCs w:val="20"/>
              </w:rPr>
            </w:pPr>
            <w:r w:rsidDel="00000000" w:rsidR="00000000" w:rsidRPr="00000000">
              <w:rPr>
                <w:b w:val="1"/>
                <w:sz w:val="20"/>
                <w:szCs w:val="20"/>
                <w:rtl w:val="0"/>
              </w:rPr>
              <w:t xml:space="preserve"> Signature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A">
            <w:pPr>
              <w:spacing w:after="160" w:line="259" w:lineRule="auto"/>
              <w:rPr>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B">
            <w:pPr>
              <w:widowControl w:val="0"/>
              <w:spacing w:before="9" w:line="110" w:lineRule="auto"/>
              <w:rPr>
                <w:sz w:val="20"/>
                <w:szCs w:val="20"/>
              </w:rPr>
            </w:pPr>
            <w:r w:rsidDel="00000000" w:rsidR="00000000" w:rsidRPr="00000000">
              <w:rPr>
                <w:rtl w:val="0"/>
              </w:rPr>
            </w:r>
          </w:p>
          <w:p w:rsidR="00000000" w:rsidDel="00000000" w:rsidP="00000000" w:rsidRDefault="00000000" w:rsidRPr="00000000" w14:paraId="0000004C">
            <w:pPr>
              <w:widowControl w:val="0"/>
              <w:spacing w:line="240" w:lineRule="auto"/>
              <w:rPr>
                <w:sz w:val="20"/>
                <w:szCs w:val="20"/>
              </w:rPr>
            </w:pPr>
            <w:r w:rsidDel="00000000" w:rsidR="00000000" w:rsidRPr="00000000">
              <w:rPr>
                <w:b w:val="1"/>
                <w:sz w:val="20"/>
                <w:szCs w:val="20"/>
                <w:rtl w:val="0"/>
              </w:rPr>
              <w:t xml:space="preserve"> Position</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D">
            <w:pPr>
              <w:spacing w:after="160" w:line="259" w:lineRule="auto"/>
              <w:rPr>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E">
            <w:pPr>
              <w:widowControl w:val="0"/>
              <w:spacing w:before="9" w:line="110" w:lineRule="auto"/>
              <w:rPr>
                <w:sz w:val="20"/>
                <w:szCs w:val="20"/>
              </w:rPr>
            </w:pPr>
            <w:r w:rsidDel="00000000" w:rsidR="00000000" w:rsidRPr="00000000">
              <w:rPr>
                <w:rtl w:val="0"/>
              </w:rPr>
            </w:r>
          </w:p>
          <w:p w:rsidR="00000000" w:rsidDel="00000000" w:rsidP="00000000" w:rsidRDefault="00000000" w:rsidRPr="00000000" w14:paraId="0000004F">
            <w:pPr>
              <w:widowControl w:val="0"/>
              <w:spacing w:line="240" w:lineRule="auto"/>
              <w:rPr>
                <w:sz w:val="20"/>
                <w:szCs w:val="20"/>
              </w:rPr>
            </w:pPr>
            <w:r w:rsidDel="00000000" w:rsidR="00000000" w:rsidRPr="00000000">
              <w:rPr>
                <w:b w:val="1"/>
                <w:sz w:val="20"/>
                <w:szCs w:val="20"/>
                <w:rtl w:val="0"/>
              </w:rPr>
              <w:t xml:space="preserve"> Date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0">
            <w:pPr>
              <w:spacing w:after="160" w:line="259" w:lineRule="auto"/>
              <w:rPr>
                <w:sz w:val="20"/>
                <w:szCs w:val="20"/>
              </w:rPr>
            </w:pPr>
            <w:r w:rsidDel="00000000" w:rsidR="00000000" w:rsidRPr="00000000">
              <w:rPr>
                <w:rtl w:val="0"/>
              </w:rPr>
            </w:r>
          </w:p>
        </w:tc>
      </w:tr>
    </w:tbl>
    <w:p w:rsidR="00000000" w:rsidDel="00000000" w:rsidP="00000000" w:rsidRDefault="00000000" w:rsidRPr="00000000" w14:paraId="00000051">
      <w:pPr>
        <w:shd w:fill="ffffff" w:val="clear"/>
        <w:spacing w:after="200" w:line="240" w:lineRule="auto"/>
        <w:jc w:val="both"/>
        <w:rPr>
          <w:rFonts w:ascii="Open Sans" w:cs="Open Sans" w:eastAsia="Open Sans" w:hAnsi="Open Sans"/>
          <w:sz w:val="20"/>
          <w:szCs w:val="20"/>
        </w:rPr>
      </w:pPr>
      <w:r w:rsidDel="00000000" w:rsidR="00000000" w:rsidRPr="00000000">
        <w:rPr>
          <w:sz w:val="20"/>
          <w:szCs w:val="20"/>
          <w:rtl w:val="0"/>
        </w:rPr>
        <w:t xml:space="preserve">This Call for Proposals is subject to acceptance within the validity period stipulated in the CFP document</w:t>
      </w:r>
      <w:r w:rsidDel="00000000" w:rsidR="00000000" w:rsidRPr="00000000">
        <w:rPr>
          <w:rtl w:val="0"/>
        </w:rPr>
      </w:r>
    </w:p>
    <w:sectPr>
      <w:headerReference r:id="rId6" w:type="default"/>
      <w:headerReference r:id="rId7" w:type="first"/>
      <w:footerReference r:id="rId8"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tabs>
        <w:tab w:val="left" w:pos="7079.4094488188975"/>
      </w:tabs>
      <w:spacing w:after="240" w:line="276" w:lineRule="auto"/>
      <w:ind w:right="-419.5275590551165"/>
      <w:rPr/>
    </w:pPr>
    <w:r w:rsidDel="00000000" w:rsidR="00000000" w:rsidRPr="00000000">
      <w:rPr>
        <w:rFonts w:ascii="Open Sans" w:cs="Open Sans" w:eastAsia="Open Sans" w:hAnsi="Open Sans"/>
        <w:b w:val="1"/>
        <w:color w:val="666666"/>
        <w:sz w:val="12"/>
        <w:szCs w:val="12"/>
        <w:rtl w:val="0"/>
      </w:rPr>
      <w:t xml:space="preserve">The Public  Call for Proposals for Local Infrastructure Projects </w:t>
      <w:tab/>
    </w:r>
    <w:r w:rsidDel="00000000" w:rsidR="00000000" w:rsidRPr="00000000">
      <w:rPr>
        <w:rFonts w:ascii="Open Sans" w:cs="Open Sans" w:eastAsia="Open Sans" w:hAnsi="Open Sans"/>
        <w:b w:val="1"/>
        <w:color w:val="666666"/>
        <w:sz w:val="12"/>
        <w:szCs w:val="12"/>
      </w:rPr>
      <w:drawing>
        <wp:inline distB="57150" distT="57150" distL="57150" distR="57150">
          <wp:extent cx="1436269" cy="405327"/>
          <wp:effectExtent b="0" l="0" r="0" t="0"/>
          <wp:docPr id="1" name="image1.png"/>
          <a:graphic>
            <a:graphicData uri="http://schemas.openxmlformats.org/drawingml/2006/picture">
              <pic:pic>
                <pic:nvPicPr>
                  <pic:cNvPr id="0" name="image1.png"/>
                  <pic:cNvPicPr preferRelativeResize="0"/>
                </pic:nvPicPr>
                <pic:blipFill>
                  <a:blip r:embed="rId1"/>
                  <a:srcRect b="0" l="-2492" r="4028" t="0"/>
                  <a:stretch>
                    <a:fillRect/>
                  </a:stretch>
                </pic:blipFill>
                <pic:spPr>
                  <a:xfrm>
                    <a:off x="0" y="0"/>
                    <a:ext cx="1436269" cy="405327"/>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rPr/>
    </w:pPr>
    <w:r w:rsidDel="00000000" w:rsidR="00000000" w:rsidRPr="00000000">
      <w:rPr/>
      <w:drawing>
        <wp:anchor allowOverlap="1" behindDoc="0" distB="0" distT="0" distL="0" distR="0" hidden="0" layoutInCell="1" locked="0" relativeHeight="0" simplePos="0">
          <wp:simplePos x="0" y="0"/>
          <wp:positionH relativeFrom="page">
            <wp:posOffset>457200</wp:posOffset>
          </wp:positionH>
          <wp:positionV relativeFrom="page">
            <wp:posOffset>228600</wp:posOffset>
          </wp:positionV>
          <wp:extent cx="7560000" cy="1431675"/>
          <wp:effectExtent b="0" l="0" r="0" t="0"/>
          <wp:wrapTopAndBottom distB="0" dist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560000" cy="143167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0" w:hanging="361"/>
      </w:pPr>
      <w:rPr>
        <w:rFonts w:ascii="Calibri" w:cs="Calibri" w:eastAsia="Calibri" w:hAnsi="Calibri"/>
        <w:sz w:val="22"/>
        <w:szCs w:val="22"/>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SemiBold-regular.ttf"/><Relationship Id="rId2" Type="http://schemas.openxmlformats.org/officeDocument/2006/relationships/font" Target="fonts/MontserratSemiBold-bold.ttf"/><Relationship Id="rId3" Type="http://schemas.openxmlformats.org/officeDocument/2006/relationships/font" Target="fonts/MontserratSemiBold-italic.ttf"/><Relationship Id="rId4" Type="http://schemas.openxmlformats.org/officeDocument/2006/relationships/font" Target="fonts/MontserratSemiBold-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