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p>
    <w:p w:rsidR="00000000" w:rsidDel="00000000" w:rsidP="00000000" w:rsidRDefault="00000000" w:rsidRPr="00000000" w14:paraId="000000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p>
    <w:p w:rsidR="00000000" w:rsidDel="00000000" w:rsidP="00000000" w:rsidRDefault="00000000" w:rsidRPr="00000000" w14:paraId="00000020">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widowControl w:val="1"/>
        <w:pBdr>
          <w:top w:space="0" w:sz="0" w:val="nil"/>
          <w:left w:space="0" w:sz="0" w:val="nil"/>
          <w:bottom w:space="0" w:sz="0" w:val="nil"/>
          <w:right w:space="0" w:sz="0" w:val="nil"/>
          <w:between w:space="0" w:sz="0" w:val="nil"/>
        </w:pBdr>
        <w:shd w:fill="auto" w:val="clea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30j0zll" w:id="1"/>
    <w:bookmarkEnd w:id="1"/>
    <w:bookmarkStart w:colFirst="0" w:colLast="0" w:name="1fob9te" w:id="2"/>
    <w:bookmarkEnd w:id="2"/>
    <w:p w:rsidR="00000000" w:rsidDel="00000000" w:rsidP="00000000" w:rsidRDefault="00000000" w:rsidRPr="00000000" w14:paraId="00000048">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p>
    <w:p w:rsidR="00000000" w:rsidDel="00000000" w:rsidP="00000000" w:rsidRDefault="00000000" w:rsidRPr="00000000" w14:paraId="000000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p>
    <w:p w:rsidR="00000000" w:rsidDel="00000000" w:rsidP="00000000" w:rsidRDefault="00000000" w:rsidRPr="00000000" w14:paraId="000000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widowControl w:val="1"/>
        <w:numPr>
          <w:ilvl w:val="0"/>
          <w:numId w:val="10"/>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widowControl w:val="1"/>
        <w:numPr>
          <w:ilvl w:val="0"/>
          <w:numId w:val="10"/>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p>
    <w:p w:rsidR="00000000" w:rsidDel="00000000" w:rsidP="00000000" w:rsidRDefault="00000000" w:rsidRPr="00000000" w14:paraId="000000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 list derogations to the General Conditions, or state ‘None applicable’. (</w:t>
      </w:r>
      <w:r w:rsidDel="00000000" w:rsidR="00000000" w:rsidRPr="00000000">
        <w:rPr>
          <w:rFonts w:ascii="Arial" w:cs="Arial" w:eastAsia="Arial" w:hAnsi="Arial"/>
          <w:highlight w:val="yellow"/>
          <w:rtl w:val="0"/>
        </w:rPr>
        <w:t xml:space="preserve">2) Please consider whether the agreement between UNOPS and the Funding Source(s) includes any requirement to flowdown certain provisions into the GSA; if so, they may be included as Special Conditions in consultation with IPAS Legal. (3) IPAS Legal to be consulted in all cases where the funding source (or one of the funding sources) is the EU/EC.</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p>
    <w:p w:rsidR="00000000" w:rsidDel="00000000" w:rsidP="00000000" w:rsidRDefault="00000000" w:rsidRPr="00000000" w14:paraId="0000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c>
          <w:tcPr/>
          <w:p w:rsidR="00000000" w:rsidDel="00000000" w:rsidP="00000000" w:rsidRDefault="00000000" w:rsidRPr="00000000" w14:paraId="000000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p>
    <w:p w:rsidR="00000000" w:rsidDel="00000000" w:rsidP="00000000" w:rsidRDefault="00000000" w:rsidRPr="00000000" w14:paraId="00000075">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tbl>
      <w:tblPr>
        <w:tblStyle w:val="Table2"/>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c>
          <w:tcPr/>
          <w:p w:rsidR="00000000" w:rsidDel="00000000" w:rsidP="00000000" w:rsidRDefault="00000000" w:rsidRPr="00000000" w14:paraId="00000077">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rPr>
          <w:rFonts w:ascii="Arial" w:cs="Arial" w:eastAsia="Arial" w:hAnsi="Arial"/>
          <w:b w:val="1"/>
        </w:rPr>
      </w:pPr>
      <w:r w:rsidDel="00000000" w:rsidR="00000000" w:rsidRPr="00000000">
        <w:rPr>
          <w:rtl w:val="0"/>
        </w:rPr>
      </w:r>
    </w:p>
    <w:p w:rsidR="00000000" w:rsidDel="00000000" w:rsidP="00000000" w:rsidRDefault="00000000" w:rsidRPr="00000000" w14:paraId="000000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rPr>
          <w:rFonts w:ascii="Arial" w:cs="Arial" w:eastAsia="Arial" w:hAnsi="Arial"/>
          <w:b w:val="1"/>
        </w:rPr>
      </w:pPr>
      <w:r w:rsidDel="00000000" w:rsidR="00000000" w:rsidRPr="00000000">
        <w:rPr>
          <w:rtl w:val="0"/>
        </w:rPr>
      </w:r>
    </w:p>
    <w:p w:rsidR="00000000" w:rsidDel="00000000" w:rsidP="00000000" w:rsidRDefault="00000000" w:rsidRPr="00000000" w14:paraId="000000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tl w:val="0"/>
        </w:rPr>
      </w:r>
    </w:p>
    <w:p w:rsidR="00000000" w:rsidDel="00000000" w:rsidP="00000000" w:rsidRDefault="00000000" w:rsidRPr="00000000" w14:paraId="000000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7">
      <w:pPr>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8">
      <w:pPr>
        <w:rPr>
          <w:rFonts w:ascii="Arial" w:cs="Arial" w:eastAsia="Arial" w:hAnsi="Arial"/>
        </w:rPr>
      </w:pPr>
      <w:r w:rsidDel="00000000" w:rsidR="00000000" w:rsidRPr="00000000">
        <w:rPr>
          <w:rtl w:val="0"/>
        </w:rPr>
      </w:r>
    </w:p>
    <w:p w:rsidR="00000000" w:rsidDel="00000000" w:rsidP="00000000" w:rsidRDefault="00000000" w:rsidRPr="00000000" w14:paraId="000000A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A">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B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F">
      <w:pPr>
        <w:jc w:val="both"/>
        <w:rPr>
          <w:rFonts w:ascii="Arial" w:cs="Arial" w:eastAsia="Arial" w:hAnsi="Arial"/>
        </w:rPr>
      </w:pPr>
      <w:r w:rsidDel="00000000" w:rsidR="00000000" w:rsidRPr="00000000">
        <w:rPr>
          <w:rtl w:val="0"/>
        </w:rPr>
      </w:r>
    </w:p>
    <w:p w:rsidR="00000000" w:rsidDel="00000000" w:rsidP="00000000" w:rsidRDefault="00000000" w:rsidRPr="00000000" w14:paraId="000000C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7">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9">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D0">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4">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5">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6">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E">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E0">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3">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4">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6">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7">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F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10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1"/>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4">
      <w:pPr>
        <w:keepNext w:val="1"/>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7">
      <w:pPr>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8">
      <w:pPr>
        <w:keepNext w:val="1"/>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9">
      <w:pPr>
        <w:keepNext w:val="1"/>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A">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2">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3">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4">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5">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6">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9">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20">
      <w:pPr>
        <w:jc w:val="both"/>
        <w:rPr>
          <w:rFonts w:ascii="Arial" w:cs="Arial" w:eastAsia="Arial" w:hAnsi="Arial"/>
        </w:rPr>
      </w:pPr>
      <w:r w:rsidDel="00000000" w:rsidR="00000000" w:rsidRPr="00000000">
        <w:rPr>
          <w:rtl w:val="0"/>
        </w:rPr>
      </w:r>
    </w:p>
    <w:p w:rsidR="00000000" w:rsidDel="00000000" w:rsidP="00000000" w:rsidRDefault="00000000" w:rsidRPr="00000000" w14:paraId="000001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2">
      <w:pPr>
        <w:jc w:val="both"/>
        <w:rPr>
          <w:rFonts w:ascii="Arial" w:cs="Arial" w:eastAsia="Arial" w:hAnsi="Arial"/>
        </w:rPr>
      </w:pPr>
      <w:r w:rsidDel="00000000" w:rsidR="00000000" w:rsidRPr="00000000">
        <w:rPr>
          <w:rtl w:val="0"/>
        </w:rPr>
      </w:r>
    </w:p>
    <w:p w:rsidR="00000000" w:rsidDel="00000000" w:rsidP="00000000" w:rsidRDefault="00000000" w:rsidRPr="00000000" w14:paraId="0000012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000000" w:rsidDel="00000000" w:rsidP="00000000" w:rsidRDefault="00000000" w:rsidRPr="00000000" w14:paraId="00000124">
      <w:pPr>
        <w:jc w:val="both"/>
        <w:rPr>
          <w:rFonts w:ascii="Arial" w:cs="Arial" w:eastAsia="Arial" w:hAnsi="Arial"/>
        </w:rPr>
      </w:pPr>
      <w:r w:rsidDel="00000000" w:rsidR="00000000" w:rsidRPr="00000000">
        <w:rPr>
          <w:rtl w:val="0"/>
        </w:rPr>
      </w:r>
    </w:p>
    <w:p w:rsidR="00000000" w:rsidDel="00000000" w:rsidP="00000000" w:rsidRDefault="00000000" w:rsidRPr="00000000" w14:paraId="000001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6">
      <w:pPr>
        <w:jc w:val="both"/>
        <w:rPr>
          <w:rFonts w:ascii="Arial" w:cs="Arial" w:eastAsia="Arial" w:hAnsi="Arial"/>
        </w:rPr>
      </w:pPr>
      <w:r w:rsidDel="00000000" w:rsidR="00000000" w:rsidRPr="00000000">
        <w:rPr>
          <w:rtl w:val="0"/>
        </w:rPr>
      </w:r>
    </w:p>
    <w:p w:rsidR="00000000" w:rsidDel="00000000" w:rsidP="00000000" w:rsidRDefault="00000000" w:rsidRPr="00000000" w14:paraId="0000012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000000" w:rsidDel="00000000" w:rsidP="00000000" w:rsidRDefault="00000000" w:rsidRPr="00000000" w14:paraId="00000128">
      <w:pPr>
        <w:jc w:val="both"/>
        <w:rPr>
          <w:rFonts w:ascii="Arial" w:cs="Arial" w:eastAsia="Arial" w:hAnsi="Arial"/>
        </w:rPr>
      </w:pPr>
      <w:r w:rsidDel="00000000" w:rsidR="00000000" w:rsidRPr="00000000">
        <w:rPr>
          <w:rtl w:val="0"/>
        </w:rPr>
      </w:r>
    </w:p>
    <w:p w:rsidR="00000000" w:rsidDel="00000000" w:rsidP="00000000" w:rsidRDefault="00000000" w:rsidRPr="00000000" w14:paraId="0000012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A">
      <w:pPr>
        <w:jc w:val="both"/>
        <w:rPr>
          <w:rFonts w:ascii="Arial" w:cs="Arial" w:eastAsia="Arial" w:hAnsi="Arial"/>
        </w:rPr>
      </w:pPr>
      <w:r w:rsidDel="00000000" w:rsidR="00000000" w:rsidRPr="00000000">
        <w:rPr>
          <w:rtl w:val="0"/>
        </w:rPr>
      </w:r>
    </w:p>
    <w:p w:rsidR="00000000" w:rsidDel="00000000" w:rsidP="00000000" w:rsidRDefault="00000000" w:rsidRPr="00000000" w14:paraId="0000012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p>
    <w:p w:rsidR="00000000" w:rsidDel="00000000" w:rsidP="00000000" w:rsidRDefault="00000000" w:rsidRPr="00000000" w14:paraId="0000012C">
      <w:pPr>
        <w:rPr>
          <w:rFonts w:ascii="Arial" w:cs="Arial" w:eastAsia="Arial" w:hAnsi="Arial"/>
        </w:rPr>
      </w:pPr>
      <w:r w:rsidDel="00000000" w:rsidR="00000000" w:rsidRPr="00000000">
        <w:rPr>
          <w:rtl w:val="0"/>
        </w:rPr>
      </w:r>
    </w:p>
    <w:p w:rsidR="00000000" w:rsidDel="00000000" w:rsidP="00000000" w:rsidRDefault="00000000" w:rsidRPr="00000000" w14:paraId="0000012D">
      <w:pPr>
        <w:numPr>
          <w:ilvl w:val="0"/>
          <w:numId w:val="2"/>
        </w:numPr>
        <w:ind w:left="567"/>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E">
      <w:pPr>
        <w:jc w:val="both"/>
        <w:rPr>
          <w:rFonts w:ascii="Arial" w:cs="Arial" w:eastAsia="Arial" w:hAnsi="Arial"/>
        </w:rPr>
      </w:pPr>
      <w:r w:rsidDel="00000000" w:rsidR="00000000" w:rsidRPr="00000000">
        <w:rPr>
          <w:rtl w:val="0"/>
        </w:rPr>
      </w:r>
    </w:p>
    <w:p w:rsidR="00000000" w:rsidDel="00000000" w:rsidP="00000000" w:rsidRDefault="00000000" w:rsidRPr="00000000" w14:paraId="0000012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30">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2">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9">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10">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