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9634F2" w:rsidRPr="009634F2" w:rsidTr="0083102C">
              <w:tc>
                <w:tcPr>
                  <w:tcW w:w="4355" w:type="dxa"/>
                </w:tcPr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9634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34F2" w:rsidRPr="009634F2" w:rsidTr="0083102C">
              <w:tc>
                <w:tcPr>
                  <w:tcW w:w="4355" w:type="dxa"/>
                </w:tcPr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9634F2" w:rsidRPr="009634F2" w:rsidTr="0083102C">
              <w:tc>
                <w:tcPr>
                  <w:tcW w:w="4355" w:type="dxa"/>
                </w:tcPr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9634F2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9634F2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9634F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AC6881">
        <w:trPr>
          <w:trHeight w:val="80"/>
        </w:trPr>
        <w:tc>
          <w:tcPr>
            <w:tcW w:w="4395" w:type="dxa"/>
            <w:hideMark/>
          </w:tcPr>
          <w:p w:rsidR="000236D1" w:rsidRPr="009634F2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9634F2"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9D33C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34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4C78B8" w:rsidRDefault="000236D1" w:rsidP="0096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9D33C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4C78B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 w:rsidR="009634F2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E2F5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4C78B8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4C78B8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4C78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9634F2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634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9634F2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634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634F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D33C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</w:p>
    <w:p w:rsidR="00C85983" w:rsidRPr="009634F2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9634F2"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21</w:t>
      </w:r>
      <w:r w:rsidR="005E7248"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bookmarkStart w:id="15" w:name="OLE_LINK182"/>
      <w:bookmarkStart w:id="16" w:name="OLE_LINK183"/>
      <w:bookmarkStart w:id="17" w:name="OLE_LINK184"/>
      <w:bookmarkStart w:id="18" w:name="OLE_LINK185"/>
      <w:bookmarkStart w:id="19" w:name="OLE_LINK48"/>
      <w:bookmarkStart w:id="20" w:name="OLE_LINK49"/>
      <w:bookmarkStart w:id="21" w:name="OLE_LINK50"/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Поступак јавне набавке мале </w:t>
      </w:r>
      <w:proofErr w:type="spellStart"/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>врдности</w:t>
      </w:r>
      <w:proofErr w:type="spellEnd"/>
    </w:p>
    <w:p w:rsidR="009634F2" w:rsidRPr="009634F2" w:rsidRDefault="009634F2" w:rsidP="00963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ОРН: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>85100000 - Здравствене услуге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9634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bookmarkStart w:id="22" w:name="OLE_LINK30"/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22"/>
      <w:r w:rsidRPr="009634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</w:t>
      </w:r>
      <w:r w:rsidRPr="009634F2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систематског прегледа запослених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634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4.880.000,00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 без ПДВ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D917DD" w:rsidRPr="009634F2" w:rsidRDefault="00D917DD" w:rsidP="00BC7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BB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и елементи критеријума 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9634F2" w:rsidRPr="009634F2" w:rsidRDefault="009634F2" w:rsidP="009634F2">
      <w:pPr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</w:pPr>
      <w:bookmarkStart w:id="23" w:name="OLE_LINK73"/>
      <w:bookmarkStart w:id="24" w:name="OLE_LINK74"/>
      <w:bookmarkStart w:id="25" w:name="OLE_LINK75"/>
      <w:bookmarkStart w:id="26" w:name="OLE_LINK79"/>
      <w:bookmarkStart w:id="27" w:name="OLE_LINK80"/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а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ј</w:t>
      </w:r>
      <w:r w:rsidRPr="009634F2">
        <w:rPr>
          <w:rFonts w:ascii="Times New Roman" w:eastAsia="Calibri Light" w:hAnsi="Times New Roman" w:cs="Times New Roman"/>
          <w:color w:val="000000"/>
          <w:spacing w:val="1"/>
          <w:kern w:val="1"/>
          <w:sz w:val="24"/>
          <w:szCs w:val="24"/>
          <w:lang w:val="en-US" w:eastAsia="ar-SA"/>
        </w:rPr>
        <w:t>п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spacing w:val="-3"/>
          <w:kern w:val="1"/>
          <w:sz w:val="24"/>
          <w:szCs w:val="24"/>
          <w:lang w:val="en-US" w:eastAsia="ar-SA"/>
        </w:rPr>
        <w:t>в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љ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28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п</w:t>
      </w:r>
      <w:r w:rsidRPr="009634F2">
        <w:rPr>
          <w:rFonts w:ascii="Times New Roman" w:eastAsia="Calibri Light" w:hAnsi="Times New Roman" w:cs="Times New Roman"/>
          <w:color w:val="000000"/>
          <w:spacing w:val="-3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spacing w:val="3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-22"/>
          <w:kern w:val="1"/>
          <w:sz w:val="24"/>
          <w:szCs w:val="24"/>
          <w:lang w:val="en-US" w:eastAsia="ar-SA"/>
        </w:rPr>
        <w:t>у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де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spacing w:val="2"/>
          <w:kern w:val="1"/>
          <w:sz w:val="24"/>
          <w:szCs w:val="24"/>
          <w:lang w:val="en-US" w:eastAsia="ar-SA"/>
        </w:rPr>
        <w:t>ћ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spacing w:val="3"/>
          <w:kern w:val="1"/>
          <w:sz w:val="24"/>
          <w:szCs w:val="24"/>
          <w:lang w:val="en-US" w:eastAsia="ar-SA"/>
        </w:rPr>
        <w:t>с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т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и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п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ри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ме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-5"/>
          <w:kern w:val="1"/>
          <w:sz w:val="24"/>
          <w:szCs w:val="24"/>
          <w:lang w:val="en-US" w:eastAsia="ar-SA"/>
        </w:rPr>
        <w:t>о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м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3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критер</w:t>
      </w:r>
      <w:r w:rsidRPr="009634F2">
        <w:rPr>
          <w:rFonts w:ascii="Times New Roman" w:eastAsia="Calibri Light" w:hAnsi="Times New Roman" w:cs="Times New Roman"/>
          <w:color w:val="000000"/>
          <w:spacing w:val="-2"/>
          <w:kern w:val="1"/>
          <w:sz w:val="24"/>
          <w:szCs w:val="24"/>
          <w:lang w:val="en-US" w:eastAsia="ar-SA"/>
        </w:rPr>
        <w:t>и</w:t>
      </w:r>
      <w:r w:rsidRPr="009634F2">
        <w:rPr>
          <w:rFonts w:ascii="Times New Roman" w:eastAsia="Calibri Light" w:hAnsi="Times New Roman" w:cs="Times New Roman"/>
          <w:color w:val="000000"/>
          <w:spacing w:val="2"/>
          <w:kern w:val="1"/>
          <w:sz w:val="24"/>
          <w:szCs w:val="24"/>
          <w:lang w:val="en-US" w:eastAsia="ar-SA"/>
        </w:rPr>
        <w:t>ј</w:t>
      </w:r>
      <w:r w:rsidRPr="009634F2">
        <w:rPr>
          <w:rFonts w:ascii="Times New Roman" w:eastAsia="Calibri Light" w:hAnsi="Times New Roman" w:cs="Times New Roman"/>
          <w:color w:val="000000"/>
          <w:spacing w:val="-8"/>
          <w:kern w:val="1"/>
          <w:sz w:val="24"/>
          <w:szCs w:val="24"/>
          <w:lang w:val="en-US" w:eastAsia="ar-SA"/>
        </w:rPr>
        <w:t>у</w:t>
      </w:r>
      <w:r w:rsidRPr="009634F2">
        <w:rPr>
          <w:rFonts w:ascii="Times New Roman" w:eastAsia="Calibri Light" w:hAnsi="Times New Roman" w:cs="Times New Roman"/>
          <w:color w:val="000000"/>
          <w:spacing w:val="-4"/>
          <w:kern w:val="1"/>
          <w:sz w:val="24"/>
          <w:szCs w:val="24"/>
          <w:lang w:val="en-US" w:eastAsia="ar-SA"/>
        </w:rPr>
        <w:t>м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а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spacing w:val="40"/>
          <w:kern w:val="1"/>
          <w:sz w:val="24"/>
          <w:szCs w:val="24"/>
          <w:lang w:val="en-US" w:eastAsia="ar-SA"/>
        </w:rPr>
        <w:t xml:space="preserve"> </w:t>
      </w:r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најни</w:t>
      </w:r>
      <w:r w:rsidRPr="009634F2">
        <w:rPr>
          <w:rFonts w:ascii="Times New Roman" w:eastAsia="Calibri Light" w:hAnsi="Times New Roman" w:cs="Times New Roman"/>
          <w:bCs/>
          <w:color w:val="000000"/>
          <w:spacing w:val="-4"/>
          <w:kern w:val="1"/>
          <w:sz w:val="24"/>
          <w:szCs w:val="24"/>
          <w:lang w:val="en-US" w:eastAsia="ar-SA"/>
        </w:rPr>
        <w:t>ж</w:t>
      </w:r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</w:t>
      </w:r>
      <w:proofErr w:type="spellEnd"/>
      <w:r w:rsidRPr="009634F2">
        <w:rPr>
          <w:rFonts w:ascii="Times New Roman" w:eastAsia="Calibri Ligh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понуђ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е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ц</w:t>
      </w:r>
      <w:r w:rsidRPr="009634F2">
        <w:rPr>
          <w:rFonts w:ascii="Times New Roman" w:eastAsia="Calibri Light" w:hAnsi="Times New Roman" w:cs="Times New Roman"/>
          <w:color w:val="000000"/>
          <w:spacing w:val="-1"/>
          <w:kern w:val="1"/>
          <w:sz w:val="24"/>
          <w:szCs w:val="24"/>
          <w:lang w:val="en-US" w:eastAsia="ar-SA"/>
        </w:rPr>
        <w:t>е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н</w:t>
      </w:r>
      <w:r w:rsidRPr="009634F2">
        <w:rPr>
          <w:rFonts w:ascii="Times New Roman" w:eastAsia="Calibri Light" w:hAnsi="Times New Roman" w:cs="Times New Roman"/>
          <w:color w:val="000000"/>
          <w:spacing w:val="1"/>
          <w:kern w:val="1"/>
          <w:sz w:val="24"/>
          <w:szCs w:val="24"/>
          <w:lang w:val="en-US" w:eastAsia="ar-SA"/>
        </w:rPr>
        <w:t>а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  <w:t>“.</w:t>
      </w:r>
    </w:p>
    <w:p w:rsidR="009634F2" w:rsidRPr="009634F2" w:rsidRDefault="009634F2" w:rsidP="009634F2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en-US" w:eastAsia="ar-SA"/>
        </w:rPr>
      </w:pPr>
      <w:bookmarkStart w:id="28" w:name="OLE_LINK170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У случају да два или више понуђача понуде исте укупне цене без ПДВ, повољнијом ће се сматрати понуда оног понуђача који понуди 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дужи рок плаћања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. </w:t>
      </w:r>
      <w:r w:rsidRPr="009634F2">
        <w:rPr>
          <w:rFonts w:ascii="Times New Roman" w:eastAsia="Calibri Light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9634F2" w:rsidRPr="009634F2" w:rsidRDefault="009634F2" w:rsidP="009634F2">
      <w:pPr>
        <w:numPr>
          <w:ilvl w:val="0"/>
          <w:numId w:val="1"/>
        </w:numPr>
        <w:suppressAutoHyphens/>
        <w:spacing w:after="0" w:line="240" w:lineRule="auto"/>
        <w:ind w:left="180" w:hanging="180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Уколико ни након примене горе наведеног резервног елемената критеријума није могуће донети одлуку о додели уговора, наручилац ће уговор доделити понуђачу који буде извучен 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u w:val="single"/>
          <w:lang w:val="sr-Cyrl-RS" w:eastAsia="ar-SA"/>
        </w:rPr>
        <w:t>путем жреба</w:t>
      </w: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о чему ће бити сачињен записник. </w:t>
      </w:r>
    </w:p>
    <w:p w:rsidR="009634F2" w:rsidRPr="009634F2" w:rsidRDefault="009634F2" w:rsidP="009634F2">
      <w:pPr>
        <w:suppressAutoHyphens/>
        <w:spacing w:before="120"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lastRenderedPageBreak/>
        <w:t>Наручилац ће писаним путем обавестити понуђаче који су дали понуде које су са истом понуђеном укупном ценом и истим роком плаћања о датуму када ће се одржати извлачење путем жреба.</w:t>
      </w:r>
      <w:r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proofErr w:type="spellStart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>Неодазивање</w:t>
      </w:r>
      <w:proofErr w:type="spellEnd"/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неког од понуђача не спречава поступак жреба. </w:t>
      </w:r>
    </w:p>
    <w:p w:rsidR="009634F2" w:rsidRPr="009634F2" w:rsidRDefault="009634F2" w:rsidP="009634F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Жребом ће бити обухваћене само оне понуде које имају једнаку најнижу понуђену цену, исти рок плаћања. </w:t>
      </w:r>
    </w:p>
    <w:p w:rsidR="009634F2" w:rsidRPr="009634F2" w:rsidRDefault="009634F2" w:rsidP="009634F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Извлачење путем жреба наручилац ће извршити јавно, у присуству понуђача, тако што ће називе понуђача који су понудили исту најнижу цену и исти рок плаћања, исписати на одвојеним папирима, који су исте величине и боје, те ће сваки папир ставити у одвојене коверте, коверте у провидну кутију, одакле ће члан комисије извући само једну коверту. Понуђачу чији назив буде у коверти биће додељен уговор. </w:t>
      </w:r>
    </w:p>
    <w:p w:rsidR="009634F2" w:rsidRPr="009634F2" w:rsidRDefault="009634F2" w:rsidP="009634F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9634F2">
        <w:rPr>
          <w:rFonts w:ascii="Times New Roman" w:eastAsia="Calibri Light" w:hAnsi="Times New Roman" w:cs="Times New Roman"/>
          <w:color w:val="000000"/>
          <w:kern w:val="1"/>
          <w:sz w:val="24"/>
          <w:szCs w:val="24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bookmarkEnd w:id="23"/>
    <w:bookmarkEnd w:id="24"/>
    <w:bookmarkEnd w:id="25"/>
    <w:bookmarkEnd w:id="26"/>
    <w:bookmarkEnd w:id="27"/>
    <w:bookmarkEnd w:id="28"/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43259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9634F2" w:rsidRPr="009634F2" w:rsidRDefault="00C87441" w:rsidP="00963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proofErr w:type="gram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proofErr w:type="gram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r w:rsidRPr="009634F2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9634F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634F2" w:rsidRPr="009634F2">
        <w:rPr>
          <w:rFonts w:ascii="Times New Roman" w:eastAsia="Times New Roman" w:hAnsi="Times New Roman" w:cs="Times New Roman"/>
          <w:sz w:val="24"/>
          <w:szCs w:val="24"/>
          <w:lang w:val="sr-Cyrl-CS"/>
        </w:rPr>
        <w:t>- Услуге систематског прегледа запослених</w:t>
      </w:r>
      <w:r w:rsidR="009634F2" w:rsidRPr="009634F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C87441" w:rsidRPr="008D418F" w:rsidRDefault="009634F2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634F2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21</w:t>
      </w:r>
      <w:r w:rsidR="00EE2F58" w:rsidRPr="009634F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/20</w:t>
      </w:r>
      <w:r w:rsidR="000561C7" w:rsidRPr="009634F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="00C87441" w:rsidRPr="009634F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9634F2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="00C87441" w:rsidRPr="009634F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="00C87441" w:rsidRPr="009634F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8D418F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D33C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19.</w:t>
      </w:r>
      <w:r w:rsidR="00375239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bookmarkStart w:id="29" w:name="OLE_LINK22"/>
      <w:bookmarkStart w:id="30" w:name="OLE_LINK23"/>
      <w:bookmarkStart w:id="31" w:name="OLE_LINK24"/>
      <w:r w:rsidR="0044051B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октобра</w:t>
      </w:r>
      <w:r w:rsidR="009634F2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bookmarkEnd w:id="29"/>
      <w:bookmarkEnd w:id="30"/>
      <w:bookmarkEnd w:id="31"/>
      <w:r w:rsidR="009634F2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375239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00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8D418F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8D418F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8D418F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9D33C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19.</w:t>
      </w:r>
      <w:bookmarkStart w:id="32" w:name="_GoBack"/>
      <w:bookmarkEnd w:id="32"/>
      <w:r w:rsidR="008D418F" w:rsidRPr="008D418F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октобра </w:t>
      </w:r>
      <w:r w:rsidR="008D418F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2020. године </w:t>
      </w:r>
      <w:r w:rsidR="00C87441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у 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375239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EE2F58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30</w:t>
      </w:r>
      <w:r w:rsidR="00375239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8D418F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8D418F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8D41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8D418F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r w:rsidR="00BE1109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спрат 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="00BE1109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,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канцеларија број 14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8D418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Pr="008D418F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8D418F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D41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8D41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9634F2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9634F2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9634F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63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D557E">
        <w:rPr>
          <w:rFonts w:ascii="Times New Roman" w:eastAsia="Calibri" w:hAnsi="Times New Roman" w:cs="Times New Roman"/>
          <w:sz w:val="24"/>
          <w:szCs w:val="24"/>
          <w:lang w:val="sr-Cyrl-RS"/>
        </w:rPr>
        <w:t>десет</w:t>
      </w:r>
      <w:r w:rsidR="00A17AE0" w:rsidRPr="00963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634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дана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9634F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963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9634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9634F2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u w:val="none"/>
            <w:lang w:val="sr-Latn-RS"/>
          </w:rPr>
          <w:t>bogoljub.stankovic</w:t>
        </w:r>
        <w:r w:rsidRPr="009634F2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u w:val="none"/>
            <w:lang w:val="en-US"/>
          </w:rPr>
          <w:t>@minrzs.gov.r</w:t>
        </w:r>
        <w:r w:rsidRPr="009634F2">
          <w:rPr>
            <w:rStyle w:val="Hyperlink"/>
            <w:rFonts w:ascii="Times New Roman" w:eastAsia="Calibri" w:hAnsi="Times New Roman" w:cs="Times New Roman"/>
            <w:i/>
            <w:color w:val="2F5496" w:themeColor="accent5" w:themeShade="BF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96" w:rsidRDefault="00432596" w:rsidP="00850E6F">
      <w:pPr>
        <w:spacing w:after="0" w:line="240" w:lineRule="auto"/>
      </w:pPr>
      <w:r>
        <w:separator/>
      </w:r>
    </w:p>
  </w:endnote>
  <w:endnote w:type="continuationSeparator" w:id="0">
    <w:p w:rsidR="00432596" w:rsidRDefault="00432596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3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96" w:rsidRDefault="00432596" w:rsidP="00850E6F">
      <w:pPr>
        <w:spacing w:after="0" w:line="240" w:lineRule="auto"/>
      </w:pPr>
      <w:r>
        <w:separator/>
      </w:r>
    </w:p>
  </w:footnote>
  <w:footnote w:type="continuationSeparator" w:id="0">
    <w:p w:rsidR="00432596" w:rsidRDefault="00432596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106DD5"/>
    <w:rsid w:val="0010792B"/>
    <w:rsid w:val="001723F6"/>
    <w:rsid w:val="002879BA"/>
    <w:rsid w:val="00342BD4"/>
    <w:rsid w:val="003569DF"/>
    <w:rsid w:val="00375239"/>
    <w:rsid w:val="003D3237"/>
    <w:rsid w:val="00432596"/>
    <w:rsid w:val="0044051B"/>
    <w:rsid w:val="00464DFD"/>
    <w:rsid w:val="004C78B8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D557E"/>
    <w:rsid w:val="006F58C0"/>
    <w:rsid w:val="00741B29"/>
    <w:rsid w:val="0077431A"/>
    <w:rsid w:val="007C4585"/>
    <w:rsid w:val="007D53B2"/>
    <w:rsid w:val="00803921"/>
    <w:rsid w:val="00813578"/>
    <w:rsid w:val="0083102C"/>
    <w:rsid w:val="00850E6F"/>
    <w:rsid w:val="00871B98"/>
    <w:rsid w:val="008D418F"/>
    <w:rsid w:val="008F37C5"/>
    <w:rsid w:val="00910E8A"/>
    <w:rsid w:val="00931DF0"/>
    <w:rsid w:val="009435BB"/>
    <w:rsid w:val="009512CF"/>
    <w:rsid w:val="009634F2"/>
    <w:rsid w:val="009C6816"/>
    <w:rsid w:val="009D33C1"/>
    <w:rsid w:val="009E785E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10A42"/>
    <w:rsid w:val="00C23A71"/>
    <w:rsid w:val="00C8083B"/>
    <w:rsid w:val="00C85983"/>
    <w:rsid w:val="00C87441"/>
    <w:rsid w:val="00D27D26"/>
    <w:rsid w:val="00D917DD"/>
    <w:rsid w:val="00D91B7B"/>
    <w:rsid w:val="00DB10B8"/>
    <w:rsid w:val="00DB7EB2"/>
    <w:rsid w:val="00DE5814"/>
    <w:rsid w:val="00E47D7B"/>
    <w:rsid w:val="00E542E6"/>
    <w:rsid w:val="00E56117"/>
    <w:rsid w:val="00EB30B0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3F83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47</cp:revision>
  <dcterms:created xsi:type="dcterms:W3CDTF">2018-06-12T17:37:00Z</dcterms:created>
  <dcterms:modified xsi:type="dcterms:W3CDTF">2020-10-15T12:55:00Z</dcterms:modified>
</cp:coreProperties>
</file>