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6E" w:rsidRDefault="00233E6E" w:rsidP="00233E6E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</w:tblGrid>
      <w:tr w:rsidR="00233E6E" w:rsidTr="00233E6E">
        <w:tc>
          <w:tcPr>
            <w:tcW w:w="4395" w:type="dxa"/>
            <w:hideMark/>
          </w:tcPr>
          <w:tbl>
            <w:tblPr>
              <w:tblW w:w="4355" w:type="dxa"/>
              <w:tblInd w:w="108" w:type="dxa"/>
              <w:tblLook w:val="04A0" w:firstRow="1" w:lastRow="0" w:firstColumn="1" w:lastColumn="0" w:noHBand="0" w:noVBand="1"/>
            </w:tblPr>
            <w:tblGrid>
              <w:gridCol w:w="4355"/>
            </w:tblGrid>
            <w:tr w:rsidR="00233E6E">
              <w:tc>
                <w:tcPr>
                  <w:tcW w:w="4355" w:type="dxa"/>
                  <w:hideMark/>
                </w:tcPr>
                <w:p w:rsidR="00233E6E" w:rsidRDefault="00233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019175" cy="685800"/>
                        <wp:effectExtent l="0" t="0" r="9525" b="0"/>
                        <wp:docPr id="1" name="Picture 1" descr="Description: Description: mali 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Description: mali 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3E6E">
              <w:tc>
                <w:tcPr>
                  <w:tcW w:w="4355" w:type="dxa"/>
                  <w:hideMark/>
                </w:tcPr>
                <w:p w:rsidR="00233E6E" w:rsidRDefault="00233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6"/>
                      <w:sz w:val="24"/>
                      <w:lang w:val="sr-Cyrl-CS"/>
                    </w:rPr>
                    <w:t>Република Србија</w:t>
                  </w:r>
                </w:p>
              </w:tc>
            </w:tr>
            <w:tr w:rsidR="00233E6E">
              <w:tc>
                <w:tcPr>
                  <w:tcW w:w="4355" w:type="dxa"/>
                  <w:hideMark/>
                </w:tcPr>
                <w:p w:rsidR="00233E6E" w:rsidRDefault="00233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>МИНИСТАРСТВО</w:t>
                  </w:r>
                </w:p>
                <w:p w:rsidR="00233E6E" w:rsidRDefault="00233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 xml:space="preserve">ЗА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РАД,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ЗАПОШЉАВАЊЕ,</w:t>
                  </w:r>
                </w:p>
                <w:p w:rsidR="00233E6E" w:rsidRDefault="00233E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БОРАЧКА 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СОЦИЈАЛНА ПИТ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АЊА</w:t>
                  </w:r>
                </w:p>
              </w:tc>
            </w:tr>
          </w:tbl>
          <w:p w:rsidR="00233E6E" w:rsidRDefault="00233E6E"/>
        </w:tc>
      </w:tr>
      <w:tr w:rsidR="00233E6E" w:rsidTr="00233E6E">
        <w:tc>
          <w:tcPr>
            <w:tcW w:w="4395" w:type="dxa"/>
            <w:hideMark/>
          </w:tcPr>
          <w:p w:rsidR="00233E6E" w:rsidRDefault="0023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404-02-</w:t>
            </w:r>
            <w:r w:rsidRPr="00233E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</w:t>
            </w:r>
            <w:r w:rsidRPr="00233E6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/3</w:t>
            </w:r>
            <w:r w:rsidR="0097576B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-2</w:t>
            </w:r>
            <w:r w:rsidRPr="00233E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3E6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201</w:t>
            </w:r>
            <w:r w:rsidRPr="00233E6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22</w:t>
            </w:r>
          </w:p>
        </w:tc>
      </w:tr>
      <w:tr w:rsidR="00233E6E" w:rsidTr="00233E6E">
        <w:tc>
          <w:tcPr>
            <w:tcW w:w="4395" w:type="dxa"/>
            <w:hideMark/>
          </w:tcPr>
          <w:p w:rsidR="00233E6E" w:rsidRDefault="0023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B439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децембар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2019. године</w:t>
            </w:r>
          </w:p>
        </w:tc>
      </w:tr>
      <w:tr w:rsidR="00233E6E" w:rsidTr="00233E6E">
        <w:trPr>
          <w:trHeight w:val="747"/>
        </w:trPr>
        <w:tc>
          <w:tcPr>
            <w:tcW w:w="4395" w:type="dxa"/>
            <w:hideMark/>
          </w:tcPr>
          <w:p w:rsidR="00233E6E" w:rsidRDefault="0023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Немањина 22-26</w:t>
            </w:r>
          </w:p>
          <w:p w:rsidR="00233E6E" w:rsidRDefault="00233E6E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 е о г р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</w:tr>
    </w:tbl>
    <w:p w:rsidR="00233E6E" w:rsidRDefault="00233E6E" w:rsidP="00233E6E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3E6E" w:rsidRDefault="00233E6E" w:rsidP="00233E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набавкама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РС”,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124/12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, 14/15 и 68/15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Министарство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запошљавањ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е, борачка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социјалн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пит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Немањина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22-26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упућује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233E6E" w:rsidRDefault="00233E6E" w:rsidP="00233E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33E6E" w:rsidRPr="00EF3D99" w:rsidRDefault="00233E6E" w:rsidP="00233E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ПОЗИВ ЗА ПОДНОШЕЊЕ </w:t>
      </w:r>
      <w:r w:rsidRPr="00EF3D99">
        <w:rPr>
          <w:rFonts w:ascii="Times New Roman" w:eastAsia="Calibri" w:hAnsi="Times New Roman" w:cs="Times New Roman"/>
          <w:sz w:val="24"/>
          <w:szCs w:val="24"/>
          <w:lang w:val="sr-Cyrl-CS"/>
        </w:rPr>
        <w:t>ПОНУД</w:t>
      </w:r>
      <w:r w:rsidRPr="00EF3D99"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  <w:r w:rsidR="0097576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</w:t>
      </w:r>
      <w:r w:rsidR="001B4393" w:rsidRPr="00EF3D9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- </w:t>
      </w:r>
      <w:r w:rsidR="001B4393" w:rsidRPr="00EF3D99">
        <w:rPr>
          <w:rFonts w:ascii="Times New Roman" w:eastAsia="Calibri" w:hAnsi="Times New Roman" w:cs="Times New Roman"/>
          <w:sz w:val="24"/>
          <w:szCs w:val="24"/>
          <w:lang w:val="sr-Cyrl-CS"/>
        </w:rPr>
        <w:t>ИЗМЕЊЕН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Наручилац: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Министарство за рад,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запошљаваље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борачка и социјална питања</w:t>
      </w: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Адреса наручиоца: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Београд, Немањина 22-26</w:t>
      </w: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Интернет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страница наручиоца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bCs/>
            <w:color w:val="0563C1"/>
            <w:sz w:val="24"/>
            <w:szCs w:val="24"/>
            <w:lang w:val="sr-Latn-RS"/>
          </w:rPr>
          <w:t>www.minrzs.gov.rs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:rsidR="00233E6E" w:rsidRDefault="00233E6E" w:rsidP="00233E6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наручиоца: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Орган државне управе</w:t>
      </w: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поступка јавне набавке: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Отворени поступак јавне набавке</w:t>
      </w:r>
    </w:p>
    <w:p w:rsidR="00BA6BDD" w:rsidRDefault="00BA6BDD" w:rsidP="0023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6BDD" w:rsidRPr="00BA6BDD" w:rsidRDefault="00BA6BDD" w:rsidP="00BA6B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</w:pPr>
      <w:r w:rsidRPr="00BA6BD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Циљ поступка: </w:t>
      </w:r>
      <w:r w:rsidRPr="00BA6BD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>Закључење оквирног споразума са једним добављачем</w:t>
      </w:r>
    </w:p>
    <w:p w:rsidR="00233E6E" w:rsidRDefault="00233E6E" w:rsidP="0023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предмета јавне набавке: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Услуге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Шифра и назив из ОРН-а:</w:t>
      </w:r>
      <w:r w:rsidRPr="00233E6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233E6E">
        <w:rPr>
          <w:rFonts w:ascii="Times New Roman" w:hAnsi="Times New Roman" w:cs="Times New Roman"/>
          <w:sz w:val="24"/>
          <w:szCs w:val="24"/>
          <w:lang w:val="sr-Cyrl-RS"/>
        </w:rPr>
        <w:t>79952000 - Организација разних дешавања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33E6E" w:rsidRP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Број и назив (предмет) јавне набавке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ЈН 42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/2019</w:t>
      </w:r>
      <w:r w:rsidR="00F029D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 организације скупова, конференција, округлих столова и других догађаја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Процењена вредност јавне набавке: </w:t>
      </w:r>
      <w:r w:rsidR="001B439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21</w:t>
      </w:r>
      <w:r w:rsidR="00F9285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.000.000,00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динара, без ПДВ</w:t>
      </w:r>
    </w:p>
    <w:p w:rsidR="002A16DE" w:rsidRDefault="002A16DE" w:rsidP="002A16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proofErr w:type="spellStart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Критеријум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за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доделу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оквирног споразума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Избор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најповољније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понуде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,</w:t>
      </w:r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посебно за сваку Партију за коју се понуда подноси,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ће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се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извршити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применом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2A16D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„</w:t>
      </w:r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 xml:space="preserve">економски најповољнија </w:t>
      </w:r>
      <w:proofErr w:type="gramStart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понуда</w:t>
      </w:r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“</w:t>
      </w:r>
      <w:proofErr w:type="gramEnd"/>
      <w:r w:rsidRPr="002A16DE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. 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RS" w:eastAsia="ar-SA"/>
        </w:rPr>
      </w:pPr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RS" w:eastAsia="ar-SA"/>
        </w:rPr>
        <w:lastRenderedPageBreak/>
        <w:t>Е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лементи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критеријума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RS" w:eastAsia="ar-SA"/>
        </w:rPr>
        <w:t xml:space="preserve">,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основу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којих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ће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наручилац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извршити</w:t>
      </w:r>
      <w:proofErr w:type="spellEnd"/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RS" w:eastAsia="ar-SA"/>
        </w:rPr>
        <w:t>избор најповољније понуде: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</w:pPr>
      <w:r w:rsidRPr="002A16D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</w:pPr>
      <w:r w:rsidRPr="002A16D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Избор између достављених понуда применом критеријума </w:t>
      </w:r>
      <w:r w:rsidRPr="002A1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„економски најповољнија понуда“, </w:t>
      </w:r>
      <w:r w:rsidRPr="002A16D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вршиће се рангирањем понуда на основу следећих елемената критеријума и пондера одређених за те критеријуме: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5877"/>
        <w:gridCol w:w="2835"/>
      </w:tblGrid>
      <w:tr w:rsidR="002A16DE" w:rsidRPr="002A16DE" w:rsidTr="00AC7C22">
        <w:tc>
          <w:tcPr>
            <w:tcW w:w="360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7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OLE_LINK74"/>
            <w:bookmarkStart w:id="1" w:name="OLE_LINK75"/>
            <w:bookmarkStart w:id="2" w:name="OLE_LINK76"/>
            <w:bookmarkStart w:id="3" w:name="OLE_LINK77"/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Укупна понуђена </w:t>
            </w:r>
            <w:proofErr w:type="spellStart"/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Цена</w:t>
            </w:r>
            <w:bookmarkEnd w:id="0"/>
            <w:bookmarkEnd w:id="1"/>
            <w:bookmarkEnd w:id="2"/>
            <w:bookmarkEnd w:id="3"/>
            <w:proofErr w:type="spellEnd"/>
          </w:p>
        </w:tc>
        <w:tc>
          <w:tcPr>
            <w:tcW w:w="283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 4</w:t>
            </w: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пондера</w:t>
            </w:r>
            <w:proofErr w:type="spellEnd"/>
          </w:p>
        </w:tc>
      </w:tr>
      <w:tr w:rsidR="002A16DE" w:rsidRPr="002A16DE" w:rsidTr="00AC7C22">
        <w:tc>
          <w:tcPr>
            <w:tcW w:w="360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7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Оцена предлога програма </w:t>
            </w:r>
          </w:p>
        </w:tc>
        <w:tc>
          <w:tcPr>
            <w:tcW w:w="283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 30 </w:t>
            </w:r>
            <w:proofErr w:type="spellStart"/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пондера</w:t>
            </w:r>
            <w:proofErr w:type="spellEnd"/>
          </w:p>
        </w:tc>
      </w:tr>
      <w:tr w:rsidR="002A16DE" w:rsidRPr="002A16DE" w:rsidTr="00AC7C22">
        <w:tc>
          <w:tcPr>
            <w:tcW w:w="360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87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Оцена идејног решења за промотивни спот </w:t>
            </w:r>
          </w:p>
        </w:tc>
        <w:tc>
          <w:tcPr>
            <w:tcW w:w="283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30</w:t>
            </w:r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A16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пондера</w:t>
            </w:r>
            <w:proofErr w:type="spellEnd"/>
          </w:p>
        </w:tc>
      </w:tr>
      <w:tr w:rsidR="002A16DE" w:rsidRPr="002A16DE" w:rsidTr="00AC7C22">
        <w:tc>
          <w:tcPr>
            <w:tcW w:w="6237" w:type="dxa"/>
            <w:gridSpan w:val="2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283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100</w:t>
            </w: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A16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пондера</w:t>
            </w:r>
            <w:proofErr w:type="spellEnd"/>
          </w:p>
        </w:tc>
      </w:tr>
    </w:tbl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highlight w:val="cyan"/>
          <w:lang w:val="sr-Cyrl-RS" w:eastAsia="ar-SA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Елементе критеријума под редним бројем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(Оцена предлога програма)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3 </w:t>
      </w: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r w:rsidRPr="002A16DE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Оцена идејног решења за промотивни спот</w:t>
      </w: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на основу приложених  предлога програма и на основу приложених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Идејних решења за промотивни спот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 сва три догађаја, оцењивати Независна стручна комисија </w:t>
      </w:r>
      <w:r w:rsidRPr="002A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од три члана</w:t>
      </w:r>
      <w:r w:rsidRPr="002A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2A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стручњака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који поседују знања, искуства и вештине неопходне за давање стручне оцене. 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Независна стручна комисија врши оцењивање доделом бодова, о чему сачињава писани Извештај о резултатима бодовања који доставља Комисији за спровођење поступка јавне набавке.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val="hr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val="hr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val="hr"/>
        </w:rPr>
      </w:pPr>
    </w:p>
    <w:p w:rsidR="002A16DE" w:rsidRPr="002A16DE" w:rsidRDefault="002A16DE" w:rsidP="002A1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Методе одређивања </w:t>
      </w:r>
      <w:proofErr w:type="spellStart"/>
      <w:r w:rsidRPr="002A16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по критеријумима: </w:t>
      </w:r>
    </w:p>
    <w:p w:rsidR="002A16DE" w:rsidRPr="002A16DE" w:rsidRDefault="002A16DE" w:rsidP="002A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 xml:space="preserve">а. </w:t>
      </w: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УКУПНА ПОНУЂЕНА ЦЕНА</w:t>
      </w:r>
      <w:r w:rsidRPr="002A16D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: </w:t>
      </w:r>
      <w:r w:rsidRPr="002A16DE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МАКСИМАЛНО 40 ПОНДЕРА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најнижу укупну понуђену цену додељује се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пондера. 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Број пондера за све остале </w:t>
      </w:r>
      <w:bookmarkStart w:id="4" w:name="OLE_LINK72"/>
      <w:bookmarkStart w:id="5" w:name="OLE_LINK73"/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 понуђене цене </w:t>
      </w:r>
      <w:bookmarkEnd w:id="4"/>
      <w:bookmarkEnd w:id="5"/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>израчунава се по формули:</w:t>
      </w:r>
    </w:p>
    <w:p w:rsidR="002A16DE" w:rsidRPr="002A16DE" w:rsidRDefault="002A16DE" w:rsidP="002A16DE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2A16DE" w:rsidRPr="002A16DE" w:rsidRDefault="002A16DE" w:rsidP="002A16DE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Најповољнија укупна понуђена цена х максималан број пондера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A16D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Укупна понуђена </w:t>
      </w:r>
      <w:proofErr w:type="spellStart"/>
      <w:r w:rsidRPr="002A16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Цена</w:t>
      </w:r>
      <w:proofErr w:type="spellEnd"/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cyan"/>
          <w:lang w:val="ru-RU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б.</w:t>
      </w:r>
      <w:r w:rsidRPr="002A1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</w:t>
      </w:r>
      <w:r w:rsidRPr="002A1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ОЦЕНА ПРЕДЛОГА ПРОГРАМА</w:t>
      </w: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:</w:t>
      </w:r>
      <w:r w:rsidRPr="002A1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A16DE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МАКСИМАЛНО 30 ПОНДЕРА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>Овај елемент критеријума ће се оцењивати на основу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приложених предлога програма које ће бодовати </w:t>
      </w:r>
      <w:bookmarkStart w:id="6" w:name="OLE_LINK92"/>
      <w:bookmarkStart w:id="7" w:name="OLE_LINK93"/>
      <w:bookmarkStart w:id="8" w:name="OLE_LINK94"/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Независна стручна комисија </w:t>
      </w:r>
      <w:bookmarkEnd w:id="6"/>
      <w:bookmarkEnd w:id="7"/>
      <w:bookmarkEnd w:id="8"/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три члана. Сваки члан комисије моћи ће да за приложене предлоге програме понуђача додели бодове у распону од 0-10. Број освојених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зависиће од добијеног збира бодова свих чланова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Независне стручне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комисије, и то: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2A16DE" w:rsidRPr="002A16DE" w:rsidTr="00AC7C22">
        <w:tc>
          <w:tcPr>
            <w:tcW w:w="807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Бодови</w:t>
            </w:r>
          </w:p>
        </w:tc>
        <w:tc>
          <w:tcPr>
            <w:tcW w:w="1276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Пондери</w:t>
            </w:r>
            <w:proofErr w:type="spellEnd"/>
          </w:p>
        </w:tc>
      </w:tr>
      <w:tr w:rsidR="002A16DE" w:rsidRPr="002A16DE" w:rsidTr="00AC7C22">
        <w:tc>
          <w:tcPr>
            <w:tcW w:w="807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30-24 у потпуности задовољава </w:t>
            </w:r>
          </w:p>
        </w:tc>
        <w:tc>
          <w:tcPr>
            <w:tcW w:w="1276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2A16DE" w:rsidRPr="002A16DE" w:rsidTr="00AC7C22">
        <w:tc>
          <w:tcPr>
            <w:tcW w:w="807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23-18 задовољава </w:t>
            </w:r>
          </w:p>
        </w:tc>
        <w:tc>
          <w:tcPr>
            <w:tcW w:w="1276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2A16DE" w:rsidRPr="002A16DE" w:rsidTr="00AC7C22">
        <w:tc>
          <w:tcPr>
            <w:tcW w:w="8075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17-11 делимично задовољава </w:t>
            </w:r>
          </w:p>
        </w:tc>
        <w:tc>
          <w:tcPr>
            <w:tcW w:w="1276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</w:tbl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Предлог програма који има 10 или мање бодова добиће нула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A16DE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Понуђач мора да</w:t>
      </w:r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припремљене предлоге програма за сваки од догађаја,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доставља уз понуду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 xml:space="preserve">в. </w:t>
      </w:r>
      <w:r w:rsidRPr="002A16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ОЦЕНА ИДЕЈНОГ РЕШЕЊА ЗА ПРОМОТИВНИ СПОТ</w:t>
      </w:r>
      <w:r w:rsidRPr="002A16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 xml:space="preserve">: </w:t>
      </w:r>
      <w:r w:rsidRPr="002A16DE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МАКСИМАЛНО 30 ПОНДЕРА</w:t>
      </w:r>
    </w:p>
    <w:p w:rsidR="002A16DE" w:rsidRPr="002A16DE" w:rsidRDefault="002A16DE" w:rsidP="002A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>Овај елемент критеријума ће се оцењивати на основу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приложених идејних решења за промотивни спот који ће бодовати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>Независна стручна комисија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сачињена од три члана. Сваки члан комисије моћи ће за одабир Идејних решења за промотивни спот да додели бодове у распону од 0-10. Број освојених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зависиће од добијеног збира бодова свих чланова комисије, и то: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1247"/>
      </w:tblGrid>
      <w:tr w:rsidR="002A16DE" w:rsidRPr="002A16DE" w:rsidTr="00AC7C22">
        <w:tc>
          <w:tcPr>
            <w:tcW w:w="8104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Бодови</w:t>
            </w:r>
          </w:p>
        </w:tc>
        <w:tc>
          <w:tcPr>
            <w:tcW w:w="124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Пондери</w:t>
            </w:r>
            <w:proofErr w:type="spellEnd"/>
          </w:p>
        </w:tc>
      </w:tr>
      <w:tr w:rsidR="002A16DE" w:rsidRPr="002A16DE" w:rsidTr="00AC7C22">
        <w:tc>
          <w:tcPr>
            <w:tcW w:w="8104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30-24 у потпуности задовољава </w:t>
            </w:r>
          </w:p>
        </w:tc>
        <w:tc>
          <w:tcPr>
            <w:tcW w:w="124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2A16DE" w:rsidRPr="002A16DE" w:rsidTr="00AC7C22">
        <w:tc>
          <w:tcPr>
            <w:tcW w:w="8104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23-18 задовољава </w:t>
            </w:r>
          </w:p>
        </w:tc>
        <w:tc>
          <w:tcPr>
            <w:tcW w:w="124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2A16DE" w:rsidRPr="002A16DE" w:rsidTr="00AC7C22">
        <w:tc>
          <w:tcPr>
            <w:tcW w:w="8104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17-11 делимично задовољава </w:t>
            </w:r>
          </w:p>
        </w:tc>
        <w:tc>
          <w:tcPr>
            <w:tcW w:w="1247" w:type="dxa"/>
          </w:tcPr>
          <w:p w:rsidR="002A16DE" w:rsidRPr="002A16DE" w:rsidRDefault="002A16DE" w:rsidP="002A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A16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</w:tbl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Идејна решења за промотивни спот која имају 10 или мање бодова добиће нула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Независна стручна комисија резултате бодовања по елементима критеријума </w:t>
      </w: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Оцена предлога програма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A16D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 </w:t>
      </w:r>
      <w:r w:rsidRPr="002A16DE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Оцена Идејних решења за промотивни спот</w:t>
      </w:r>
      <w:r w:rsidRPr="002A16D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писани извештај доставља Комисији за спровођење поступка јавне набавке.</w:t>
      </w: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val="ru-RU"/>
        </w:rPr>
      </w:pPr>
    </w:p>
    <w:p w:rsidR="002A16DE" w:rsidRPr="002A16DE" w:rsidRDefault="002A16DE" w:rsidP="002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Комисија за спровођење поступка јавне набавке одређује број освојених пондера у зависности од збира бодова из Извештаја о резултатима бодовања Независне стручне комисије. 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Збиром </w:t>
      </w:r>
      <w:proofErr w:type="spellStart"/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 елементима критеријума </w:t>
      </w:r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а, б и в</w:t>
      </w:r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2A16D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добиће се економски најповољнија понуда.</w:t>
      </w:r>
    </w:p>
    <w:p w:rsidR="002A16DE" w:rsidRPr="002A16DE" w:rsidRDefault="002A16DE" w:rsidP="002A16D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CS" w:eastAsia="ar-SA"/>
        </w:rPr>
      </w:pPr>
      <w:r w:rsidRPr="002A16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након овако утврђеног броја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пондера</w:t>
      </w:r>
      <w:proofErr w:type="spellEnd"/>
      <w:r w:rsidRPr="002A16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две или више понуда имају исти број </w:t>
      </w:r>
      <w:proofErr w:type="spellStart"/>
      <w:r w:rsidRPr="002A16D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пондера</w:t>
      </w:r>
      <w:proofErr w:type="spellEnd"/>
      <w:r w:rsidRPr="002A16DE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CS" w:eastAsia="ar-SA"/>
        </w:rPr>
        <w:t>, економски најповољнијом понудом ће се сматрати понуда са најнижом понуђеном ценом.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Портал Управе за јавне набавке: </w:t>
      </w:r>
      <w:hyperlink r:id="rId9" w:history="1">
        <w:r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www.ujn.gov.rs</w:t>
        </w:r>
      </w:hyperlink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ао и на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интернет адреси Наручиоца: </w:t>
      </w:r>
    </w:p>
    <w:p w:rsidR="00233E6E" w:rsidRDefault="00DA6159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  <w:hyperlink r:id="rId10" w:history="1">
        <w:r w:rsidR="00233E6E">
          <w:rPr>
            <w:rStyle w:val="Hyperlink"/>
            <w:rFonts w:ascii="Times New Roman" w:eastAsia="Calibri" w:hAnsi="Times New Roman" w:cs="Times New Roman"/>
            <w:sz w:val="24"/>
            <w:szCs w:val="24"/>
            <w:lang w:val="sr-Cyrl-CS"/>
          </w:rPr>
          <w:t>www.minrzs.gov.r</w:t>
        </w:r>
        <w:r w:rsidR="00233E6E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s</w:t>
        </w:r>
      </w:hyperlink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233E6E" w:rsidRDefault="00233E6E" w:rsidP="00233E6E">
      <w:pPr>
        <w:pStyle w:val="BodyText"/>
      </w:pPr>
      <w:r>
        <w:t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</w:t>
      </w:r>
      <w:r>
        <w:rPr>
          <w:lang w:val="sr-Cyrl-RS"/>
        </w:rPr>
        <w:t>с</w:t>
      </w:r>
      <w:proofErr w:type="spellStart"/>
      <w:r>
        <w:t>ловима</w:t>
      </w:r>
      <w:proofErr w:type="spellEnd"/>
      <w:r>
        <w:t xml:space="preserve"> рада и </w:t>
      </w:r>
      <w:proofErr w:type="spellStart"/>
      <w:r>
        <w:t>сл</w:t>
      </w:r>
      <w:proofErr w:type="spellEnd"/>
      <w:r>
        <w:t>:</w:t>
      </w:r>
    </w:p>
    <w:p w:rsidR="00233E6E" w:rsidRDefault="00233E6E" w:rsidP="00233E6E">
      <w:pPr>
        <w:pStyle w:val="BodyText"/>
        <w:rPr>
          <w:b w:val="0"/>
        </w:rPr>
      </w:pPr>
      <w:r>
        <w:rPr>
          <w:b w:val="0"/>
        </w:rPr>
        <w:t>Министарство финансија</w:t>
      </w:r>
      <w:r>
        <w:rPr>
          <w:b w:val="0"/>
          <w:lang w:val="en-US"/>
        </w:rPr>
        <w:t xml:space="preserve"> </w:t>
      </w:r>
      <w:hyperlink r:id="rId11" w:history="1">
        <w:r>
          <w:rPr>
            <w:rStyle w:val="Hyperlink"/>
            <w:b w:val="0"/>
            <w:lang w:val="en-US"/>
          </w:rPr>
          <w:t>www.mfin.gov.rs</w:t>
        </w:r>
      </w:hyperlink>
      <w:r>
        <w:rPr>
          <w:b w:val="0"/>
        </w:rPr>
        <w:t xml:space="preserve">, </w:t>
      </w:r>
    </w:p>
    <w:p w:rsidR="00233E6E" w:rsidRDefault="00233E6E" w:rsidP="00233E6E">
      <w:pPr>
        <w:pStyle w:val="BodyText"/>
        <w:rPr>
          <w:b w:val="0"/>
        </w:rPr>
      </w:pPr>
      <w:r>
        <w:rPr>
          <w:b w:val="0"/>
        </w:rPr>
        <w:t>Министарство пољопривреде и заштите животне средине</w:t>
      </w:r>
      <w:r>
        <w:rPr>
          <w:b w:val="0"/>
          <w:lang w:val="en-US"/>
        </w:rPr>
        <w:t xml:space="preserve"> </w:t>
      </w:r>
      <w:hyperlink r:id="rId12" w:history="1">
        <w:r>
          <w:rPr>
            <w:rStyle w:val="Hyperlink"/>
            <w:b w:val="0"/>
            <w:lang w:val="en-US"/>
          </w:rPr>
          <w:t>www.m</w:t>
        </w:r>
        <w:r>
          <w:rPr>
            <w:rStyle w:val="Hyperlink"/>
            <w:b w:val="0"/>
          </w:rPr>
          <w:t>p</w:t>
        </w:r>
        <w:r>
          <w:rPr>
            <w:rStyle w:val="Hyperlink"/>
            <w:b w:val="0"/>
            <w:lang w:val="en-US"/>
          </w:rPr>
          <w:t>zzs.gov.rs</w:t>
        </w:r>
      </w:hyperlink>
      <w:r>
        <w:rPr>
          <w:b w:val="0"/>
        </w:rPr>
        <w:t xml:space="preserve">, </w:t>
      </w:r>
    </w:p>
    <w:p w:rsidR="00233E6E" w:rsidRDefault="00233E6E" w:rsidP="00233E6E">
      <w:pPr>
        <w:pStyle w:val="BodyText"/>
        <w:rPr>
          <w:b w:val="0"/>
        </w:rPr>
      </w:pPr>
      <w:r>
        <w:rPr>
          <w:b w:val="0"/>
        </w:rPr>
        <w:t>Агенција за заштиту животне средине</w:t>
      </w:r>
      <w:r>
        <w:rPr>
          <w:b w:val="0"/>
          <w:lang w:val="en-US"/>
        </w:rPr>
        <w:t xml:space="preserve"> </w:t>
      </w:r>
      <w:hyperlink r:id="rId13" w:history="1">
        <w:r>
          <w:rPr>
            <w:rStyle w:val="Hyperlink"/>
            <w:b w:val="0"/>
            <w:lang w:val="en-US"/>
          </w:rPr>
          <w:t>www.sepa.gov.rs</w:t>
        </w:r>
      </w:hyperlink>
      <w:r>
        <w:rPr>
          <w:b w:val="0"/>
        </w:rPr>
        <w:t xml:space="preserve">, </w:t>
      </w:r>
    </w:p>
    <w:p w:rsidR="00233E6E" w:rsidRDefault="00233E6E" w:rsidP="00233E6E">
      <w:pPr>
        <w:pStyle w:val="BodyText"/>
        <w:rPr>
          <w:b w:val="0"/>
        </w:rPr>
      </w:pPr>
      <w:r>
        <w:rPr>
          <w:b w:val="0"/>
        </w:rPr>
        <w:t xml:space="preserve">Министарство за рад, запошљавање, борачка и социјална питања </w:t>
      </w:r>
      <w:hyperlink r:id="rId14" w:history="1">
        <w:r>
          <w:rPr>
            <w:rStyle w:val="Hyperlink"/>
            <w:b w:val="0"/>
          </w:rPr>
          <w:t>www.minrzs.gov.rs</w:t>
        </w:r>
      </w:hyperlink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97576B" w:rsidRDefault="0097576B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97576B" w:rsidRDefault="0097576B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Начин и </w:t>
      </w:r>
      <w:bookmarkStart w:id="9" w:name="_GoBack"/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рок подношења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нуде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5F3A4A" w:rsidRDefault="00233E6E" w:rsidP="00233E6E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преко писарнице Управе за заједничке послове републичких органа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путем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поште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затвореној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начин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отварања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може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сигурношћу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утврдити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први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полеђини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и адресу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У </w:t>
      </w:r>
      <w:proofErr w:type="spellStart"/>
      <w:proofErr w:type="gram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случају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proofErr w:type="gram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је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назначити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ради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називе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адресу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свих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учесника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заједничкој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понуди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</w:t>
      </w:r>
    </w:p>
    <w:p w:rsidR="00233E6E" w:rsidRDefault="00233E6E" w:rsidP="00233E6E">
      <w:pPr>
        <w:suppressAutoHyphens/>
        <w:spacing w:before="120" w:after="0" w:line="100" w:lineRule="atLeast"/>
        <w:jc w:val="both"/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</w:pP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>Понуду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>доставити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>адресу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u w:val="single"/>
          <w:lang w:eastAsia="ar-SA"/>
        </w:rPr>
        <w:t>:</w:t>
      </w:r>
    </w:p>
    <w:bookmarkEnd w:id="9"/>
    <w:p w:rsidR="00233E6E" w:rsidRDefault="00233E6E" w:rsidP="00233E6E">
      <w:pPr>
        <w:suppressAutoHyphens/>
        <w:spacing w:before="120" w:after="0" w:line="100" w:lineRule="atLeast"/>
        <w:jc w:val="center"/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val="sr-Cyrl-CS" w:eastAsia="ar-SA"/>
        </w:rPr>
      </w:pPr>
      <w:r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val="sr-Cyrl-CS" w:eastAsia="ar-SA"/>
        </w:rPr>
        <w:t>Министарство за рад, запошљавање, борачка и социјална питања</w:t>
      </w:r>
    </w:p>
    <w:p w:rsidR="00233E6E" w:rsidRDefault="00233E6E" w:rsidP="00233E6E">
      <w:pPr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b/>
          <w:i/>
          <w:iCs/>
          <w:kern w:val="2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val="sr-Cyrl-CS" w:eastAsia="ar-SA"/>
        </w:rPr>
        <w:t>Немањина 22-26, 11000 Београд</w:t>
      </w:r>
    </w:p>
    <w:p w:rsidR="00233E6E" w:rsidRPr="00DD0D5A" w:rsidRDefault="00233E6E" w:rsidP="00DD0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са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назнаком</w:t>
      </w:r>
      <w:proofErr w:type="spellEnd"/>
      <w:proofErr w:type="gram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: </w:t>
      </w: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Понуда</w:t>
      </w:r>
      <w:proofErr w:type="spellEnd"/>
      <w:proofErr w:type="gramEnd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јавну</w:t>
      </w:r>
      <w:proofErr w:type="spellEnd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набавку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- </w:t>
      </w:r>
      <w:r w:rsidR="00DD0D5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 организације скупова, конференција, округлих столова и других догађаја</w:t>
      </w:r>
      <w:r w:rsidR="00DD0D5A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ЈН б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р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ој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en-US" w:eastAsia="ar-SA"/>
        </w:rPr>
        <w:t>42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/2019 </w:t>
      </w:r>
      <w:r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  <w:lang w:eastAsia="ar-SA"/>
        </w:rPr>
        <w:t>НЕ ОТВАРАТИ”.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33E6E" w:rsidRDefault="00233E6E" w:rsidP="00233E6E">
      <w:pPr>
        <w:suppressAutoHyphens/>
        <w:spacing w:before="120" w:after="0" w:line="100" w:lineRule="atLeast"/>
        <w:jc w:val="both"/>
        <w:rPr>
          <w:rFonts w:ascii="Times New Roman" w:eastAsia="TimesNewRomanPSMT" w:hAnsi="Times New Roman" w:cs="Times New Roman"/>
          <w:b/>
          <w:bCs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>Понуда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>се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>сматра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  <w:t>благовременом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уколико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примљена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наручиоца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до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13. јануар</w:t>
      </w:r>
      <w:r w:rsidR="005F3A4A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Latn-RS" w:eastAsia="ar-SA"/>
        </w:rPr>
        <w:t>a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 </w:t>
      </w:r>
      <w:r w:rsidR="001B4393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>2020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. године </w:t>
      </w:r>
      <w:proofErr w:type="spellStart"/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>до</w:t>
      </w:r>
      <w:proofErr w:type="spellEnd"/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>13</w:t>
      </w:r>
      <w:r w:rsidR="00DD0D5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Latn-RS" w:eastAsia="ar-SA"/>
        </w:rPr>
        <w:t>.0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Latn-RS" w:eastAsia="ar-SA"/>
        </w:rPr>
        <w:t>0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  <w:t>часова</w:t>
      </w:r>
      <w:r>
        <w:rPr>
          <w:rFonts w:ascii="Times New Roman" w:eastAsia="Arial Unicode MS" w:hAnsi="Times New Roman" w:cs="Times New Roman"/>
          <w:b/>
          <w:bCs/>
          <w:i/>
          <w:iCs/>
          <w:kern w:val="2"/>
          <w:sz w:val="24"/>
          <w:szCs w:val="24"/>
          <w:lang w:val="sr-Cyrl-RS" w:eastAsia="ar-SA"/>
        </w:rPr>
        <w:t xml:space="preserve">. </w:t>
      </w:r>
    </w:p>
    <w:p w:rsidR="00233E6E" w:rsidRDefault="00233E6E" w:rsidP="00233E6E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Отварање понуда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:</w:t>
      </w:r>
    </w:p>
    <w:p w:rsidR="00233E6E" w:rsidRDefault="00233E6E" w:rsidP="00233E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Отварање понуда обавиће се дана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13. јануар </w:t>
      </w:r>
      <w:r w:rsidR="001B4393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>2020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. године у </w:t>
      </w:r>
      <w:r w:rsidR="00DD0D5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>13</w:t>
      </w:r>
      <w:r w:rsidR="00DD0D5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Latn-RS" w:eastAsia="ar-SA"/>
        </w:rPr>
        <w:t>.30</w:t>
      </w:r>
      <w:r w:rsidR="00DD0D5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часова, </w:t>
      </w:r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val="sr-Cyrl-CS" w:eastAsia="ar-SA"/>
        </w:rPr>
        <w:t>у Београду</w:t>
      </w:r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 - </w:t>
      </w:r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val="sr-Cyrl-RS"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Министарство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val="sr-Cyrl-CS" w:eastAsia="ar-SA"/>
        </w:rPr>
        <w:t xml:space="preserve"> за</w:t>
      </w:r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рад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val="sr-Cyrl-CS" w:eastAsia="ar-SA"/>
        </w:rPr>
        <w:t>, запошљавање, борачка и социјална питања</w:t>
      </w:r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val="sr-Cyrl-CS" w:eastAsia="ar-SA"/>
        </w:rPr>
        <w:t>,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на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eastAsia="ar-SA"/>
        </w:rPr>
        <w:t>адрес</w:t>
      </w:r>
      <w:proofErr w:type="spellEnd"/>
      <w:r>
        <w:rPr>
          <w:rFonts w:ascii="Times New Roman" w:eastAsia="TimesNewRomanPSMT" w:hAnsi="Times New Roman" w:cs="Times New Roman"/>
          <w:bCs/>
          <w:kern w:val="2"/>
          <w:sz w:val="24"/>
          <w:szCs w:val="24"/>
          <w:lang w:val="sr-Cyrl-CS" w:eastAsia="ar-SA"/>
        </w:rPr>
        <w:t xml:space="preserve">и: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Немањина 22-26,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CS" w:eastAsia="ar-SA"/>
        </w:rPr>
        <w:t xml:space="preserve">крило 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Ц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CS" w:eastAsia="ar-SA"/>
        </w:rPr>
        <w:t xml:space="preserve">, 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ru-RU" w:eastAsia="ar-SA"/>
        </w:rPr>
        <w:t>спрат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Latn-RS" w:eastAsia="ar-SA"/>
        </w:rPr>
        <w:t xml:space="preserve"> V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ru-RU" w:eastAsia="ar-SA"/>
        </w:rPr>
        <w:t>, канцеларија број 14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у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присуству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чланова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комисије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понуђача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и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заинтересованих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лица</w:t>
      </w:r>
      <w:proofErr w:type="spellEnd"/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 под којим представници понуђача могу учествовати у поступку отварања понуда: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Представник понуђача који је поднео понуду пре почетка поступка, мора предати комисији посебно писано овлашћење за присуство у поступку отварања понуда, оверено и потписано од стране законског заступника понуђача.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3E6E" w:rsidRDefault="00233E6E" w:rsidP="00233E6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Рок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доношење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одлуке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о закључењу Оквирног споразума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до 25 дана од дана отварања понуда.</w:t>
      </w:r>
    </w:p>
    <w:p w:rsidR="00233E6E" w:rsidRDefault="00233E6E" w:rsidP="00233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Лице за контакт: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Богољуб Станковић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 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r-Cyrl-CS"/>
        </w:rPr>
        <w:t>mail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hyperlink r:id="rId15" w:history="1">
        <w:r w:rsidRPr="003B5C4B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bogoljub.stankovic</w:t>
        </w:r>
        <w:r w:rsidRPr="003B5C4B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@minrzs.gov.r</w:t>
        </w:r>
        <w:r w:rsidRPr="003B5C4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</w:t>
        </w:r>
      </w:hyperlink>
    </w:p>
    <w:p w:rsidR="00233E6E" w:rsidRDefault="00233E6E" w:rsidP="00233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233E6E" w:rsidRDefault="00233E6E" w:rsidP="00233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A0" w:rsidRDefault="00DA6159"/>
    <w:sectPr w:rsidR="00AC39A0" w:rsidSect="00233E6E">
      <w:footerReference w:type="default" r:id="rId16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59" w:rsidRDefault="00DA6159" w:rsidP="00DD0D5A">
      <w:pPr>
        <w:spacing w:after="0" w:line="240" w:lineRule="auto"/>
      </w:pPr>
      <w:r>
        <w:separator/>
      </w:r>
    </w:p>
  </w:endnote>
  <w:endnote w:type="continuationSeparator" w:id="0">
    <w:p w:rsidR="00DA6159" w:rsidRDefault="00DA6159" w:rsidP="00DD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985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D5A" w:rsidRDefault="00DD0D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6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0D5A" w:rsidRDefault="00DD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59" w:rsidRDefault="00DA6159" w:rsidP="00DD0D5A">
      <w:pPr>
        <w:spacing w:after="0" w:line="240" w:lineRule="auto"/>
      </w:pPr>
      <w:r>
        <w:separator/>
      </w:r>
    </w:p>
  </w:footnote>
  <w:footnote w:type="continuationSeparator" w:id="0">
    <w:p w:rsidR="00DA6159" w:rsidRDefault="00DA6159" w:rsidP="00DD0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6CE"/>
    <w:multiLevelType w:val="hybridMultilevel"/>
    <w:tmpl w:val="40F8C6C8"/>
    <w:lvl w:ilvl="0" w:tplc="948C4984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03B4"/>
    <w:multiLevelType w:val="hybridMultilevel"/>
    <w:tmpl w:val="D5A0EA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6E"/>
    <w:rsid w:val="00012478"/>
    <w:rsid w:val="001372C3"/>
    <w:rsid w:val="001B4393"/>
    <w:rsid w:val="001B577B"/>
    <w:rsid w:val="001D15DD"/>
    <w:rsid w:val="00233E6E"/>
    <w:rsid w:val="002A16DE"/>
    <w:rsid w:val="003B1593"/>
    <w:rsid w:val="005F3A4A"/>
    <w:rsid w:val="00632E5F"/>
    <w:rsid w:val="00756C56"/>
    <w:rsid w:val="007754ED"/>
    <w:rsid w:val="008566B4"/>
    <w:rsid w:val="0097576B"/>
    <w:rsid w:val="009E7C83"/>
    <w:rsid w:val="00A2270B"/>
    <w:rsid w:val="00BA6BDD"/>
    <w:rsid w:val="00DA6159"/>
    <w:rsid w:val="00DA70AA"/>
    <w:rsid w:val="00DD0D5A"/>
    <w:rsid w:val="00EF3D99"/>
    <w:rsid w:val="00F029D3"/>
    <w:rsid w:val="00F92856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5F7D"/>
  <w15:chartTrackingRefBased/>
  <w15:docId w15:val="{AA70F1B8-D3E4-4051-ADC0-51655B20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6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E6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233E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233E6E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D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D5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0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D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hyperlink" Target="http://www.sepa.gov.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pzzs.gov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in.gov.r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goljub.stankovic@minrzs.gov.rs" TargetMode="External"/><Relationship Id="rId10" Type="http://schemas.openxmlformats.org/officeDocument/2006/relationships/hyperlink" Target="http://www.minrzs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jn.gov.rs" TargetMode="External"/><Relationship Id="rId14" Type="http://schemas.openxmlformats.org/officeDocument/2006/relationships/hyperlink" Target="http://www.minrz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Tesic</dc:creator>
  <cp:keywords/>
  <dc:description/>
  <cp:lastModifiedBy>Bogoljub Stankovic</cp:lastModifiedBy>
  <cp:revision>7</cp:revision>
  <dcterms:created xsi:type="dcterms:W3CDTF">2019-12-23T17:29:00Z</dcterms:created>
  <dcterms:modified xsi:type="dcterms:W3CDTF">2019-12-31T16:07:00Z</dcterms:modified>
</cp:coreProperties>
</file>