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3A36A4" w:rsidRPr="003A36A4" w:rsidTr="0083102C">
              <w:tc>
                <w:tcPr>
                  <w:tcW w:w="4355" w:type="dxa"/>
                </w:tcPr>
                <w:p w:rsidR="0083102C" w:rsidRPr="003A36A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3A36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68990480" wp14:editId="514E9511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36A4" w:rsidRPr="003A36A4" w:rsidTr="0083102C">
              <w:tc>
                <w:tcPr>
                  <w:tcW w:w="4355" w:type="dxa"/>
                </w:tcPr>
                <w:p w:rsidR="0083102C" w:rsidRPr="003A36A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3A36A4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3A36A4" w:rsidRPr="003A36A4" w:rsidTr="0083102C">
              <w:tc>
                <w:tcPr>
                  <w:tcW w:w="4355" w:type="dxa"/>
                </w:tcPr>
                <w:p w:rsidR="0083102C" w:rsidRPr="003A36A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3A36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3A36A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3A36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3A36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3A36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3A36A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3A36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3A36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3A36A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3A36A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3A36A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3A36A4"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</w:t>
            </w: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/4</w:t>
            </w: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EE2F58"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3A36A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A36A4"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15</w:t>
            </w: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3A36A4"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октобар</w:t>
            </w:r>
            <w:r w:rsidR="00EE2F58"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2019</w:t>
            </w: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3A36A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3A36A4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3A36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proofErr w:type="gramStart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РС“</w:t>
      </w:r>
      <w:proofErr w:type="gramEnd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68/2015, у даљем тексту: Закон)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Pr="003A36A4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A36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3A36A4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A36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3A36A4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3A36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3A36A4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3A36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3A36A4" w:rsidRPr="003A36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37</w:t>
      </w:r>
      <w:r w:rsidRPr="003A36A4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/2019</w:t>
      </w:r>
      <w:r w:rsidRPr="003A36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3A36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3A36A4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3A36A4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3A36A4" w:rsidRPr="001607AB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оступ</w:t>
      </w:r>
      <w:r w:rsidR="003A36A4">
        <w:rPr>
          <w:rFonts w:ascii="Times New Roman" w:eastAsia="Times New Roman" w:hAnsi="Times New Roman" w:cs="Times New Roman"/>
          <w:sz w:val="24"/>
          <w:szCs w:val="24"/>
          <w:lang w:val="sr-Cyrl-RS"/>
        </w:rPr>
        <w:t>ак</w:t>
      </w:r>
      <w:r w:rsidR="003A36A4" w:rsidRPr="00160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јавне набавке мале вредности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B38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</w:t>
      </w:r>
      <w:r w:rsidRPr="003A36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набавке: </w:t>
      </w:r>
      <w:r w:rsidR="003A36A4" w:rsidRPr="001607A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A36A4" w:rsidRPr="001607A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слуге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3A36A4" w:rsidRDefault="00C8083B" w:rsidP="000E54A8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bookmarkStart w:id="0" w:name="OLE_LINK19"/>
      <w:bookmarkStart w:id="1" w:name="OLE_LINK20"/>
      <w:bookmarkStart w:id="2" w:name="OLE_LINK21"/>
      <w:r w:rsidR="000E54A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E54A8" w:rsidRPr="000E54A8">
        <w:rPr>
          <w:rFonts w:ascii="Times New Roman" w:hAnsi="Times New Roman" w:cs="Times New Roman"/>
          <w:bCs/>
          <w:sz w:val="24"/>
          <w:szCs w:val="24"/>
          <w:lang w:val="ru-RU" w:eastAsia="sr-Cyrl-RS"/>
        </w:rPr>
        <w:t>921112</w:t>
      </w:r>
      <w:r w:rsidR="000E54A8" w:rsidRPr="000E54A8">
        <w:rPr>
          <w:rFonts w:ascii="Times New Roman" w:hAnsi="Times New Roman" w:cs="Times New Roman"/>
          <w:bCs/>
          <w:sz w:val="24"/>
          <w:szCs w:val="24"/>
          <w:lang w:val="sr-Latn-RS" w:eastAsia="sr-Cyrl-RS"/>
        </w:rPr>
        <w:t>0</w:t>
      </w:r>
      <w:r w:rsidR="000E54A8" w:rsidRPr="000E54A8">
        <w:rPr>
          <w:rFonts w:ascii="Times New Roman" w:hAnsi="Times New Roman" w:cs="Times New Roman"/>
          <w:bCs/>
          <w:sz w:val="24"/>
          <w:szCs w:val="24"/>
          <w:lang w:val="ru-RU" w:eastAsia="sr-Cyrl-RS"/>
        </w:rPr>
        <w:t>0 – продукцијa,</w:t>
      </w:r>
      <w:r w:rsidR="000E54A8" w:rsidRPr="000E54A8">
        <w:rPr>
          <w:rFonts w:ascii="Times New Roman" w:hAnsi="Times New Roman" w:cs="Times New Roman"/>
          <w:bCs/>
          <w:sz w:val="24"/>
          <w:szCs w:val="24"/>
          <w:lang w:val="sr-Latn-RS" w:eastAsia="sr-Cyrl-RS"/>
        </w:rPr>
        <w:t xml:space="preserve"> </w:t>
      </w:r>
      <w:r w:rsidR="000E54A8" w:rsidRPr="000E54A8">
        <w:rPr>
          <w:rFonts w:ascii="Times New Roman" w:hAnsi="Times New Roman" w:cs="Times New Roman"/>
          <w:bCs/>
          <w:sz w:val="24"/>
          <w:szCs w:val="24"/>
          <w:lang w:val="sr-Cyrl-CS" w:eastAsia="sr-Cyrl-RS"/>
        </w:rPr>
        <w:t>рекламног,</w:t>
      </w:r>
      <w:r w:rsidR="000E54A8" w:rsidRPr="000E54A8">
        <w:rPr>
          <w:rFonts w:ascii="Times New Roman" w:hAnsi="Times New Roman" w:cs="Times New Roman"/>
          <w:bCs/>
          <w:sz w:val="24"/>
          <w:szCs w:val="24"/>
          <w:lang w:val="ru-RU" w:eastAsia="sr-Cyrl-RS"/>
        </w:rPr>
        <w:t xml:space="preserve"> пропагандног и информативног филма и видео </w:t>
      </w:r>
      <w:r w:rsidR="000E54A8" w:rsidRPr="000E54A8">
        <w:rPr>
          <w:rFonts w:ascii="Times New Roman" w:hAnsi="Times New Roman" w:cs="Times New Roman"/>
          <w:bCs/>
          <w:sz w:val="24"/>
          <w:szCs w:val="24"/>
          <w:lang w:val="sr-Cyrl-CS" w:eastAsia="sr-Cyrl-RS"/>
        </w:rPr>
        <w:t>снимака</w:t>
      </w:r>
    </w:p>
    <w:bookmarkEnd w:id="0"/>
    <w:bookmarkEnd w:id="1"/>
    <w:bookmarkEnd w:id="2"/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3A36A4" w:rsidRDefault="00C8083B" w:rsidP="003A36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 и назив </w:t>
      </w:r>
      <w:r w:rsidRPr="000B380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(предмет)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3" w:name="_Hlk19218412"/>
      <w:bookmarkStart w:id="4" w:name="OLE_LINK158"/>
      <w:bookmarkStart w:id="5" w:name="OLE_LINK167"/>
      <w:bookmarkStart w:id="6" w:name="OLE_LINK168"/>
      <w:r w:rsidR="003A36A4" w:rsidRPr="001607A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37</w:t>
      </w:r>
      <w:r w:rsidR="003A36A4" w:rsidRPr="001607A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="003A36A4" w:rsidRPr="001607A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A36A4" w:rsidRPr="00160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3"/>
      <w:r w:rsidR="003A36A4" w:rsidRPr="00160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bookmarkStart w:id="7" w:name="_Hlk19218390"/>
      <w:bookmarkStart w:id="8" w:name="OLE_LINK39"/>
      <w:bookmarkStart w:id="9" w:name="OLE_LINK40"/>
      <w:r w:rsidR="003A36A4" w:rsidRPr="00160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Услуге </w:t>
      </w:r>
      <w:r w:rsidR="003A36A4" w:rsidRPr="001607A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снимања промотивног спота на тему безбедност и здравље на раду</w:t>
      </w:r>
      <w:bookmarkEnd w:id="4"/>
      <w:bookmarkEnd w:id="5"/>
      <w:bookmarkEnd w:id="6"/>
      <w:bookmarkEnd w:id="7"/>
      <w:bookmarkEnd w:id="8"/>
      <w:bookmarkEnd w:id="9"/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3A36A4" w:rsidRPr="001607AB">
        <w:rPr>
          <w:rFonts w:ascii="Times New Roman" w:eastAsia="Times New Roman" w:hAnsi="Times New Roman" w:cs="Times New Roman"/>
          <w:sz w:val="24"/>
          <w:szCs w:val="24"/>
        </w:rPr>
        <w:t>900</w:t>
      </w:r>
      <w:r w:rsidR="003A36A4" w:rsidRPr="00160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.000,00 динара без ПДВ  </w:t>
      </w: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D0699A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 xml:space="preserve">Адреса и интернет адреса државног органа или организације, односно органа или службе територијалне аутономије или локалне самоуправе где се могу </w:t>
      </w:r>
      <w:r>
        <w:lastRenderedPageBreak/>
        <w:t>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3A36A4" w:rsidRPr="00596FE5" w:rsidRDefault="003A36A4" w:rsidP="003A36A4">
      <w:pPr>
        <w:suppressAutoHyphens/>
        <w:spacing w:before="120" w:after="0" w:line="100" w:lineRule="atLeast"/>
        <w:jc w:val="both"/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</w:pPr>
      <w:proofErr w:type="spellStart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</w:p>
    <w:p w:rsidR="003A36A4" w:rsidRPr="00596FE5" w:rsidRDefault="003A36A4" w:rsidP="003A36A4">
      <w:pPr>
        <w:suppressAutoHyphens/>
        <w:spacing w:before="120" w:after="0" w:line="100" w:lineRule="atLeast"/>
        <w:jc w:val="center"/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596FE5"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3A36A4" w:rsidRPr="00596FE5" w:rsidRDefault="003A36A4" w:rsidP="003A36A4">
      <w:pPr>
        <w:suppressAutoHyphens/>
        <w:spacing w:after="0" w:line="100" w:lineRule="atLeast"/>
        <w:jc w:val="center"/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596FE5"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11000 Београд</w:t>
      </w:r>
    </w:p>
    <w:p w:rsidR="003A36A4" w:rsidRPr="00596FE5" w:rsidRDefault="003A36A4" w:rsidP="003A36A4">
      <w:pPr>
        <w:suppressAutoHyphens/>
        <w:spacing w:after="0" w:line="100" w:lineRule="atLeast"/>
        <w:jc w:val="center"/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val="sr-Cyrl-CS" w:eastAsia="ar-SA"/>
        </w:rPr>
      </w:pPr>
    </w:p>
    <w:p w:rsidR="003A36A4" w:rsidRPr="00596FE5" w:rsidRDefault="003A36A4" w:rsidP="003A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</w:pPr>
      <w:proofErr w:type="spellStart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са</w:t>
      </w:r>
      <w:proofErr w:type="spellEnd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назнаком</w:t>
      </w:r>
      <w:proofErr w:type="spellEnd"/>
      <w:proofErr w:type="gramStart"/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  <w:r w:rsidRPr="00596FE5">
        <w:rPr>
          <w:rFonts w:ascii="Times New Roman" w:eastAsia="font321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596F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Pr="00596F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proofErr w:type="gramEnd"/>
      <w:r w:rsidRPr="00596F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596F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596F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596FE5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 xml:space="preserve">- </w:t>
      </w:r>
      <w:bookmarkStart w:id="10" w:name="OLE_LINK141"/>
      <w:bookmarkStart w:id="11" w:name="OLE_LINK142"/>
      <w:bookmarkStart w:id="12" w:name="OLE_LINK144"/>
      <w:bookmarkStart w:id="13" w:name="OLE_LINK145"/>
      <w:bookmarkStart w:id="14" w:name="OLE_LINK146"/>
      <w:bookmarkStart w:id="15" w:name="OLE_LINK147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val="ru-RU" w:eastAsia="ar-SA"/>
        </w:rPr>
        <w:t xml:space="preserve">Услуге снимања промотивног спота на тему безбедност и здравље на раду, </w:t>
      </w:r>
      <w:r w:rsidRPr="00596FE5">
        <w:rPr>
          <w:rFonts w:ascii="Times New Roman" w:eastAsia="Calibri Light" w:hAnsi="Times New Roman" w:cs="Times New Roman"/>
          <w:b/>
          <w:kern w:val="1"/>
          <w:sz w:val="24"/>
          <w:szCs w:val="24"/>
          <w:lang w:val="ru-RU" w:eastAsia="ar-SA"/>
        </w:rPr>
        <w:t>ЈН 37/2019</w:t>
      </w:r>
      <w:r w:rsidRPr="00596F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96FE5">
        <w:rPr>
          <w:rFonts w:ascii="Times New Roman" w:eastAsia="font321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596F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bookmarkEnd w:id="10"/>
      <w:bookmarkEnd w:id="11"/>
      <w:bookmarkEnd w:id="12"/>
      <w:bookmarkEnd w:id="13"/>
      <w:bookmarkEnd w:id="14"/>
      <w:bookmarkEnd w:id="15"/>
      <w:r w:rsidRPr="00596FE5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3A36A4" w:rsidRPr="00596FE5" w:rsidRDefault="003A36A4" w:rsidP="003A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val="ru-RU" w:eastAsia="ar-SA"/>
        </w:rPr>
      </w:pPr>
    </w:p>
    <w:p w:rsidR="003A36A4" w:rsidRPr="00596FE5" w:rsidRDefault="003A36A4" w:rsidP="003A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val="sr-Cyrl-RS" w:eastAsia="ar-SA"/>
        </w:rPr>
      </w:pP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596FE5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23</w:t>
      </w:r>
      <w:r w:rsidRPr="00596FE5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 xml:space="preserve">. </w:t>
      </w:r>
      <w:bookmarkStart w:id="16" w:name="OLE_LINK138"/>
      <w:bookmarkStart w:id="17" w:name="OLE_LINK139"/>
      <w:bookmarkStart w:id="18" w:name="OLE_LINK140"/>
      <w:r w:rsidRPr="00596FE5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 xml:space="preserve">октобра  </w:t>
      </w:r>
      <w:r w:rsidRPr="00596FE5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Cyrl-RS" w:eastAsia="ar-SA"/>
        </w:rPr>
        <w:t>2019</w:t>
      </w:r>
      <w:r w:rsidRPr="00596FE5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bookmarkEnd w:id="16"/>
      <w:bookmarkEnd w:id="17"/>
      <w:bookmarkEnd w:id="18"/>
      <w:r w:rsidRPr="00596FE5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Cyrl-RS" w:eastAsia="ar-SA"/>
        </w:rPr>
        <w:t xml:space="preserve"> године</w:t>
      </w:r>
      <w:r w:rsidRPr="00596FE5"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596FE5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13.00</w:t>
      </w:r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596FE5">
        <w:rPr>
          <w:rFonts w:ascii="Times New Roman" w:eastAsia="Calibri Light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3A36A4" w:rsidRPr="00596FE5" w:rsidRDefault="003A36A4" w:rsidP="003A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</w:pPr>
      <w:r w:rsidRPr="00596F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3A36A4" w:rsidRPr="001607AB" w:rsidRDefault="003A36A4" w:rsidP="003A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6FE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Отварање понуда</w:t>
      </w:r>
      <w:r w:rsidRPr="00596FE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обавиће се истог дана, </w:t>
      </w:r>
      <w:r w:rsidRPr="00596FE5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23.</w:t>
      </w:r>
      <w:r w:rsidRPr="00596FE5">
        <w:rPr>
          <w:rFonts w:ascii="Times New Roman" w:eastAsia="Calibri Light" w:hAnsi="Times New Roman" w:cs="Times New Roman"/>
          <w:b/>
          <w:iCs/>
          <w:kern w:val="1"/>
          <w:sz w:val="24"/>
          <w:szCs w:val="24"/>
          <w:lang w:val="sr-Cyrl-RS" w:eastAsia="ar-SA"/>
        </w:rPr>
        <w:t xml:space="preserve"> октобра  </w:t>
      </w:r>
      <w:r w:rsidRPr="00596FE5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Cyrl-RS" w:eastAsia="ar-SA"/>
        </w:rPr>
        <w:t>2019</w:t>
      </w:r>
      <w:r w:rsidRPr="00596FE5">
        <w:rPr>
          <w:rFonts w:ascii="Times New Roman" w:eastAsia="Calibri Light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у </w:t>
      </w:r>
      <w:r w:rsidRPr="00596FE5">
        <w:rPr>
          <w:rFonts w:ascii="Times New Roman" w:eastAsia="Calibri Light" w:hAnsi="Times New Roman" w:cs="Times New Roman"/>
          <w:b/>
          <w:kern w:val="1"/>
          <w:sz w:val="24"/>
          <w:szCs w:val="24"/>
          <w:lang w:val="sr-Cyrl-RS" w:eastAsia="ar-SA"/>
        </w:rPr>
        <w:t>13.30</w:t>
      </w:r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eastAsia="ar-SA"/>
        </w:rPr>
        <w:t xml:space="preserve"> </w:t>
      </w:r>
      <w:r w:rsidRPr="00596FE5">
        <w:rPr>
          <w:rFonts w:ascii="Times New Roman" w:eastAsia="Calibri Light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596FE5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596F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96FE5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на адрес</w:t>
      </w:r>
      <w:r w:rsidRPr="00596FE5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>и</w:t>
      </w:r>
      <w:r w:rsidRPr="00596FE5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: Министарство</w:t>
      </w:r>
      <w:r w:rsidRPr="00596FE5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 xml:space="preserve"> за</w:t>
      </w:r>
      <w:r w:rsidRPr="00596FE5">
        <w:rPr>
          <w:rFonts w:ascii="Times New Roman" w:eastAsia="font321" w:hAnsi="Times New Roman" w:cs="Times New Roman"/>
          <w:bCs/>
          <w:sz w:val="24"/>
          <w:szCs w:val="24"/>
          <w:lang w:val="ru-RU"/>
        </w:rPr>
        <w:t xml:space="preserve"> рад</w:t>
      </w:r>
      <w:r w:rsidRPr="00596FE5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 xml:space="preserve">, запошљавање, борачка и социјална </w:t>
      </w:r>
      <w:proofErr w:type="gramStart"/>
      <w:r w:rsidRPr="001607AB">
        <w:rPr>
          <w:rFonts w:ascii="Times New Roman" w:eastAsia="font321" w:hAnsi="Times New Roman" w:cs="Times New Roman"/>
          <w:bCs/>
          <w:sz w:val="24"/>
          <w:szCs w:val="24"/>
          <w:lang w:val="sr-Cyrl-CS"/>
        </w:rPr>
        <w:t xml:space="preserve">питања, </w:t>
      </w:r>
      <w:r w:rsidRPr="00160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</w:t>
      </w:r>
      <w:proofErr w:type="gramEnd"/>
      <w:r w:rsidRPr="00160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Немањина 22-26, </w:t>
      </w:r>
      <w:r w:rsidRPr="00160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крило Ц, </w:t>
      </w:r>
      <w:r w:rsidRPr="001607AB"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 w:rsidRPr="00160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спрат, канцеларија број 14</w:t>
      </w:r>
      <w:r w:rsidRPr="001607A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160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7AB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у присуству чланова комисије, понуђача и заинтересованих лица.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Pr="002B42D1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Pr="002B42D1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2B42D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Критеријум </w:t>
      </w:r>
      <w:r w:rsidR="00DB10B8" w:rsidRPr="002B42D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и елементи критеријума </w:t>
      </w:r>
      <w:r w:rsidRPr="002B42D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за доделу уговора</w:t>
      </w:r>
      <w:r w:rsidRPr="002B42D1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2B42D1" w:rsidRDefault="002B42D1" w:rsidP="002B4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2B42D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2B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Pr="002B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2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B42D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2B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2B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2B42D1">
        <w:rPr>
          <w:rFonts w:ascii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hAnsi="Times New Roman" w:cs="Times New Roman"/>
          <w:bCs/>
          <w:i/>
          <w:sz w:val="24"/>
          <w:szCs w:val="24"/>
        </w:rPr>
        <w:t>„</w:t>
      </w:r>
      <w:proofErr w:type="spellStart"/>
      <w:r w:rsidRPr="002B42D1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eкономски</w:t>
      </w:r>
      <w:proofErr w:type="spellEnd"/>
      <w:r w:rsidRPr="002B42D1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 xml:space="preserve"> најповољнија </w:t>
      </w:r>
      <w:proofErr w:type="gramStart"/>
      <w:r w:rsidRPr="002B42D1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понуда</w:t>
      </w:r>
      <w:r w:rsidRPr="002B42D1">
        <w:rPr>
          <w:rFonts w:ascii="Times New Roman" w:hAnsi="Times New Roman" w:cs="Times New Roman"/>
          <w:bCs/>
          <w:i/>
          <w:sz w:val="24"/>
          <w:szCs w:val="24"/>
        </w:rPr>
        <w:t>“</w:t>
      </w:r>
      <w:proofErr w:type="gramEnd"/>
      <w:r w:rsidRPr="002B42D1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Избор између достављених понуда применом критеријума </w:t>
      </w:r>
      <w:r w:rsidRPr="002B42D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„економски најповољнија понуда“,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вршиће се рангирањем понуда на основу следећих </w:t>
      </w: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елемената</w:t>
      </w:r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критеријума</w:t>
      </w: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пондера одређених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t>њих:</w:t>
      </w: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а.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Ц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ена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: 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б.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И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дејно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решење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визуелним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референцама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Метод одређивања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пондера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по елементима критеријума: 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sr-Cyrl-CS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а.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Ц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ена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2B42D1">
        <w:rPr>
          <w:rFonts w:eastAsia="Times New Roman"/>
          <w:bCs/>
          <w:iCs/>
          <w:lang w:val="sr-Cyrl-CS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максимално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пондера</w:t>
      </w:r>
      <w:proofErr w:type="spellEnd"/>
    </w:p>
    <w:p w:rsidR="000E54A8" w:rsidRDefault="000E54A8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За најнижу цену додељује се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пондера. 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t>Број пондера за све остале понуђене цене израчунава се по формули: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Број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пондера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=</w:t>
      </w:r>
      <w:r w:rsidRPr="002B42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Најнижа понуђена цена х 50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B42D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Понуђена цена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sr-Cyrl-CS" w:eastAsia="ar-SA"/>
        </w:rPr>
      </w:pP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елемента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критеријума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упоређиваће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укупна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понуђена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ПДВ </w:t>
      </w:r>
      <w:bookmarkStart w:id="19" w:name="_GoBack"/>
      <w:bookmarkEnd w:id="19"/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42D1">
        <w:rPr>
          <w:rFonts w:ascii="Times New Roman" w:eastAsia="font321" w:hAnsi="Times New Roman" w:cs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б.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И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дејно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решење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визуелним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</w:rPr>
        <w:t>референцама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максимално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пондера</w:t>
      </w:r>
      <w:proofErr w:type="spellEnd"/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t>Овај елемент критеријума ће, на основу приложених идејних решења спота, оцењивати Независна стручна комисија од три чланова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академских стручњака који поседују знања, искуства и вештине неопходне за давање стручне оцене. </w:t>
      </w: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елементом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критеријума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бодује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усклађеност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понуђеног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идејног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датим темама, по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следећа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поделемента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критеријума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42D1" w:rsidRPr="002B42D1" w:rsidRDefault="002B42D1" w:rsidP="002B42D1">
      <w:pPr>
        <w:autoSpaceDE w:val="0"/>
        <w:autoSpaceDN w:val="0"/>
        <w:adjustRightInd w:val="0"/>
        <w:spacing w:after="27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декватно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ст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комбиновања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задатих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води рачуна о</w:t>
      </w:r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важности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заштите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живота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здравља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запослених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едукацији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подизању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свести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eastAsia="en-GB"/>
        </w:rPr>
        <w:t>јавности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B42D1" w:rsidRPr="002B42D1" w:rsidRDefault="002B42D1" w:rsidP="002B42D1">
      <w:pPr>
        <w:autoSpaceDE w:val="0"/>
        <w:autoSpaceDN w:val="0"/>
        <w:adjustRightInd w:val="0"/>
        <w:spacing w:after="27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одабраних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локација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третирају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визуелном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B42D1" w:rsidRPr="002B42D1" w:rsidRDefault="002B42D1" w:rsidP="002B42D1">
      <w:pPr>
        <w:autoSpaceDE w:val="0"/>
        <w:autoSpaceDN w:val="0"/>
        <w:adjustRightInd w:val="0"/>
        <w:spacing w:after="27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Укупан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естетски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утисак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идејног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јединство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стила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међусобног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склада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предложеног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Усклађеност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понуђеног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испуњење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промотивнo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г видео спота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Независна стручна комисија врши оцењивање доделом бодова, о чему сачињава писани Извештај о резултатима бодовања који доставља Комисији за спровођење поступка јавне набавке.</w:t>
      </w: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Независне стручне к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омисије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понуђено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идејно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наведеним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поделементима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доделом бодова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0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</w:p>
    <w:p w:rsidR="002B42D1" w:rsidRPr="002B42D1" w:rsidRDefault="002B42D1" w:rsidP="002B42D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доделом 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proofErr w:type="gram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бодова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поделемент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испунио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42D1" w:rsidRPr="002B42D1" w:rsidRDefault="002B42D1" w:rsidP="002B42D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доделом 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2 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бода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поделемент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делимично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испунио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42D1" w:rsidRPr="002B42D1" w:rsidRDefault="002B42D1" w:rsidP="002B42D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доделом 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4 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бода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поделемент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доброј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мери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испунио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доделом 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бодова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поделемент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потпуности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испунио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поделемент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u w:val="single"/>
        </w:rPr>
        <w:t>просечна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u w:val="single"/>
        </w:rPr>
        <w:t>оцена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збир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свих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су дали чланови Комисије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дели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Збир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добијених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просечних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поделементима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u w:val="single"/>
        </w:rPr>
        <w:t>укупан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u w:val="single"/>
        </w:rPr>
        <w:t>број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u w:val="single"/>
        </w:rPr>
        <w:t>бодова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елеменат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идејно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визуелним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2D1">
        <w:rPr>
          <w:rFonts w:ascii="Times New Roman" w:eastAsia="Times New Roman" w:hAnsi="Times New Roman" w:cs="Times New Roman"/>
          <w:sz w:val="24"/>
          <w:szCs w:val="24"/>
        </w:rPr>
        <w:t>референцама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>“ (</w:t>
      </w:r>
      <w:proofErr w:type="spellStart"/>
      <w:proofErr w:type="gramEnd"/>
      <w:r w:rsidRPr="002B42D1">
        <w:rPr>
          <w:rFonts w:ascii="Times New Roman" w:eastAsia="Times New Roman" w:hAnsi="Times New Roman" w:cs="Times New Roman"/>
          <w:sz w:val="24"/>
          <w:szCs w:val="24"/>
        </w:rPr>
        <w:t>максимално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могућ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20). 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2D1"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Независна стручна комисија сачињава писани Извештај о резултатима оцењивања (бодовања) који доставља Комисији за спровођење поступка јавне набавке.</w:t>
      </w: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укупан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највећи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пондера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пондере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израчунавају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формуле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lastRenderedPageBreak/>
        <w:t xml:space="preserve">Број </w:t>
      </w:r>
      <w:proofErr w:type="spellStart"/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пондера</w:t>
      </w:r>
      <w:proofErr w:type="spellEnd"/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= </w:t>
      </w:r>
      <w:r w:rsidRPr="002B42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Укупан број бодова х 50</w:t>
      </w: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2B42D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                           Највећи број бодова</w:t>
      </w: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бодова и број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пондера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 оцењивању се утврђује са две децимале.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B42D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Збиром </w:t>
      </w:r>
      <w:proofErr w:type="spellStart"/>
      <w:r w:rsidRPr="002B42D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пондера</w:t>
      </w:r>
      <w:proofErr w:type="spellEnd"/>
      <w:r w:rsidRPr="002B42D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додељених по оба елемента критеријум (а. + б.) добиће се укупан број </w:t>
      </w:r>
      <w:proofErr w:type="spellStart"/>
      <w:r w:rsidRPr="002B42D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пондера</w:t>
      </w:r>
      <w:proofErr w:type="spellEnd"/>
      <w:r w:rsidRPr="002B42D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тиме утврдити економски најповољнија понуда.</w:t>
      </w:r>
    </w:p>
    <w:p w:rsidR="002B42D1" w:rsidRPr="002B42D1" w:rsidRDefault="002B42D1" w:rsidP="002B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B42D1" w:rsidRPr="002B42D1" w:rsidRDefault="002B42D1" w:rsidP="002B4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критеријума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економски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најповољнија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постоје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једнаким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бројем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пондера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предност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добила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већи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пондера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елементу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идејно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визуелним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Times New Roman" w:hAnsi="Times New Roman" w:cs="Times New Roman"/>
          <w:sz w:val="24"/>
          <w:szCs w:val="24"/>
        </w:rPr>
        <w:t>референцама</w:t>
      </w:r>
      <w:proofErr w:type="spellEnd"/>
      <w:r w:rsidRPr="002B42D1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C85983" w:rsidRPr="002B42D1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2B42D1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B42D1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2B42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2B42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2B42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2D1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2B42D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2B42D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2B4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2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17AE0" w:rsidRPr="002B42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  </w:t>
      </w:r>
      <w:r w:rsidRPr="002B42D1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proofErr w:type="gramEnd"/>
      <w:r w:rsidRPr="002B42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дана отварања понуда;</w:t>
      </w:r>
    </w:p>
    <w:p w:rsidR="008F37C5" w:rsidRPr="003A36A4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A36A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3A36A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3A3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6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3A36A4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3A36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Pr="002B42D1">
          <w:rPr>
            <w:rStyle w:val="Hyperlink"/>
            <w:rFonts w:ascii="Times New Roman" w:eastAsia="Calibri" w:hAnsi="Times New Roman" w:cs="Times New Roman"/>
            <w:i/>
            <w:color w:val="2F5496" w:themeColor="accent5" w:themeShade="BF"/>
            <w:sz w:val="24"/>
            <w:szCs w:val="24"/>
            <w:lang w:val="sr-Latn-RS"/>
          </w:rPr>
          <w:t>bogoljub.stankovic</w:t>
        </w:r>
        <w:r w:rsidRPr="002B42D1">
          <w:rPr>
            <w:rStyle w:val="Hyperlink"/>
            <w:rFonts w:ascii="Times New Roman" w:eastAsia="Calibri" w:hAnsi="Times New Roman" w:cs="Times New Roman"/>
            <w:i/>
            <w:color w:val="2F5496" w:themeColor="accent5" w:themeShade="BF"/>
            <w:sz w:val="24"/>
            <w:szCs w:val="24"/>
            <w:lang w:val="en-US"/>
          </w:rPr>
          <w:t>@minrzs.gov.r</w:t>
        </w:r>
        <w:r w:rsidRPr="002B42D1">
          <w:rPr>
            <w:rStyle w:val="Hyperlink"/>
            <w:rFonts w:ascii="Times New Roman" w:eastAsia="Calibri" w:hAnsi="Times New Roman" w:cs="Times New Roman"/>
            <w:i/>
            <w:color w:val="2F5496" w:themeColor="accent5" w:themeShade="BF"/>
            <w:sz w:val="24"/>
            <w:szCs w:val="24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9A" w:rsidRDefault="00D0699A" w:rsidP="00850E6F">
      <w:pPr>
        <w:spacing w:after="0" w:line="240" w:lineRule="auto"/>
      </w:pPr>
      <w:r>
        <w:separator/>
      </w:r>
    </w:p>
  </w:endnote>
  <w:endnote w:type="continuationSeparator" w:id="0">
    <w:p w:rsidR="00D0699A" w:rsidRDefault="00D0699A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font321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C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9A" w:rsidRDefault="00D0699A" w:rsidP="00850E6F">
      <w:pPr>
        <w:spacing w:after="0" w:line="240" w:lineRule="auto"/>
      </w:pPr>
      <w:r>
        <w:separator/>
      </w:r>
    </w:p>
  </w:footnote>
  <w:footnote w:type="continuationSeparator" w:id="0">
    <w:p w:rsidR="00D0699A" w:rsidRDefault="00D0699A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A37A3"/>
    <w:rsid w:val="000B380C"/>
    <w:rsid w:val="000B7493"/>
    <w:rsid w:val="000E54A8"/>
    <w:rsid w:val="00106DD5"/>
    <w:rsid w:val="0010792B"/>
    <w:rsid w:val="001723F6"/>
    <w:rsid w:val="002879BA"/>
    <w:rsid w:val="002B42D1"/>
    <w:rsid w:val="00342BD4"/>
    <w:rsid w:val="003569DF"/>
    <w:rsid w:val="00375239"/>
    <w:rsid w:val="003A36A4"/>
    <w:rsid w:val="00464DFD"/>
    <w:rsid w:val="004F6AA6"/>
    <w:rsid w:val="00587315"/>
    <w:rsid w:val="0059093B"/>
    <w:rsid w:val="005C1EFB"/>
    <w:rsid w:val="005C7FF8"/>
    <w:rsid w:val="00643004"/>
    <w:rsid w:val="006756C2"/>
    <w:rsid w:val="006A5EF5"/>
    <w:rsid w:val="006D4EF5"/>
    <w:rsid w:val="006F58C0"/>
    <w:rsid w:val="0077431A"/>
    <w:rsid w:val="007A3C17"/>
    <w:rsid w:val="007C4585"/>
    <w:rsid w:val="007D53B2"/>
    <w:rsid w:val="00813578"/>
    <w:rsid w:val="0083102C"/>
    <w:rsid w:val="00850E6F"/>
    <w:rsid w:val="008F37C5"/>
    <w:rsid w:val="00910E8A"/>
    <w:rsid w:val="009435BB"/>
    <w:rsid w:val="009512CF"/>
    <w:rsid w:val="009E785E"/>
    <w:rsid w:val="00A17AE0"/>
    <w:rsid w:val="00AE2824"/>
    <w:rsid w:val="00B12DAF"/>
    <w:rsid w:val="00BB0D46"/>
    <w:rsid w:val="00BB3C77"/>
    <w:rsid w:val="00BC4EDC"/>
    <w:rsid w:val="00C23A71"/>
    <w:rsid w:val="00C8083B"/>
    <w:rsid w:val="00C85983"/>
    <w:rsid w:val="00C87441"/>
    <w:rsid w:val="00D0699A"/>
    <w:rsid w:val="00D27D26"/>
    <w:rsid w:val="00DB10B8"/>
    <w:rsid w:val="00DE5814"/>
    <w:rsid w:val="00E56117"/>
    <w:rsid w:val="00EE2F58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E182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37</cp:revision>
  <dcterms:created xsi:type="dcterms:W3CDTF">2018-06-12T17:37:00Z</dcterms:created>
  <dcterms:modified xsi:type="dcterms:W3CDTF">2019-10-15T18:04:00Z</dcterms:modified>
</cp:coreProperties>
</file>