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Закона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основним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правима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бораца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војних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породица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палих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бораца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(“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Службени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лист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. 24/98 и 29/98),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савезни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министар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рад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здравство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оцијалну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политику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прописује</w:t>
      </w:r>
      <w:proofErr w:type="spellEnd"/>
    </w:p>
    <w:p w:rsidR="00A17D34" w:rsidRPr="00B11A33" w:rsidRDefault="001C1624" w:rsidP="00B11A33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b/>
          <w:color w:val="000000"/>
        </w:rPr>
        <w:t>ПРАВИЛНИК</w:t>
      </w:r>
    </w:p>
    <w:p w:rsidR="00A17D34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B11A33">
        <w:rPr>
          <w:rFonts w:ascii="Times New Roman" w:hAnsi="Times New Roman" w:cs="Times New Roman"/>
          <w:b/>
          <w:color w:val="000000"/>
        </w:rPr>
        <w:t>О НАЧИНУ ОСТВАРИВАЊА И КОРИШЋЕЊА ПРАВА НА БЕСПЛАТНУ И ПОВЛАШЋЕНУ ВОЖЊУ</w:t>
      </w:r>
    </w:p>
    <w:p w:rsidR="00720A0B" w:rsidRPr="00B11A33" w:rsidRDefault="00720A0B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„</w:t>
      </w:r>
      <w:proofErr w:type="spellStart"/>
      <w:r w:rsidRPr="00B11A3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лист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B11A33">
        <w:rPr>
          <w:rFonts w:ascii="Times New Roman" w:hAnsi="Times New Roman" w:cs="Times New Roman"/>
          <w:color w:val="000000"/>
        </w:rPr>
        <w:t>број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37 </w:t>
      </w:r>
      <w:proofErr w:type="spellStart"/>
      <w:r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B11A33">
        <w:rPr>
          <w:rFonts w:ascii="Times New Roman" w:hAnsi="Times New Roman" w:cs="Times New Roman"/>
          <w:color w:val="000000"/>
        </w:rPr>
        <w:t>јула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1998.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породичне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остала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Закону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бораца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палих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бораца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11A33">
        <w:rPr>
          <w:rFonts w:ascii="Times New Roman" w:hAnsi="Times New Roman" w:cs="Times New Roman"/>
          <w:color w:val="000000"/>
        </w:rPr>
        <w:t>даљем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тексту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11A33">
        <w:rPr>
          <w:rFonts w:ascii="Times New Roman" w:hAnsi="Times New Roman" w:cs="Times New Roman"/>
          <w:color w:val="000000"/>
        </w:rPr>
        <w:t>Закон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11A33">
        <w:rPr>
          <w:rFonts w:ascii="Times New Roman" w:hAnsi="Times New Roman" w:cs="Times New Roman"/>
          <w:color w:val="000000"/>
        </w:rPr>
        <w:t>имају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B11A33">
        <w:rPr>
          <w:rFonts w:ascii="Times New Roman" w:hAnsi="Times New Roman" w:cs="Times New Roman"/>
          <w:color w:val="000000"/>
        </w:rPr>
        <w:t>даљем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тексту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користе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начин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прописан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овим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2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При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железницом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бродом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може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користити</w:t>
      </w:r>
      <w:proofErr w:type="spellEnd"/>
      <w:r w:rsidRPr="00B11A33">
        <w:rPr>
          <w:rFonts w:ascii="Times New Roman" w:hAnsi="Times New Roman" w:cs="Times New Roman"/>
          <w:color w:val="000000"/>
        </w:rPr>
        <w:t>: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 xml:space="preserve">1) I </w:t>
      </w:r>
      <w:proofErr w:type="spellStart"/>
      <w:r w:rsidRPr="00B11A33">
        <w:rPr>
          <w:rFonts w:ascii="Times New Roman" w:hAnsi="Times New Roman" w:cs="Times New Roman"/>
          <w:color w:val="000000"/>
        </w:rPr>
        <w:t>разред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VI </w:t>
      </w:r>
      <w:proofErr w:type="spellStart"/>
      <w:r w:rsidRPr="00B11A33">
        <w:rPr>
          <w:rFonts w:ascii="Times New Roman" w:hAnsi="Times New Roman" w:cs="Times New Roman"/>
          <w:color w:val="000000"/>
        </w:rPr>
        <w:t>групе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породичне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породичну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инвалиднину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остварили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као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чланови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палог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борца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VII </w:t>
      </w:r>
      <w:proofErr w:type="spellStart"/>
      <w:r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X </w:t>
      </w:r>
      <w:proofErr w:type="spellStart"/>
      <w:r w:rsidRPr="00B11A33">
        <w:rPr>
          <w:rFonts w:ascii="Times New Roman" w:hAnsi="Times New Roman" w:cs="Times New Roman"/>
          <w:color w:val="000000"/>
        </w:rPr>
        <w:t>групе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B11A33">
        <w:rPr>
          <w:rFonts w:ascii="Times New Roman" w:hAnsi="Times New Roman" w:cs="Times New Roman"/>
          <w:color w:val="000000"/>
        </w:rPr>
        <w:t>само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путују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бањско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климатско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лечење</w:t>
      </w:r>
      <w:proofErr w:type="spellEnd"/>
      <w:r w:rsidRPr="00B11A33">
        <w:rPr>
          <w:rFonts w:ascii="Times New Roman" w:hAnsi="Times New Roman" w:cs="Times New Roman"/>
          <w:color w:val="000000"/>
        </w:rPr>
        <w:t>;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 xml:space="preserve">2) II </w:t>
      </w:r>
      <w:proofErr w:type="spellStart"/>
      <w:r w:rsidRPr="00B11A33">
        <w:rPr>
          <w:rFonts w:ascii="Times New Roman" w:hAnsi="Times New Roman" w:cs="Times New Roman"/>
          <w:color w:val="000000"/>
        </w:rPr>
        <w:t>разред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VII </w:t>
      </w:r>
      <w:proofErr w:type="spellStart"/>
      <w:r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X </w:t>
      </w:r>
      <w:proofErr w:type="spellStart"/>
      <w:r w:rsidRPr="00B11A33">
        <w:rPr>
          <w:rFonts w:ascii="Times New Roman" w:hAnsi="Times New Roman" w:cs="Times New Roman"/>
          <w:color w:val="000000"/>
        </w:rPr>
        <w:t>групе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породичне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породичну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инвалиднину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остварили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као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чланови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умрлог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повлашћеној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вожњи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железницом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бродом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разред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изабере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Пратилац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59.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Закона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разред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кога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путује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сам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II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разред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3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железницом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аутобусом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бродом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Закону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бораца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палих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бораца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11A33">
        <w:rPr>
          <w:rFonts w:ascii="Times New Roman" w:hAnsi="Times New Roman" w:cs="Times New Roman"/>
          <w:color w:val="000000"/>
        </w:rPr>
        <w:t>Образац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Pr="00B11A33">
        <w:rPr>
          <w:rFonts w:ascii="Times New Roman" w:hAnsi="Times New Roman" w:cs="Times New Roman"/>
          <w:color w:val="000000"/>
        </w:rPr>
        <w:t>. 1).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авионом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пратилац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I, II, III и IV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групе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смислу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59.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став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Закона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авионом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пратиоца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Образац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 2).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4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11A33">
        <w:rPr>
          <w:rFonts w:ascii="Times New Roman" w:hAnsi="Times New Roman" w:cs="Times New Roman"/>
          <w:color w:val="000000"/>
        </w:rPr>
        <w:t>Образац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. 3) - (у </w:t>
      </w:r>
      <w:proofErr w:type="spellStart"/>
      <w:r w:rsidRPr="00B11A33">
        <w:rPr>
          <w:rFonts w:ascii="Times New Roman" w:hAnsi="Times New Roman" w:cs="Times New Roman"/>
          <w:color w:val="000000"/>
        </w:rPr>
        <w:t>даљем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тексту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Pr="00B11A33">
        <w:rPr>
          <w:rFonts w:ascii="Times New Roman" w:hAnsi="Times New Roman" w:cs="Times New Roman"/>
          <w:color w:val="000000"/>
        </w:rPr>
        <w:t>).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породичне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породичне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Образац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 4).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5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превозник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одговарајућу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карту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6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Посмртни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умре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свог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путу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здравствену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организацију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11A33">
        <w:rPr>
          <w:rFonts w:ascii="Times New Roman" w:hAnsi="Times New Roman" w:cs="Times New Roman"/>
          <w:color w:val="000000"/>
        </w:rPr>
        <w:t>тој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организацији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путу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повратку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коју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био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упућен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лечење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превешће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захтев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железницом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бродом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превозним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средством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предузећа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погребне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услуге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11A33">
        <w:rPr>
          <w:rFonts w:ascii="Times New Roman" w:hAnsi="Times New Roman" w:cs="Times New Roman"/>
          <w:color w:val="000000"/>
        </w:rPr>
        <w:t>место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коме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извршити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сахрана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врши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релацији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делу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релације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постоји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могућност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превоза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превозним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средствима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става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лицу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изврши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такав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признаће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стварни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трошкови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превоза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али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већи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цене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услуга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lastRenderedPageBreak/>
        <w:t>предузећа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погребне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услуге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општине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врши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сахрана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7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превозним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јавног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саобраћаја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11A33">
        <w:rPr>
          <w:rFonts w:ascii="Times New Roman" w:hAnsi="Times New Roman" w:cs="Times New Roman"/>
          <w:color w:val="000000"/>
        </w:rPr>
        <w:t>Образац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Pr="00B11A33">
        <w:rPr>
          <w:rFonts w:ascii="Times New Roman" w:hAnsi="Times New Roman" w:cs="Times New Roman"/>
          <w:color w:val="000000"/>
        </w:rPr>
        <w:t>. 5).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8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није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могла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добити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предузећу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B11A33">
        <w:rPr>
          <w:rFonts w:ascii="Times New Roman" w:hAnsi="Times New Roman" w:cs="Times New Roman"/>
          <w:color w:val="000000"/>
        </w:rPr>
        <w:t>став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лицу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изврши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тај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исплатиће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стварни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али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већи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цене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јавног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саобраћаја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превозним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средством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предузећа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погребне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услуге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9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Накнаду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предузеће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погребне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услуге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B11A33">
        <w:rPr>
          <w:rFonts w:ascii="Times New Roman" w:hAnsi="Times New Roman" w:cs="Times New Roman"/>
          <w:color w:val="000000"/>
        </w:rPr>
        <w:t>став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1A33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накнаду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B11A33">
        <w:rPr>
          <w:rFonts w:ascii="Times New Roman" w:hAnsi="Times New Roman" w:cs="Times New Roman"/>
          <w:color w:val="000000"/>
        </w:rPr>
        <w:t>став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2. и </w:t>
      </w:r>
      <w:proofErr w:type="spellStart"/>
      <w:r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исплатиће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поднесеног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рачуна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1A33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10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Бесплатан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II </w:t>
      </w:r>
      <w:proofErr w:type="spellStart"/>
      <w:r w:rsidRPr="00B11A33">
        <w:rPr>
          <w:rFonts w:ascii="Times New Roman" w:hAnsi="Times New Roman" w:cs="Times New Roman"/>
          <w:color w:val="000000"/>
        </w:rPr>
        <w:t>разредом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железници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броду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другим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превозним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средством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један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пратилац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11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Обрасци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. 1 </w:t>
      </w:r>
      <w:proofErr w:type="spellStart"/>
      <w:r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5 </w:t>
      </w:r>
      <w:proofErr w:type="spellStart"/>
      <w:r w:rsidRPr="00B11A33">
        <w:rPr>
          <w:rFonts w:ascii="Times New Roman" w:hAnsi="Times New Roman" w:cs="Times New Roman"/>
          <w:color w:val="000000"/>
        </w:rPr>
        <w:t>одштампани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овај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чине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његов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део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12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чл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. 3. и 4. </w:t>
      </w:r>
      <w:proofErr w:type="spellStart"/>
      <w:r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чијој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територији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пребивалиште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налази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свог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истекао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рок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повратак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издаће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му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чијој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његово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боравиште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истекао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рок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задржава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истекао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рок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бесплатан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посмртних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остатака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органа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чијој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умрли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имао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пребивалиште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односно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чијој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умро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13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води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издатих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издатим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објавама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11A33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издатих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уносе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серијски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број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име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презиме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датум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Евиденција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издатим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објавама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садржи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следеће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податке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број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име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презиме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својство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породичне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инвалиднине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пратилац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основ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издавања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објаве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14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Издата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важи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пет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11A33">
        <w:rPr>
          <w:rFonts w:ascii="Times New Roman" w:hAnsi="Times New Roman" w:cs="Times New Roman"/>
          <w:color w:val="000000"/>
        </w:rPr>
        <w:t>може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употребити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само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издата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односно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оверена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оверава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важење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наредну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по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текуће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године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15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изгуби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му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основу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доказа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изгубљена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оглашена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неважећу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"</w:t>
      </w:r>
      <w:proofErr w:type="spellStart"/>
      <w:r w:rsidRPr="00B11A33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листу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СРЈ". </w:t>
      </w:r>
      <w:proofErr w:type="spellStart"/>
      <w:r w:rsidRPr="00B11A33">
        <w:rPr>
          <w:rFonts w:ascii="Times New Roman" w:hAnsi="Times New Roman" w:cs="Times New Roman"/>
          <w:color w:val="000000"/>
        </w:rPr>
        <w:t>Нова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важи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11A33">
        <w:rPr>
          <w:rFonts w:ascii="Times New Roman" w:hAnsi="Times New Roman" w:cs="Times New Roman"/>
          <w:color w:val="000000"/>
        </w:rPr>
        <w:t>јануара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наредне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године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Нова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раније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издата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дотрајала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или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постала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неупотребљива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Приликом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издавања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нове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задржава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раније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издату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издавању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нове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поништава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искоришћене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вожње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16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коме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престане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војног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дужан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врати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органу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року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кад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му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престало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војни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инвалид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врати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року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става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члана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надлежни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орган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огласиће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неважећу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у "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Службеном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листу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СРЈ".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17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Ако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путовање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треба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изврши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релацији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којој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врши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превоз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јавног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саобраћаја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има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накнаде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путних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Накнада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путних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трошкова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припада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кориснику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релацију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дужу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једног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километра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једном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правцу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износи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2%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сваки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пређени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километар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износа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накнаде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исхрану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смештај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време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путовања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боравка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другом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месту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18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Обрасци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били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11A33">
        <w:rPr>
          <w:rFonts w:ascii="Times New Roman" w:hAnsi="Times New Roman" w:cs="Times New Roman"/>
          <w:color w:val="000000"/>
        </w:rPr>
        <w:t>употреби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ступања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снагу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употребљаваће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нових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образаца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објава</w:t>
      </w:r>
      <w:proofErr w:type="spellEnd"/>
      <w:r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720A0B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proofErr w:type="spellStart"/>
      <w:r w:rsidR="001C1624" w:rsidRPr="00B11A33">
        <w:rPr>
          <w:rFonts w:ascii="Times New Roman" w:hAnsi="Times New Roman" w:cs="Times New Roman"/>
          <w:color w:val="000000"/>
        </w:rPr>
        <w:t>Образац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који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је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био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употреби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ступања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снагу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правилника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употребљаваће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се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до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издавања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новог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обрасца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C1624" w:rsidRPr="00B11A33">
        <w:rPr>
          <w:rFonts w:ascii="Times New Roman" w:hAnsi="Times New Roman" w:cs="Times New Roman"/>
          <w:color w:val="000000"/>
        </w:rPr>
        <w:t>књижице</w:t>
      </w:r>
      <w:proofErr w:type="spellEnd"/>
      <w:r w:rsidR="001C1624" w:rsidRPr="00B11A33">
        <w:rPr>
          <w:rFonts w:ascii="Times New Roman" w:hAnsi="Times New Roman" w:cs="Times New Roman"/>
          <w:color w:val="000000"/>
        </w:rPr>
        <w:t>.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19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Даном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ступања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снагу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овог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важи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11A33">
        <w:rPr>
          <w:rFonts w:ascii="Times New Roman" w:hAnsi="Times New Roman" w:cs="Times New Roman"/>
          <w:color w:val="000000"/>
        </w:rPr>
        <w:t>начину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бесплатну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11A33">
        <w:rPr>
          <w:rFonts w:ascii="Times New Roman" w:hAnsi="Times New Roman" w:cs="Times New Roman"/>
          <w:color w:val="000000"/>
        </w:rPr>
        <w:t>повлашћену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вожњу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("</w:t>
      </w:r>
      <w:proofErr w:type="spellStart"/>
      <w:r w:rsidRPr="00B11A3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лист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СФРЈ", </w:t>
      </w:r>
      <w:proofErr w:type="spellStart"/>
      <w:r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Pr="00B11A33">
        <w:rPr>
          <w:rFonts w:ascii="Times New Roman" w:hAnsi="Times New Roman" w:cs="Times New Roman"/>
          <w:color w:val="000000"/>
        </w:rPr>
        <w:t>. 7/82).</w:t>
      </w:r>
    </w:p>
    <w:p w:rsidR="00A17D34" w:rsidRPr="00B11A33" w:rsidRDefault="001C1624" w:rsidP="00B11A33">
      <w:pPr>
        <w:spacing w:after="150" w:line="240" w:lineRule="auto"/>
        <w:contextualSpacing/>
        <w:jc w:val="both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11A33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20</w:t>
      </w:r>
    </w:p>
    <w:p w:rsidR="00A17D34" w:rsidRPr="00B11A33" w:rsidRDefault="001C1624" w:rsidP="00B11A33">
      <w:pPr>
        <w:spacing w:after="15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Овај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ступа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снагу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дана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у "</w:t>
      </w:r>
      <w:proofErr w:type="spellStart"/>
      <w:r w:rsidRPr="00B11A33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листу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СРЈ".</w:t>
      </w:r>
    </w:p>
    <w:p w:rsidR="00A17D34" w:rsidRPr="00B11A33" w:rsidRDefault="001C1624" w:rsidP="00B11A33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Бр</w:t>
      </w:r>
      <w:proofErr w:type="spellEnd"/>
      <w:r w:rsidRPr="00B11A33">
        <w:rPr>
          <w:rFonts w:ascii="Times New Roman" w:hAnsi="Times New Roman" w:cs="Times New Roman"/>
          <w:color w:val="000000"/>
        </w:rPr>
        <w:t>. 4/2-03-049/98-008</w:t>
      </w:r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 xml:space="preserve">24. </w:t>
      </w:r>
      <w:proofErr w:type="spellStart"/>
      <w:r w:rsidRPr="00B11A33">
        <w:rPr>
          <w:rFonts w:ascii="Times New Roman" w:hAnsi="Times New Roman" w:cs="Times New Roman"/>
          <w:color w:val="000000"/>
        </w:rPr>
        <w:t>јула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1998. </w:t>
      </w:r>
      <w:proofErr w:type="spellStart"/>
      <w:r w:rsidRPr="00B11A33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Београд</w:t>
      </w:r>
      <w:proofErr w:type="spellEnd"/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Савезни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министар</w:t>
      </w:r>
      <w:proofErr w:type="spellEnd"/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за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рад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11A33">
        <w:rPr>
          <w:rFonts w:ascii="Times New Roman" w:hAnsi="Times New Roman" w:cs="Times New Roman"/>
          <w:color w:val="000000"/>
        </w:rPr>
        <w:t>здравство</w:t>
      </w:r>
      <w:proofErr w:type="spellEnd"/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 xml:space="preserve">и </w:t>
      </w:r>
      <w:proofErr w:type="spellStart"/>
      <w:r w:rsidRPr="00B11A33">
        <w:rPr>
          <w:rFonts w:ascii="Times New Roman" w:hAnsi="Times New Roman" w:cs="Times New Roman"/>
          <w:color w:val="000000"/>
        </w:rPr>
        <w:t>социјалну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color w:val="000000"/>
        </w:rPr>
        <w:t>политику</w:t>
      </w:r>
      <w:proofErr w:type="spellEnd"/>
    </w:p>
    <w:p w:rsidR="00A17D34" w:rsidRPr="00B11A33" w:rsidRDefault="001C1624" w:rsidP="00B11A33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11A33">
        <w:rPr>
          <w:rFonts w:ascii="Times New Roman" w:hAnsi="Times New Roman" w:cs="Times New Roman"/>
          <w:color w:val="000000"/>
        </w:rPr>
        <w:t>др</w:t>
      </w:r>
      <w:proofErr w:type="spellEnd"/>
      <w:r w:rsidRPr="00B11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b/>
          <w:color w:val="000000"/>
        </w:rPr>
        <w:t>Миодраг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11A33">
        <w:rPr>
          <w:rFonts w:ascii="Times New Roman" w:hAnsi="Times New Roman" w:cs="Times New Roman"/>
          <w:b/>
          <w:color w:val="000000"/>
        </w:rPr>
        <w:t>Ковач</w:t>
      </w:r>
      <w:proofErr w:type="spellEnd"/>
      <w:r w:rsidRPr="00B11A33">
        <w:rPr>
          <w:rFonts w:ascii="Times New Roman" w:hAnsi="Times New Roman" w:cs="Times New Roman"/>
          <w:b/>
          <w:color w:val="000000"/>
        </w:rPr>
        <w:t>,</w:t>
      </w:r>
      <w:r w:rsidRPr="00B11A33">
        <w:rPr>
          <w:rFonts w:ascii="Times New Roman" w:hAnsi="Times New Roman" w:cs="Times New Roman"/>
          <w:color w:val="000000"/>
        </w:rPr>
        <w:t xml:space="preserve"> с. р.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3983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8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drawing>
          <wp:inline distT="0" distB="0" distL="0" distR="0">
            <wp:extent cx="5732145" cy="191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5915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81901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7532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drawing>
          <wp:inline distT="0" distB="0" distL="0" distR="0">
            <wp:extent cx="5732145" cy="35274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noProof/>
        </w:rPr>
        <w:drawing>
          <wp:inline distT="0" distB="0" distL="0" distR="0">
            <wp:extent cx="5732145" cy="13617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6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34" w:rsidRPr="00B11A33" w:rsidRDefault="001C1624" w:rsidP="00B11A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11A33">
        <w:rPr>
          <w:rFonts w:ascii="Times New Roman" w:hAnsi="Times New Roman" w:cs="Times New Roman"/>
          <w:color w:val="000000"/>
        </w:rPr>
        <w:t> </w:t>
      </w:r>
    </w:p>
    <w:sectPr w:rsidR="00A17D34" w:rsidRPr="00B11A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34"/>
    <w:rsid w:val="001C1624"/>
    <w:rsid w:val="00720A0B"/>
    <w:rsid w:val="00A17D34"/>
    <w:rsid w:val="00B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73EB"/>
  <w15:docId w15:val="{E953F16E-2F44-42E4-84E5-013C72A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4</cp:revision>
  <dcterms:created xsi:type="dcterms:W3CDTF">2019-04-09T11:31:00Z</dcterms:created>
  <dcterms:modified xsi:type="dcterms:W3CDTF">2019-04-11T13:15:00Z</dcterms:modified>
</cp:coreProperties>
</file>