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C0" w:rsidRDefault="009A1DC0" w:rsidP="00174B57">
      <w:pPr>
        <w:pStyle w:val="BodyText2"/>
        <w:ind w:firstLine="720"/>
        <w:jc w:val="center"/>
        <w:rPr>
          <w:b/>
          <w:sz w:val="28"/>
          <w:szCs w:val="28"/>
          <w:lang w:val="sr-Cyrl-RS"/>
        </w:rPr>
      </w:pPr>
    </w:p>
    <w:p w:rsidR="002C3FEB" w:rsidRDefault="00174B57" w:rsidP="00174B57">
      <w:pPr>
        <w:pStyle w:val="BodyText2"/>
        <w:ind w:firstLine="720"/>
        <w:jc w:val="center"/>
        <w:rPr>
          <w:b/>
          <w:sz w:val="28"/>
          <w:szCs w:val="28"/>
          <w:lang w:val="sr-Cyrl-RS"/>
        </w:rPr>
      </w:pPr>
      <w:r w:rsidRPr="00174B57">
        <w:rPr>
          <w:b/>
          <w:sz w:val="28"/>
          <w:szCs w:val="28"/>
          <w:lang w:val="sr-Cyrl-RS"/>
        </w:rPr>
        <w:t>ИЗВЕШТАЈ</w:t>
      </w:r>
    </w:p>
    <w:p w:rsidR="000F6966" w:rsidRDefault="000F6966" w:rsidP="00174B57">
      <w:pPr>
        <w:pStyle w:val="BodyText2"/>
        <w:ind w:firstLine="720"/>
        <w:jc w:val="center"/>
        <w:rPr>
          <w:b/>
          <w:sz w:val="28"/>
          <w:szCs w:val="28"/>
          <w:lang w:val="sr-Cyrl-RS"/>
        </w:rPr>
      </w:pPr>
      <w:r>
        <w:rPr>
          <w:b/>
          <w:sz w:val="28"/>
          <w:szCs w:val="28"/>
          <w:lang w:val="sr-Cyrl-RS"/>
        </w:rPr>
        <w:t xml:space="preserve">О </w:t>
      </w:r>
      <w:r w:rsidR="00F5178C">
        <w:rPr>
          <w:b/>
          <w:sz w:val="28"/>
          <w:szCs w:val="28"/>
          <w:lang w:val="sr-Cyrl-RS"/>
        </w:rPr>
        <w:t>СТАЊУ ЗАШТИТЕ И</w:t>
      </w:r>
      <w:r>
        <w:rPr>
          <w:b/>
          <w:sz w:val="28"/>
          <w:szCs w:val="28"/>
          <w:lang w:val="sr-Cyrl-RS"/>
        </w:rPr>
        <w:t xml:space="preserve"> РАВНОПРАВНОСТИ ПОЛОВА </w:t>
      </w:r>
    </w:p>
    <w:p w:rsidR="000F6966" w:rsidRPr="000F6966" w:rsidRDefault="000F6966" w:rsidP="00174B57">
      <w:pPr>
        <w:pStyle w:val="BodyText2"/>
        <w:ind w:firstLine="720"/>
        <w:jc w:val="center"/>
        <w:rPr>
          <w:b/>
          <w:sz w:val="28"/>
          <w:szCs w:val="28"/>
          <w:lang w:val="sr-Cyrl-RS"/>
        </w:rPr>
      </w:pPr>
      <w:r>
        <w:rPr>
          <w:b/>
          <w:sz w:val="28"/>
          <w:szCs w:val="28"/>
          <w:lang w:val="sr-Cyrl-RS"/>
        </w:rPr>
        <w:t>У 2018. ГОДИНИ</w:t>
      </w:r>
    </w:p>
    <w:p w:rsidR="00174B57" w:rsidRDefault="00174B57" w:rsidP="00174B57">
      <w:pPr>
        <w:pStyle w:val="BodyText2"/>
        <w:ind w:firstLine="720"/>
        <w:jc w:val="center"/>
        <w:rPr>
          <w:b/>
          <w:sz w:val="28"/>
          <w:szCs w:val="28"/>
          <w:lang w:val="sr-Cyrl-RS"/>
        </w:rPr>
      </w:pPr>
    </w:p>
    <w:p w:rsidR="000F6966" w:rsidRDefault="000F6966" w:rsidP="000F6966">
      <w:pPr>
        <w:pStyle w:val="BodyText2"/>
        <w:ind w:firstLine="720"/>
        <w:jc w:val="center"/>
        <w:rPr>
          <w:b/>
          <w:lang w:val="sr-Cyrl-RS"/>
        </w:rPr>
      </w:pPr>
      <w:r w:rsidRPr="000F6966">
        <w:rPr>
          <w:b/>
          <w:lang w:val="sr-Cyrl-RS"/>
        </w:rPr>
        <w:t>Увод</w:t>
      </w:r>
    </w:p>
    <w:p w:rsidR="00F5178C" w:rsidRPr="000F6966" w:rsidRDefault="00F5178C" w:rsidP="000F6966">
      <w:pPr>
        <w:pStyle w:val="BodyText2"/>
        <w:ind w:firstLine="720"/>
        <w:jc w:val="center"/>
        <w:rPr>
          <w:b/>
          <w:lang w:val="sr-Cyrl-RS"/>
        </w:rPr>
      </w:pPr>
    </w:p>
    <w:p w:rsidR="00B61255" w:rsidRDefault="000F6966" w:rsidP="005B578B">
      <w:pPr>
        <w:pStyle w:val="BodyText2"/>
        <w:spacing w:before="60"/>
        <w:ind w:firstLine="720"/>
        <w:rPr>
          <w:lang w:val="sr-Latn-RS"/>
        </w:rPr>
      </w:pPr>
      <w:r w:rsidRPr="000F6966">
        <w:rPr>
          <w:i/>
          <w:lang w:val="sr-Cyrl-RS"/>
        </w:rPr>
        <w:t>Закон о равноправности полова</w:t>
      </w:r>
      <w:r w:rsidR="00A0255F">
        <w:rPr>
          <w:lang w:val="sr-Cyrl-RS"/>
        </w:rPr>
        <w:t xml:space="preserve"> (,,Службени</w:t>
      </w:r>
      <w:r>
        <w:rPr>
          <w:lang w:val="sr-Cyrl-RS"/>
        </w:rPr>
        <w:t xml:space="preserve"> гласник РС“, број 104/2009) донет је 11. децембра 2009. године и припада категорији тзв. антидискриминационих закона. Доношење овог закона је проистекло из потребе за обезбеђењем и унапређењем равноправност полова, у складу са </w:t>
      </w:r>
      <w:r w:rsidR="00317F55" w:rsidRPr="00EB7596">
        <w:rPr>
          <w:i/>
          <w:lang w:val="sr-Cyrl-RS"/>
        </w:rPr>
        <w:t>Устав</w:t>
      </w:r>
      <w:r w:rsidRPr="00EB7596">
        <w:rPr>
          <w:i/>
          <w:lang w:val="sr-Cyrl-RS"/>
        </w:rPr>
        <w:t>ом Републике Србије</w:t>
      </w:r>
      <w:r>
        <w:rPr>
          <w:lang w:val="sr-Cyrl-RS"/>
        </w:rPr>
        <w:t xml:space="preserve"> </w:t>
      </w:r>
      <w:r w:rsidR="00EB7596" w:rsidRPr="00EC2E2A">
        <w:rPr>
          <w:color w:val="000000" w:themeColor="text1"/>
          <w:lang w:val="ru-RU"/>
        </w:rPr>
        <w:t>(</w:t>
      </w:r>
      <w:r w:rsidR="00EB7596">
        <w:rPr>
          <w:lang w:val="sr-Cyrl-RS"/>
        </w:rPr>
        <w:t>„</w:t>
      </w:r>
      <w:r w:rsidR="00EB7596" w:rsidRPr="00A274B5">
        <w:rPr>
          <w:rFonts w:eastAsiaTheme="minorHAnsi"/>
          <w:lang w:val="sr-Latn-ME"/>
        </w:rPr>
        <w:t>Службени</w:t>
      </w:r>
      <w:r w:rsidR="00EB7596" w:rsidRPr="00CE53C3">
        <w:rPr>
          <w:lang w:val="sr-Cyrl-RS"/>
        </w:rPr>
        <w:t xml:space="preserve"> </w:t>
      </w:r>
      <w:r w:rsidR="00EB7596">
        <w:rPr>
          <w:lang w:val="sr-Cyrl-RS"/>
        </w:rPr>
        <w:t xml:space="preserve">гласник РС“, </w:t>
      </w:r>
      <w:r w:rsidR="00EB7596" w:rsidRPr="00EC2E2A">
        <w:rPr>
          <w:color w:val="000000" w:themeColor="text1"/>
          <w:lang w:val="ru-RU"/>
        </w:rPr>
        <w:t>број 98/06</w:t>
      </w:r>
      <w:r w:rsidR="00EB7596">
        <w:rPr>
          <w:color w:val="000000" w:themeColor="text1"/>
          <w:lang w:val="ru-RU"/>
        </w:rPr>
        <w:t>)</w:t>
      </w:r>
      <w:r w:rsidR="00EB7596" w:rsidRPr="00EB7596">
        <w:rPr>
          <w:color w:val="000000" w:themeColor="text1"/>
          <w:lang w:val="ru-RU"/>
        </w:rPr>
        <w:t xml:space="preserve"> </w:t>
      </w:r>
      <w:r>
        <w:rPr>
          <w:lang w:val="sr-Cyrl-RS"/>
        </w:rPr>
        <w:t xml:space="preserve">који у </w:t>
      </w:r>
      <w:r w:rsidR="0064688B">
        <w:rPr>
          <w:lang w:val="sr-Cyrl-RS"/>
        </w:rPr>
        <w:t>члан</w:t>
      </w:r>
      <w:r>
        <w:rPr>
          <w:lang w:val="sr-Cyrl-RS"/>
        </w:rPr>
        <w:t>у 15.</w:t>
      </w:r>
      <w:r w:rsidR="0064688B">
        <w:rPr>
          <w:lang w:val="sr-Cyrl-RS"/>
        </w:rPr>
        <w:t xml:space="preserve"> </w:t>
      </w:r>
      <w:r w:rsidR="00FB7AA8">
        <w:rPr>
          <w:lang w:val="sr-Cyrl-RS"/>
        </w:rPr>
        <w:t>гарантује</w:t>
      </w:r>
      <w:r w:rsidR="0064688B">
        <w:rPr>
          <w:lang w:val="sr-Cyrl-RS"/>
        </w:rPr>
        <w:t xml:space="preserve"> равноправност мушкараца и ж</w:t>
      </w:r>
      <w:r w:rsidR="00635468">
        <w:rPr>
          <w:lang w:val="sr-Cyrl-RS"/>
        </w:rPr>
        <w:t>ена</w:t>
      </w:r>
      <w:r w:rsidR="0064688B">
        <w:rPr>
          <w:lang w:val="sr-Cyrl-RS"/>
        </w:rPr>
        <w:t xml:space="preserve"> и развијање политике једнаких могућности</w:t>
      </w:r>
      <w:r w:rsidR="00B73C53">
        <w:rPr>
          <w:lang w:val="sr-Latn-RS"/>
        </w:rPr>
        <w:t>.</w:t>
      </w:r>
    </w:p>
    <w:p w:rsidR="00232027" w:rsidRDefault="00E2390B" w:rsidP="005B578B">
      <w:pPr>
        <w:pStyle w:val="BodyText2"/>
        <w:spacing w:before="60"/>
        <w:ind w:firstLine="720"/>
        <w:rPr>
          <w:lang w:val="sr-Cyrl-RS"/>
        </w:rPr>
      </w:pPr>
      <w:r>
        <w:rPr>
          <w:lang w:val="sr-Latn-RS"/>
        </w:rPr>
        <w:t>С</w:t>
      </w:r>
      <w:r w:rsidR="000F6966">
        <w:rPr>
          <w:lang w:val="sr-Latn-RS"/>
        </w:rPr>
        <w:t xml:space="preserve"> обзиром на то</w:t>
      </w:r>
      <w:r>
        <w:rPr>
          <w:lang w:val="sr-Cyrl-RS"/>
        </w:rPr>
        <w:t>,</w:t>
      </w:r>
      <w:r w:rsidR="000F6966">
        <w:rPr>
          <w:lang w:val="sr-Latn-RS"/>
        </w:rPr>
        <w:t xml:space="preserve"> да се</w:t>
      </w:r>
      <w:r w:rsidR="00B61255" w:rsidRPr="00B61255">
        <w:rPr>
          <w:lang w:val="sr-Latn-RS"/>
        </w:rPr>
        <w:t xml:space="preserve"> члану 21. став 3. </w:t>
      </w:r>
      <w:r w:rsidR="00B61255" w:rsidRPr="00E2390B">
        <w:rPr>
          <w:i/>
          <w:lang w:val="sr-Latn-RS"/>
        </w:rPr>
        <w:t>Устава Републике Србије</w:t>
      </w:r>
      <w:r w:rsidR="00B61255" w:rsidRPr="00B61255">
        <w:rPr>
          <w:lang w:val="sr-Latn-RS"/>
        </w:rPr>
        <w:t xml:space="preserve"> </w:t>
      </w:r>
      <w:r w:rsidR="009B507F">
        <w:rPr>
          <w:color w:val="000000" w:themeColor="text1"/>
          <w:lang w:val="ru-RU"/>
        </w:rPr>
        <w:t xml:space="preserve"> </w:t>
      </w:r>
      <w:r w:rsidR="00B61255" w:rsidRPr="00B61255">
        <w:rPr>
          <w:lang w:val="sr-Latn-RS"/>
        </w:rPr>
        <w:t>прецизира да је забрањена свака дискриминација, непосредна или посредна, по било ком основу, а нарочито по основу pace, пола, националне припадности, друштвеног порекла, рођења, вероисповести, политичког или другог уверења, имовинског стања, културе, језика, старости и псих</w:t>
      </w:r>
      <w:r>
        <w:rPr>
          <w:lang w:val="sr-Latn-RS"/>
        </w:rPr>
        <w:t xml:space="preserve">ичког или физичког инвалидитета, </w:t>
      </w:r>
      <w:r w:rsidRPr="00E2390B">
        <w:rPr>
          <w:i/>
          <w:lang w:val="sr-Cyrl-RS"/>
        </w:rPr>
        <w:t>Законом о равноправности полова</w:t>
      </w:r>
      <w:r w:rsidRPr="00844814">
        <w:rPr>
          <w:lang w:val="sr-Cyrl-RS"/>
        </w:rPr>
        <w:t xml:space="preserve"> је </w:t>
      </w:r>
      <w:r w:rsidR="00232027">
        <w:rPr>
          <w:lang w:val="sr-Cyrl-RS"/>
        </w:rPr>
        <w:t xml:space="preserve">у члану 1. предвиђена забрана </w:t>
      </w:r>
      <w:r w:rsidRPr="00844814">
        <w:rPr>
          <w:lang w:val="sr-Cyrl-RS"/>
        </w:rPr>
        <w:t>дискриминације засноване на полу</w:t>
      </w:r>
      <w:r w:rsidR="00232027">
        <w:rPr>
          <w:lang w:val="sr-Cyrl-RS"/>
        </w:rPr>
        <w:t xml:space="preserve"> и роду</w:t>
      </w:r>
      <w:r w:rsidRPr="00844814">
        <w:rPr>
          <w:lang w:val="sr-Cyrl-RS"/>
        </w:rPr>
        <w:t>, као и поступак правне заштите лица изложених дискриминацији</w:t>
      </w:r>
      <w:r w:rsidR="00232027">
        <w:rPr>
          <w:lang w:val="sr-Cyrl-RS"/>
        </w:rPr>
        <w:t>.</w:t>
      </w:r>
    </w:p>
    <w:p w:rsidR="00356F83" w:rsidRDefault="00E2390B" w:rsidP="005B578B">
      <w:pPr>
        <w:pStyle w:val="BodyText2"/>
        <w:spacing w:before="60"/>
        <w:ind w:firstLine="720"/>
        <w:rPr>
          <w:lang w:val="sr-Cyrl-RS"/>
        </w:rPr>
      </w:pPr>
      <w:r>
        <w:rPr>
          <w:lang w:val="sr-Latn-RS"/>
        </w:rPr>
        <w:t>Такође, имајући у виду да се</w:t>
      </w:r>
      <w:r>
        <w:rPr>
          <w:lang w:val="sr-Cyrl-RS"/>
        </w:rPr>
        <w:t xml:space="preserve"> у члану</w:t>
      </w:r>
      <w:r w:rsidR="00B61255" w:rsidRPr="00B61255">
        <w:rPr>
          <w:lang w:val="sr-Cyrl-RS"/>
        </w:rPr>
        <w:t xml:space="preserve"> 21. став 4. </w:t>
      </w:r>
      <w:r w:rsidRPr="00E2390B">
        <w:rPr>
          <w:i/>
          <w:lang w:val="sr-Cyrl-RS"/>
        </w:rPr>
        <w:t xml:space="preserve">Устава </w:t>
      </w:r>
      <w:r w:rsidR="00B61255" w:rsidRPr="00B61255">
        <w:rPr>
          <w:lang w:val="sr-Cyrl-RS"/>
        </w:rPr>
        <w:t>прописује могућност увођења посебних мера ради постизања пуне равноправности лица или групе лица која су суштински у неједнаком положају са осталим грађанима и изричито прописује да се ове м</w:t>
      </w:r>
      <w:r w:rsidR="00B96A4C">
        <w:rPr>
          <w:lang w:val="sr-Cyrl-RS"/>
        </w:rPr>
        <w:t>ере не сматрају дискриминацијом, a</w:t>
      </w:r>
      <w:r>
        <w:rPr>
          <w:lang w:val="sr-Cyrl-RS"/>
        </w:rPr>
        <w:t xml:space="preserve"> </w:t>
      </w:r>
      <w:r w:rsidR="00232027" w:rsidRPr="00F157CC">
        <w:rPr>
          <w:i/>
          <w:lang w:val="sr-Cyrl-RS"/>
        </w:rPr>
        <w:t>Законом о равноправности полова</w:t>
      </w:r>
      <w:r w:rsidR="00232027">
        <w:rPr>
          <w:lang w:val="sr-Cyrl-RS"/>
        </w:rPr>
        <w:t xml:space="preserve"> је члану 2.</w:t>
      </w:r>
      <w:r w:rsidR="00844814">
        <w:rPr>
          <w:lang w:val="sr-Cyrl-RS"/>
        </w:rPr>
        <w:t xml:space="preserve"> </w:t>
      </w:r>
      <w:r w:rsidR="00844814" w:rsidRPr="00844814">
        <w:rPr>
          <w:lang w:val="sr-Cyrl-RS"/>
        </w:rPr>
        <w:t>ближе уре</w:t>
      </w:r>
      <w:r w:rsidR="00232027">
        <w:rPr>
          <w:lang w:val="sr-Cyrl-RS"/>
        </w:rPr>
        <w:t>ђено поштовање међународних стандарда</w:t>
      </w:r>
      <w:r w:rsidR="00F157CC">
        <w:rPr>
          <w:lang w:val="sr-Cyrl-RS"/>
        </w:rPr>
        <w:t>, као</w:t>
      </w:r>
      <w:r w:rsidR="00232027">
        <w:rPr>
          <w:lang w:val="sr-Cyrl-RS"/>
        </w:rPr>
        <w:t xml:space="preserve"> и уставно јемство</w:t>
      </w:r>
      <w:r w:rsidR="00844814" w:rsidRPr="00844814">
        <w:rPr>
          <w:lang w:val="sr-Cyrl-RS"/>
        </w:rPr>
        <w:t xml:space="preserve"> равноправности жена и мушкараца</w:t>
      </w:r>
      <w:r w:rsidR="00232027">
        <w:rPr>
          <w:lang w:val="sr-Cyrl-RS"/>
        </w:rPr>
        <w:t xml:space="preserve">. </w:t>
      </w:r>
      <w:r w:rsidR="00F157CC">
        <w:rPr>
          <w:lang w:val="sr-Cyrl-RS"/>
        </w:rPr>
        <w:t>Стога се у поменутом</w:t>
      </w:r>
      <w:r w:rsidR="00232027">
        <w:rPr>
          <w:lang w:val="sr-Cyrl-RS"/>
        </w:rPr>
        <w:t xml:space="preserve"> закону</w:t>
      </w:r>
      <w:r w:rsidR="00F157CC">
        <w:rPr>
          <w:lang w:val="sr-Cyrl-RS"/>
        </w:rPr>
        <w:t xml:space="preserve"> потенцира значај примене</w:t>
      </w:r>
      <w:r w:rsidR="00844814" w:rsidRPr="00844814">
        <w:rPr>
          <w:lang w:val="sr-Cyrl-RS"/>
        </w:rPr>
        <w:t xml:space="preserve"> политике једнаких могућности у областима од посебног знача</w:t>
      </w:r>
      <w:r w:rsidR="00F157CC">
        <w:rPr>
          <w:lang w:val="sr-Cyrl-RS"/>
        </w:rPr>
        <w:t>ја за равноправност полова, као што су</w:t>
      </w:r>
      <w:r>
        <w:rPr>
          <w:lang w:val="sr-Cyrl-RS"/>
        </w:rPr>
        <w:t>:</w:t>
      </w:r>
      <w:r w:rsidR="00F157CC">
        <w:rPr>
          <w:lang w:val="sr-Cyrl-RS"/>
        </w:rPr>
        <w:t xml:space="preserve"> рад</w:t>
      </w:r>
      <w:r w:rsidR="00F95959">
        <w:rPr>
          <w:lang w:val="sr-Cyrl-RS"/>
        </w:rPr>
        <w:t xml:space="preserve"> и запошљавањ</w:t>
      </w:r>
      <w:r w:rsidR="00F157CC">
        <w:rPr>
          <w:lang w:val="sr-Cyrl-RS"/>
        </w:rPr>
        <w:t>е, социјална</w:t>
      </w:r>
      <w:r w:rsidR="00CE53C3">
        <w:rPr>
          <w:lang w:val="sr-Cyrl-RS"/>
        </w:rPr>
        <w:t xml:space="preserve"> и здравстве</w:t>
      </w:r>
      <w:r w:rsidR="00844814" w:rsidRPr="00844814">
        <w:rPr>
          <w:lang w:val="sr-Cyrl-RS"/>
        </w:rPr>
        <w:t>н</w:t>
      </w:r>
      <w:r w:rsidR="00F157CC">
        <w:rPr>
          <w:lang w:val="sr-Cyrl-RS"/>
        </w:rPr>
        <w:t>а</w:t>
      </w:r>
      <w:r w:rsidR="00844814" w:rsidRPr="00844814">
        <w:rPr>
          <w:lang w:val="sr-Cyrl-RS"/>
        </w:rPr>
        <w:t xml:space="preserve"> заштит</w:t>
      </w:r>
      <w:r w:rsidR="00F157CC">
        <w:rPr>
          <w:lang w:val="sr-Cyrl-RS"/>
        </w:rPr>
        <w:t>а</w:t>
      </w:r>
      <w:r w:rsidR="00844814" w:rsidRPr="00844814">
        <w:rPr>
          <w:lang w:val="sr-Cyrl-RS"/>
        </w:rPr>
        <w:t>, породични однос</w:t>
      </w:r>
      <w:r w:rsidR="00F157CC">
        <w:rPr>
          <w:lang w:val="sr-Cyrl-RS"/>
        </w:rPr>
        <w:t>и</w:t>
      </w:r>
      <w:r w:rsidR="00844814" w:rsidRPr="00844814">
        <w:rPr>
          <w:lang w:val="sr-Cyrl-RS"/>
        </w:rPr>
        <w:t>, образовањ</w:t>
      </w:r>
      <w:r w:rsidR="00F157CC">
        <w:rPr>
          <w:lang w:val="sr-Cyrl-RS"/>
        </w:rPr>
        <w:t>е</w:t>
      </w:r>
      <w:r w:rsidR="00844814" w:rsidRPr="00844814">
        <w:rPr>
          <w:lang w:val="sr-Cyrl-RS"/>
        </w:rPr>
        <w:t>, култур</w:t>
      </w:r>
      <w:r w:rsidR="00F157CC">
        <w:rPr>
          <w:lang w:val="sr-Cyrl-RS"/>
        </w:rPr>
        <w:t>а</w:t>
      </w:r>
      <w:r w:rsidR="00844814" w:rsidRPr="00844814">
        <w:rPr>
          <w:lang w:val="sr-Cyrl-RS"/>
        </w:rPr>
        <w:t xml:space="preserve"> и сп</w:t>
      </w:r>
      <w:r w:rsidR="00423D0B">
        <w:rPr>
          <w:lang w:val="sr-Cyrl-RS"/>
        </w:rPr>
        <w:t>орт,</w:t>
      </w:r>
      <w:r w:rsidR="00F157CC">
        <w:rPr>
          <w:lang w:val="sr-Cyrl-RS"/>
        </w:rPr>
        <w:t xml:space="preserve"> политички и јавни</w:t>
      </w:r>
      <w:r>
        <w:rPr>
          <w:lang w:val="sr-Cyrl-RS"/>
        </w:rPr>
        <w:t xml:space="preserve"> живот, чему се </w:t>
      </w:r>
      <w:r w:rsidR="00F157CC">
        <w:rPr>
          <w:lang w:val="sr-Cyrl-RS"/>
        </w:rPr>
        <w:t xml:space="preserve">и </w:t>
      </w:r>
      <w:r>
        <w:rPr>
          <w:lang w:val="sr-Cyrl-RS"/>
        </w:rPr>
        <w:t>у овом извештају посвећује посебна пажња.</w:t>
      </w:r>
    </w:p>
    <w:p w:rsidR="00EB1E72" w:rsidRDefault="000D7DEA" w:rsidP="005B578B">
      <w:pPr>
        <w:spacing w:before="60"/>
        <w:ind w:firstLine="720"/>
        <w:jc w:val="both"/>
        <w:rPr>
          <w:lang w:val="sr-Cyrl-RS"/>
        </w:rPr>
      </w:pPr>
      <w:r>
        <w:rPr>
          <w:lang w:val="sr-Cyrl-RS"/>
        </w:rPr>
        <w:t xml:space="preserve">На основу члана 16. </w:t>
      </w:r>
      <w:r w:rsidRPr="00E2390B">
        <w:rPr>
          <w:i/>
          <w:lang w:val="sr-Cyrl-RS"/>
        </w:rPr>
        <w:t>Закона о министарствима</w:t>
      </w:r>
      <w:r w:rsidR="000F6966">
        <w:rPr>
          <w:lang w:val="sr-Cyrl-RS"/>
        </w:rPr>
        <w:t xml:space="preserve"> („</w:t>
      </w:r>
      <w:r w:rsidR="00CE53C3">
        <w:rPr>
          <w:lang w:val="sr-Cyrl-RS"/>
        </w:rPr>
        <w:t>Сл</w:t>
      </w:r>
      <w:r w:rsidR="009B507F">
        <w:rPr>
          <w:lang w:val="sr-Cyrl-RS"/>
        </w:rPr>
        <w:t>ужбени</w:t>
      </w:r>
      <w:r w:rsidR="00CE53C3" w:rsidRPr="00CE53C3">
        <w:rPr>
          <w:lang w:val="sr-Cyrl-RS"/>
        </w:rPr>
        <w:t xml:space="preserve"> </w:t>
      </w:r>
      <w:r w:rsidR="00E2390B">
        <w:rPr>
          <w:lang w:val="sr-Cyrl-RS"/>
        </w:rPr>
        <w:t>г</w:t>
      </w:r>
      <w:r w:rsidR="000F6966">
        <w:rPr>
          <w:lang w:val="sr-Cyrl-RS"/>
        </w:rPr>
        <w:t>ласник Р</w:t>
      </w:r>
      <w:r w:rsidR="00E2390B">
        <w:rPr>
          <w:lang w:val="sr-Cyrl-RS"/>
        </w:rPr>
        <w:t>С</w:t>
      </w:r>
      <w:r w:rsidR="000F6966">
        <w:rPr>
          <w:lang w:val="sr-Cyrl-RS"/>
        </w:rPr>
        <w:t>“</w:t>
      </w:r>
      <w:r w:rsidR="00CE53C3">
        <w:rPr>
          <w:lang w:val="sr-Cyrl-RS"/>
        </w:rPr>
        <w:t>, бр</w:t>
      </w:r>
      <w:r w:rsidR="00CE53C3" w:rsidRPr="00CE53C3">
        <w:rPr>
          <w:lang w:val="sr-Cyrl-RS"/>
        </w:rPr>
        <w:t>. 44/2014</w:t>
      </w:r>
      <w:r w:rsidR="00CE53C3">
        <w:rPr>
          <w:lang w:val="sr-Cyrl-RS"/>
        </w:rPr>
        <w:t>, 14/2015, 54/2015, 96/2015 - др</w:t>
      </w:r>
      <w:r w:rsidR="00F95959">
        <w:rPr>
          <w:lang w:val="sr-Cyrl-RS"/>
        </w:rPr>
        <w:t>.  и</w:t>
      </w:r>
      <w:r w:rsidR="00CE53C3" w:rsidRPr="00CE53C3">
        <w:rPr>
          <w:lang w:val="sr-Cyrl-RS"/>
        </w:rPr>
        <w:t xml:space="preserve"> 62/2017)</w:t>
      </w:r>
      <w:r w:rsidR="00B73C53">
        <w:rPr>
          <w:lang w:val="sr-Cyrl-RS"/>
        </w:rPr>
        <w:t>,</w:t>
      </w:r>
      <w:r>
        <w:rPr>
          <w:lang w:val="sr-Cyrl-RS"/>
        </w:rPr>
        <w:t xml:space="preserve"> Министарство за рад, запошљавање, борачка и социјална питања </w:t>
      </w:r>
      <w:r w:rsidR="00A01CBE">
        <w:rPr>
          <w:lang w:val="sr-Cyrl-RS"/>
        </w:rPr>
        <w:t xml:space="preserve">је </w:t>
      </w:r>
      <w:r>
        <w:rPr>
          <w:lang w:val="sr-Cyrl-RS"/>
        </w:rPr>
        <w:t>надлежно за</w:t>
      </w:r>
      <w:r w:rsidR="00DA7164">
        <w:rPr>
          <w:lang w:val="sr-Cyrl-RS"/>
        </w:rPr>
        <w:t xml:space="preserve"> послове</w:t>
      </w:r>
      <w:r w:rsidR="000F6966">
        <w:rPr>
          <w:lang w:val="sr-Cyrl-RS"/>
        </w:rPr>
        <w:t xml:space="preserve"> који се односе на равноправност полова</w:t>
      </w:r>
      <w:r w:rsidR="00D17CFD" w:rsidRPr="00D17CFD">
        <w:rPr>
          <w:lang w:val="ru-RU"/>
        </w:rPr>
        <w:t xml:space="preserve"> </w:t>
      </w:r>
      <w:r w:rsidR="00D17CFD">
        <w:rPr>
          <w:lang w:val="ru-RU"/>
        </w:rPr>
        <w:t>(у даљем тексту: Министарство)</w:t>
      </w:r>
      <w:r w:rsidR="000F6966">
        <w:rPr>
          <w:lang w:val="sr-Cyrl-RS"/>
        </w:rPr>
        <w:t>.</w:t>
      </w:r>
      <w:r w:rsidR="00423D0B">
        <w:rPr>
          <w:lang w:val="sr-Cyrl-RS"/>
        </w:rPr>
        <w:t xml:space="preserve"> У вези са наведеним</w:t>
      </w:r>
      <w:r w:rsidR="00F95959">
        <w:rPr>
          <w:lang w:val="sr-Cyrl-RS"/>
        </w:rPr>
        <w:t>,</w:t>
      </w:r>
      <w:r w:rsidR="00D17CFD">
        <w:rPr>
          <w:lang w:val="sr-Cyrl-RS"/>
        </w:rPr>
        <w:t xml:space="preserve"> истичемо да је</w:t>
      </w:r>
      <w:r w:rsidR="00423D0B">
        <w:rPr>
          <w:lang w:val="sr-Cyrl-RS"/>
        </w:rPr>
        <w:t xml:space="preserve"> у </w:t>
      </w:r>
      <w:r w:rsidR="00D17CFD">
        <w:rPr>
          <w:lang w:val="sr-Cyrl-RS"/>
        </w:rPr>
        <w:t>М</w:t>
      </w:r>
      <w:r>
        <w:rPr>
          <w:lang w:val="sr-Cyrl-RS"/>
        </w:rPr>
        <w:t>инистарств</w:t>
      </w:r>
      <w:r w:rsidR="009B507F">
        <w:rPr>
          <w:lang w:val="sr-Cyrl-RS"/>
        </w:rPr>
        <w:t>у</w:t>
      </w:r>
      <w:r w:rsidR="00F157CC">
        <w:rPr>
          <w:lang w:val="sr-Cyrl-RS"/>
        </w:rPr>
        <w:t xml:space="preserve"> 1.</w:t>
      </w:r>
      <w:r w:rsidR="00E2390B">
        <w:rPr>
          <w:lang w:val="sr-Cyrl-RS"/>
        </w:rPr>
        <w:t xml:space="preserve"> јул</w:t>
      </w:r>
      <w:r w:rsidR="00F157CC">
        <w:rPr>
          <w:lang w:val="sr-Cyrl-RS"/>
        </w:rPr>
        <w:t>а</w:t>
      </w:r>
      <w:r w:rsidR="00DA7164">
        <w:rPr>
          <w:lang w:val="sr-Cyrl-RS"/>
        </w:rPr>
        <w:t xml:space="preserve"> 2017</w:t>
      </w:r>
      <w:r w:rsidR="00CE53C3">
        <w:rPr>
          <w:lang w:val="sr-Cyrl-RS"/>
        </w:rPr>
        <w:t>.</w:t>
      </w:r>
      <w:r w:rsidR="00DA7164">
        <w:rPr>
          <w:lang w:val="sr-Cyrl-RS"/>
        </w:rPr>
        <w:t xml:space="preserve"> годин</w:t>
      </w:r>
      <w:r w:rsidR="00E2390B">
        <w:rPr>
          <w:lang w:val="sr-Cyrl-RS"/>
        </w:rPr>
        <w:t>е</w:t>
      </w:r>
      <w:r w:rsidR="00F95959">
        <w:rPr>
          <w:lang w:val="sr-Cyrl-RS"/>
        </w:rPr>
        <w:t xml:space="preserve"> о</w:t>
      </w:r>
      <w:r w:rsidR="00E2390B">
        <w:rPr>
          <w:lang w:val="sr-Cyrl-RS"/>
        </w:rPr>
        <w:t>бразован</w:t>
      </w:r>
      <w:r w:rsidR="00F95959">
        <w:rPr>
          <w:lang w:val="sr-Cyrl-RS"/>
        </w:rPr>
        <w:t xml:space="preserve"> </w:t>
      </w:r>
      <w:r>
        <w:rPr>
          <w:lang w:val="sr-Cyrl-RS"/>
        </w:rPr>
        <w:t xml:space="preserve">Сектор за антидискриминациону политику и унапређење родне равноправности </w:t>
      </w:r>
      <w:r w:rsidR="00423D0B">
        <w:rPr>
          <w:lang w:val="sr-Cyrl-RS"/>
        </w:rPr>
        <w:t xml:space="preserve">у </w:t>
      </w:r>
      <w:r w:rsidR="00D17CFD">
        <w:rPr>
          <w:lang w:val="sr-Cyrl-RS"/>
        </w:rPr>
        <w:t>чијем се непосредном</w:t>
      </w:r>
      <w:r w:rsidR="00423D0B">
        <w:rPr>
          <w:lang w:val="sr-Cyrl-RS"/>
        </w:rPr>
        <w:t xml:space="preserve"> делокругу</w:t>
      </w:r>
      <w:r w:rsidR="00B73C53">
        <w:rPr>
          <w:lang w:val="sr-Cyrl-RS"/>
        </w:rPr>
        <w:t xml:space="preserve"> </w:t>
      </w:r>
      <w:r w:rsidR="00D17CFD">
        <w:rPr>
          <w:lang w:val="sr-Cyrl-RS"/>
        </w:rPr>
        <w:t xml:space="preserve">рада, почевши </w:t>
      </w:r>
      <w:r w:rsidR="00A01CBE">
        <w:rPr>
          <w:lang w:val="sr-Cyrl-RS"/>
        </w:rPr>
        <w:t>од наведеног периода</w:t>
      </w:r>
      <w:r w:rsidR="00D17CFD">
        <w:rPr>
          <w:lang w:val="sr-Cyrl-RS"/>
        </w:rPr>
        <w:t>,</w:t>
      </w:r>
      <w:r w:rsidR="00A01CBE">
        <w:rPr>
          <w:lang w:val="sr-Cyrl-RS"/>
        </w:rPr>
        <w:t xml:space="preserve"> налази и</w:t>
      </w:r>
      <w:r w:rsidR="00E2390B">
        <w:rPr>
          <w:lang w:val="sr-Cyrl-RS"/>
        </w:rPr>
        <w:t xml:space="preserve"> праћење примене </w:t>
      </w:r>
      <w:r w:rsidR="00E2390B" w:rsidRPr="004974A0">
        <w:rPr>
          <w:i/>
          <w:lang w:val="sr-Cyrl-RS"/>
        </w:rPr>
        <w:t>Закона о равноправности полова</w:t>
      </w:r>
      <w:r w:rsidR="00E2390B">
        <w:rPr>
          <w:lang w:val="sr-Cyrl-RS"/>
        </w:rPr>
        <w:t>, у складу са п</w:t>
      </w:r>
      <w:r w:rsidR="00B73C53">
        <w:rPr>
          <w:lang w:val="sr-Cyrl-RS"/>
        </w:rPr>
        <w:t>олитиком Владе Републике Србије.</w:t>
      </w:r>
    </w:p>
    <w:p w:rsidR="00EB1E72" w:rsidRDefault="007629E9" w:rsidP="005B578B">
      <w:pPr>
        <w:spacing w:before="60"/>
        <w:ind w:firstLine="720"/>
        <w:jc w:val="both"/>
        <w:rPr>
          <w:lang w:val="sr-Cyrl-RS"/>
        </w:rPr>
      </w:pPr>
      <w:r w:rsidRPr="001C2128">
        <w:rPr>
          <w:i/>
          <w:lang w:val="sr-Cyrl-RS"/>
        </w:rPr>
        <w:t>Закон о равноправности полова</w:t>
      </w:r>
      <w:r w:rsidR="00E85625">
        <w:rPr>
          <w:lang w:val="sr-Cyrl-RS"/>
        </w:rPr>
        <w:t xml:space="preserve"> </w:t>
      </w:r>
      <w:r w:rsidR="003B42F2">
        <w:rPr>
          <w:lang w:val="sr-Cyrl-RS"/>
        </w:rPr>
        <w:t>у члану 52.</w:t>
      </w:r>
      <w:r>
        <w:rPr>
          <w:lang w:val="sr-Cyrl-RS"/>
        </w:rPr>
        <w:t xml:space="preserve"> </w:t>
      </w:r>
      <w:r w:rsidR="00F5178C">
        <w:rPr>
          <w:lang w:val="sr-Cyrl-RS"/>
        </w:rPr>
        <w:t xml:space="preserve">став 2. </w:t>
      </w:r>
      <w:r>
        <w:rPr>
          <w:lang w:val="sr-Cyrl-RS"/>
        </w:rPr>
        <w:t>предвиђа да</w:t>
      </w:r>
      <w:r w:rsidR="00466843">
        <w:rPr>
          <w:lang w:val="sr-Cyrl-RS"/>
        </w:rPr>
        <w:t>:</w:t>
      </w:r>
      <w:r>
        <w:rPr>
          <w:lang w:val="sr-Cyrl-RS"/>
        </w:rPr>
        <w:t xml:space="preserve"> </w:t>
      </w:r>
      <w:r w:rsidR="006F19F7">
        <w:rPr>
          <w:lang w:val="sr-Cyrl-RS"/>
        </w:rPr>
        <w:t>„</w:t>
      </w:r>
      <w:r>
        <w:rPr>
          <w:lang w:val="sr-Cyrl-RS"/>
        </w:rPr>
        <w:t>Министарство надлежно за послове равноправности полова подноси најмање једном годишње извештај о стању заштите и унапређења равноправности полова Влади и надлежном одбор</w:t>
      </w:r>
      <w:r w:rsidR="00356F83">
        <w:rPr>
          <w:lang w:val="sr-Cyrl-RS"/>
        </w:rPr>
        <w:t>у Народ</w:t>
      </w:r>
      <w:r w:rsidR="00423D0B">
        <w:rPr>
          <w:lang w:val="sr-Cyrl-RS"/>
        </w:rPr>
        <w:t>не ску</w:t>
      </w:r>
      <w:r w:rsidR="00A0255F">
        <w:rPr>
          <w:lang w:val="sr-Cyrl-RS"/>
        </w:rPr>
        <w:t>п</w:t>
      </w:r>
      <w:r w:rsidR="00423D0B">
        <w:rPr>
          <w:lang w:val="sr-Cyrl-RS"/>
        </w:rPr>
        <w:t>штине</w:t>
      </w:r>
      <w:r w:rsidR="006F19F7">
        <w:rPr>
          <w:lang w:val="sr-Cyrl-RS"/>
        </w:rPr>
        <w:t>“</w:t>
      </w:r>
      <w:r w:rsidR="00423D0B">
        <w:rPr>
          <w:lang w:val="sr-Cyrl-RS"/>
        </w:rPr>
        <w:t xml:space="preserve">. </w:t>
      </w:r>
      <w:r w:rsidR="001C2128">
        <w:rPr>
          <w:lang w:val="sr-Cyrl-RS"/>
        </w:rPr>
        <w:t xml:space="preserve">Имајући у виду </w:t>
      </w:r>
      <w:r w:rsidR="00A01CBE">
        <w:rPr>
          <w:lang w:val="sr-Cyrl-RS"/>
        </w:rPr>
        <w:t xml:space="preserve">наведено, </w:t>
      </w:r>
      <w:r w:rsidR="00D17CFD">
        <w:rPr>
          <w:lang w:val="sr-Cyrl-RS"/>
        </w:rPr>
        <w:t>ресорно Министарство</w:t>
      </w:r>
      <w:r w:rsidR="00423D0B">
        <w:rPr>
          <w:lang w:val="sr-Cyrl-RS"/>
        </w:rPr>
        <w:t xml:space="preserve"> је</w:t>
      </w:r>
      <w:r w:rsidR="00B352B0">
        <w:rPr>
          <w:lang w:val="sr-Cyrl-RS"/>
        </w:rPr>
        <w:t xml:space="preserve"> свим релевант</w:t>
      </w:r>
      <w:r w:rsidR="00356F83">
        <w:rPr>
          <w:lang w:val="sr-Cyrl-RS"/>
        </w:rPr>
        <w:t>им институцијама упути</w:t>
      </w:r>
      <w:r w:rsidR="004974A0">
        <w:rPr>
          <w:lang w:val="sr-Cyrl-RS"/>
        </w:rPr>
        <w:t>л</w:t>
      </w:r>
      <w:r w:rsidR="00356F83">
        <w:rPr>
          <w:lang w:val="sr-Cyrl-RS"/>
        </w:rPr>
        <w:t>о</w:t>
      </w:r>
      <w:r>
        <w:rPr>
          <w:lang w:val="sr-Cyrl-RS"/>
        </w:rPr>
        <w:t xml:space="preserve"> молбу</w:t>
      </w:r>
      <w:r w:rsidR="00E2390B">
        <w:rPr>
          <w:lang w:val="sr-Cyrl-RS"/>
        </w:rPr>
        <w:t xml:space="preserve"> 11. децембра 2018. године</w:t>
      </w:r>
      <w:r>
        <w:rPr>
          <w:lang w:val="sr-Cyrl-RS"/>
        </w:rPr>
        <w:t xml:space="preserve"> за достављање подат</w:t>
      </w:r>
      <w:r w:rsidR="00423D0B">
        <w:rPr>
          <w:lang w:val="sr-Cyrl-RS"/>
        </w:rPr>
        <w:t xml:space="preserve">ака о </w:t>
      </w:r>
      <w:r w:rsidR="00356F83">
        <w:rPr>
          <w:lang w:val="sr-Cyrl-RS"/>
        </w:rPr>
        <w:t>примени</w:t>
      </w:r>
      <w:r w:rsidR="001C2128">
        <w:rPr>
          <w:lang w:val="sr-Cyrl-RS"/>
        </w:rPr>
        <w:t xml:space="preserve"> н</w:t>
      </w:r>
      <w:r w:rsidR="00D17CFD">
        <w:rPr>
          <w:lang w:val="sr-Cyrl-RS"/>
        </w:rPr>
        <w:t>аведеног</w:t>
      </w:r>
      <w:r w:rsidR="00B352B0">
        <w:rPr>
          <w:lang w:val="sr-Cyrl-RS"/>
        </w:rPr>
        <w:t xml:space="preserve"> закона</w:t>
      </w:r>
      <w:r w:rsidR="00E2390B">
        <w:rPr>
          <w:lang w:val="sr-Cyrl-RS"/>
        </w:rPr>
        <w:t xml:space="preserve"> у 2018. години</w:t>
      </w:r>
      <w:r w:rsidR="00CE62A9">
        <w:rPr>
          <w:lang w:val="sr-Cyrl-RS"/>
        </w:rPr>
        <w:t>. Циљ прикупљања</w:t>
      </w:r>
      <w:r w:rsidR="00D17CFD">
        <w:rPr>
          <w:lang w:val="sr-Cyrl-RS"/>
        </w:rPr>
        <w:t xml:space="preserve"> тражених </w:t>
      </w:r>
      <w:r w:rsidR="00B352B0">
        <w:rPr>
          <w:lang w:val="sr-Cyrl-RS"/>
        </w:rPr>
        <w:t>података је</w:t>
      </w:r>
      <w:r w:rsidR="00D62053">
        <w:rPr>
          <w:lang w:val="sr-Cyrl-RS"/>
        </w:rPr>
        <w:t xml:space="preserve"> </w:t>
      </w:r>
      <w:r w:rsidR="00D17CFD">
        <w:rPr>
          <w:lang w:val="sr-Cyrl-RS"/>
        </w:rPr>
        <w:t xml:space="preserve">био </w:t>
      </w:r>
      <w:r w:rsidR="00E2390B">
        <w:rPr>
          <w:lang w:val="sr-Cyrl-RS"/>
        </w:rPr>
        <w:t>спровођење</w:t>
      </w:r>
      <w:r w:rsidR="00D17CFD">
        <w:rPr>
          <w:lang w:val="sr-Cyrl-RS"/>
        </w:rPr>
        <w:t xml:space="preserve"> квалитативне и квантитативне</w:t>
      </w:r>
      <w:r w:rsidR="00D62053">
        <w:rPr>
          <w:lang w:val="sr-Cyrl-RS"/>
        </w:rPr>
        <w:t xml:space="preserve"> анализе</w:t>
      </w:r>
      <w:r w:rsidR="00AE0F4D">
        <w:rPr>
          <w:lang w:val="sr-Cyrl-RS"/>
        </w:rPr>
        <w:t xml:space="preserve"> </w:t>
      </w:r>
      <w:r w:rsidR="00D62053">
        <w:rPr>
          <w:lang w:val="sr-Cyrl-RS"/>
        </w:rPr>
        <w:t>у вези са</w:t>
      </w:r>
      <w:r w:rsidR="006F19F7">
        <w:rPr>
          <w:lang w:val="sr-Cyrl-RS"/>
        </w:rPr>
        <w:t xml:space="preserve"> применом</w:t>
      </w:r>
      <w:r w:rsidR="00A01CBE">
        <w:rPr>
          <w:lang w:val="sr-Cyrl-RS"/>
        </w:rPr>
        <w:t xml:space="preserve"> наведеног</w:t>
      </w:r>
      <w:r w:rsidR="00B352B0">
        <w:rPr>
          <w:lang w:val="sr-Cyrl-RS"/>
        </w:rPr>
        <w:t xml:space="preserve"> закона</w:t>
      </w:r>
      <w:r w:rsidR="00CE62A9">
        <w:rPr>
          <w:lang w:val="sr-Cyrl-RS"/>
        </w:rPr>
        <w:t xml:space="preserve"> у 2018. години</w:t>
      </w:r>
      <w:r w:rsidR="00EB1E72">
        <w:rPr>
          <w:lang w:val="sr-Cyrl-RS"/>
        </w:rPr>
        <w:t xml:space="preserve"> и сачињавањ</w:t>
      </w:r>
      <w:r w:rsidR="00D17CFD">
        <w:rPr>
          <w:lang w:val="sr-Cyrl-RS"/>
        </w:rPr>
        <w:t>е</w:t>
      </w:r>
      <w:r w:rsidR="00EB1E72">
        <w:rPr>
          <w:lang w:val="sr-Cyrl-RS"/>
        </w:rPr>
        <w:t xml:space="preserve"> предвиђеног извештаја.</w:t>
      </w:r>
      <w:r w:rsidR="00AE0F4D">
        <w:rPr>
          <w:lang w:val="sr-Cyrl-RS"/>
        </w:rPr>
        <w:t xml:space="preserve"> </w:t>
      </w:r>
      <w:r w:rsidR="00EB1E72">
        <w:rPr>
          <w:lang w:val="sr-Cyrl-RS"/>
        </w:rPr>
        <w:t>Н</w:t>
      </w:r>
      <w:r w:rsidR="00AE0F4D">
        <w:rPr>
          <w:lang w:val="sr-Cyrl-RS"/>
        </w:rPr>
        <w:t xml:space="preserve">а основу </w:t>
      </w:r>
      <w:r w:rsidR="00253858">
        <w:rPr>
          <w:lang w:val="sr-Cyrl-RS"/>
        </w:rPr>
        <w:t>достављених 472</w:t>
      </w:r>
      <w:r w:rsidR="00033A2E">
        <w:rPr>
          <w:lang w:val="sr-Cyrl-RS"/>
        </w:rPr>
        <w:t xml:space="preserve"> извештаја из надлежних органа државне управе</w:t>
      </w:r>
      <w:r w:rsidR="006168D2">
        <w:rPr>
          <w:lang w:val="sr-Cyrl-RS"/>
        </w:rPr>
        <w:t xml:space="preserve"> и локалне самоуправе</w:t>
      </w:r>
      <w:r w:rsidR="00EB1E72">
        <w:rPr>
          <w:lang w:val="sr-Cyrl-RS"/>
        </w:rPr>
        <w:t>,</w:t>
      </w:r>
      <w:r w:rsidR="00033A2E">
        <w:rPr>
          <w:lang w:val="sr-Cyrl-RS"/>
        </w:rPr>
        <w:t xml:space="preserve"> основних и виших судова, </w:t>
      </w:r>
      <w:r w:rsidR="006168D2">
        <w:rPr>
          <w:lang w:val="sr-Cyrl-RS"/>
        </w:rPr>
        <w:t xml:space="preserve">Републичког завода за социјалну заштиту, Агенције за привредне регистре, </w:t>
      </w:r>
      <w:r w:rsidR="00253858">
        <w:rPr>
          <w:lang w:val="sr-Cyrl-RS"/>
        </w:rPr>
        <w:t>Покрајинск</w:t>
      </w:r>
      <w:r w:rsidR="00494103">
        <w:rPr>
          <w:lang w:val="sr-Cyrl-RS"/>
        </w:rPr>
        <w:t>ог</w:t>
      </w:r>
      <w:r w:rsidR="00253858">
        <w:rPr>
          <w:lang w:val="sr-Cyrl-RS"/>
        </w:rPr>
        <w:t xml:space="preserve"> секр</w:t>
      </w:r>
      <w:r w:rsidR="00494103">
        <w:rPr>
          <w:lang w:val="sr-Cyrl-RS"/>
        </w:rPr>
        <w:t>е</w:t>
      </w:r>
      <w:r w:rsidR="00253858">
        <w:rPr>
          <w:lang w:val="sr-Cyrl-RS"/>
        </w:rPr>
        <w:t>таријат</w:t>
      </w:r>
      <w:r w:rsidR="00494103">
        <w:rPr>
          <w:lang w:val="sr-Cyrl-RS"/>
        </w:rPr>
        <w:t>а</w:t>
      </w:r>
      <w:r w:rsidR="00253858">
        <w:rPr>
          <w:lang w:val="sr-Cyrl-RS"/>
        </w:rPr>
        <w:t xml:space="preserve"> за</w:t>
      </w:r>
      <w:r w:rsidR="00253858" w:rsidRPr="00344571">
        <w:rPr>
          <w:lang w:val="sr-Cyrl-RS"/>
        </w:rPr>
        <w:t xml:space="preserve"> социјалну политику, демографију и равноправност</w:t>
      </w:r>
      <w:r w:rsidR="00253858">
        <w:rPr>
          <w:lang w:val="sr-Cyrl-RS"/>
        </w:rPr>
        <w:t xml:space="preserve">, </w:t>
      </w:r>
      <w:r w:rsidR="00253858" w:rsidRPr="00026514">
        <w:rPr>
          <w:lang w:val="sr-Cyrl-RS"/>
        </w:rPr>
        <w:t>Покрајинск</w:t>
      </w:r>
      <w:r w:rsidR="00494103">
        <w:rPr>
          <w:lang w:val="sr-Cyrl-RS"/>
        </w:rPr>
        <w:t>ог</w:t>
      </w:r>
      <w:r w:rsidR="00253858" w:rsidRPr="00026514">
        <w:rPr>
          <w:lang w:val="sr-Cyrl-RS"/>
        </w:rPr>
        <w:t xml:space="preserve"> секретаријат</w:t>
      </w:r>
      <w:r w:rsidR="00494103">
        <w:rPr>
          <w:lang w:val="sr-Cyrl-RS"/>
        </w:rPr>
        <w:t>а</w:t>
      </w:r>
      <w:r w:rsidR="00253858" w:rsidRPr="00026514">
        <w:rPr>
          <w:lang w:val="sr-Cyrl-RS"/>
        </w:rPr>
        <w:t xml:space="preserve"> за привреду, запошљавање и равноправност полова</w:t>
      </w:r>
      <w:r w:rsidR="00253858">
        <w:rPr>
          <w:lang w:val="sr-Cyrl-RS"/>
        </w:rPr>
        <w:t>,</w:t>
      </w:r>
      <w:r w:rsidR="00253858" w:rsidRPr="00026514">
        <w:rPr>
          <w:lang w:val="sr-Cyrl-RS"/>
        </w:rPr>
        <w:t xml:space="preserve"> </w:t>
      </w:r>
      <w:r w:rsidR="00494103">
        <w:rPr>
          <w:lang w:val="sr-Cyrl-RS"/>
        </w:rPr>
        <w:t>Покрајинског</w:t>
      </w:r>
      <w:r w:rsidR="00494103" w:rsidRPr="00EA425E">
        <w:rPr>
          <w:lang w:val="sr-Cyrl-RS"/>
        </w:rPr>
        <w:t xml:space="preserve"> завод</w:t>
      </w:r>
      <w:r w:rsidR="00494103">
        <w:rPr>
          <w:lang w:val="sr-Cyrl-RS"/>
        </w:rPr>
        <w:t>а</w:t>
      </w:r>
      <w:r w:rsidR="00494103" w:rsidRPr="00EA425E">
        <w:rPr>
          <w:lang w:val="sr-Cyrl-RS"/>
        </w:rPr>
        <w:t xml:space="preserve"> за равноправност полова</w:t>
      </w:r>
      <w:r w:rsidR="00494103">
        <w:rPr>
          <w:lang w:val="sr-Cyrl-RS"/>
        </w:rPr>
        <w:t xml:space="preserve">, </w:t>
      </w:r>
      <w:r w:rsidR="00466843">
        <w:rPr>
          <w:lang w:val="sr-Cyrl-RS"/>
        </w:rPr>
        <w:t xml:space="preserve">правосудних органа, </w:t>
      </w:r>
      <w:r w:rsidR="00033A2E">
        <w:rPr>
          <w:lang w:val="sr-Cyrl-RS"/>
        </w:rPr>
        <w:t xml:space="preserve">образовних </w:t>
      </w:r>
      <w:r w:rsidR="006168D2">
        <w:rPr>
          <w:lang w:val="sr-Cyrl-RS"/>
        </w:rPr>
        <w:t xml:space="preserve">и спортских </w:t>
      </w:r>
      <w:r w:rsidR="00033A2E">
        <w:rPr>
          <w:lang w:val="sr-Cyrl-RS"/>
        </w:rPr>
        <w:t xml:space="preserve">институција и привредних </w:t>
      </w:r>
      <w:r w:rsidR="00033A2E">
        <w:rPr>
          <w:lang w:val="sr-Cyrl-RS"/>
        </w:rPr>
        <w:lastRenderedPageBreak/>
        <w:t xml:space="preserve">субјеката, сачињен </w:t>
      </w:r>
      <w:r w:rsidR="00EB1E72">
        <w:rPr>
          <w:lang w:val="sr-Cyrl-RS"/>
        </w:rPr>
        <w:t xml:space="preserve">је </w:t>
      </w:r>
      <w:r w:rsidR="006F19F7" w:rsidRPr="00494103">
        <w:rPr>
          <w:i/>
          <w:lang w:val="sr-Cyrl-RS"/>
        </w:rPr>
        <w:t>И</w:t>
      </w:r>
      <w:r w:rsidR="00D62053" w:rsidRPr="00494103">
        <w:rPr>
          <w:i/>
          <w:lang w:val="sr-Cyrl-RS"/>
        </w:rPr>
        <w:t>звештај</w:t>
      </w:r>
      <w:r w:rsidR="006F19F7" w:rsidRPr="00494103">
        <w:rPr>
          <w:i/>
          <w:lang w:val="sr-Cyrl-RS"/>
        </w:rPr>
        <w:t xml:space="preserve"> о стању заштите и равноправно</w:t>
      </w:r>
      <w:bookmarkStart w:id="0" w:name="_GoBack"/>
      <w:bookmarkEnd w:id="0"/>
      <w:r w:rsidR="006F19F7" w:rsidRPr="00494103">
        <w:rPr>
          <w:i/>
          <w:lang w:val="sr-Cyrl-RS"/>
        </w:rPr>
        <w:t>сти полова у 2018. години</w:t>
      </w:r>
      <w:r w:rsidR="00EB1E72">
        <w:rPr>
          <w:lang w:val="sr-Cyrl-RS"/>
        </w:rPr>
        <w:t xml:space="preserve"> (у даљем тексту: Извештај), који садржи</w:t>
      </w:r>
      <w:r w:rsidR="00494103">
        <w:rPr>
          <w:lang w:val="sr-Cyrl-RS"/>
        </w:rPr>
        <w:t xml:space="preserve"> анализу</w:t>
      </w:r>
      <w:r w:rsidR="009B507F">
        <w:rPr>
          <w:lang w:val="sr-Cyrl-RS"/>
        </w:rPr>
        <w:t xml:space="preserve"> изазова, али и решења</w:t>
      </w:r>
      <w:r w:rsidR="00EB1E72">
        <w:rPr>
          <w:lang w:val="sr-Cyrl-RS"/>
        </w:rPr>
        <w:t xml:space="preserve"> и</w:t>
      </w:r>
      <w:r w:rsidR="006F19F7">
        <w:rPr>
          <w:lang w:val="sr-Cyrl-RS"/>
        </w:rPr>
        <w:t xml:space="preserve"> препоруке за унапређење стања у друштву у наредном периоду по овом питању. </w:t>
      </w:r>
    </w:p>
    <w:p w:rsidR="00A01CBE" w:rsidRDefault="00A01CBE" w:rsidP="005B578B">
      <w:pPr>
        <w:spacing w:before="60"/>
        <w:jc w:val="both"/>
        <w:rPr>
          <w:b/>
          <w:lang w:val="sr-Latn-RS"/>
        </w:rPr>
      </w:pPr>
    </w:p>
    <w:p w:rsidR="00C435AE" w:rsidRDefault="00C435AE" w:rsidP="005B578B">
      <w:pPr>
        <w:pStyle w:val="BodyText2"/>
        <w:spacing w:before="60"/>
        <w:ind w:firstLine="1276"/>
        <w:rPr>
          <w:b/>
          <w:lang w:val="sr-Cyrl-RS"/>
        </w:rPr>
      </w:pPr>
      <w:r w:rsidRPr="00C82D01">
        <w:rPr>
          <w:b/>
          <w:lang w:val="sr-Latn-RS"/>
        </w:rPr>
        <w:t>I</w:t>
      </w:r>
      <w:r w:rsidR="00C82D01" w:rsidRPr="00C82D01">
        <w:rPr>
          <w:b/>
          <w:lang w:val="sr-Cyrl-RS"/>
        </w:rPr>
        <w:t xml:space="preserve"> ЈЕДНАКЕ МОГУЋНОСТИ И РАВНОПРАВНОСТ ПОЛОВА</w:t>
      </w:r>
    </w:p>
    <w:p w:rsidR="00EB1E72" w:rsidRDefault="00EB1E72" w:rsidP="005B578B">
      <w:pPr>
        <w:pStyle w:val="BodyText2"/>
        <w:spacing w:before="60"/>
        <w:rPr>
          <w:lang w:val="sr-Cyrl-RS"/>
        </w:rPr>
      </w:pPr>
    </w:p>
    <w:p w:rsidR="00D436CF" w:rsidRDefault="000B2923" w:rsidP="005B578B">
      <w:pPr>
        <w:pStyle w:val="BodyText2"/>
        <w:spacing w:before="60"/>
        <w:ind w:firstLine="720"/>
        <w:rPr>
          <w:rFonts w:eastAsiaTheme="minorHAnsi"/>
          <w:color w:val="000000"/>
          <w:shd w:val="clear" w:color="auto" w:fill="FFFFFF"/>
          <w:lang w:val="sr-Cyrl-RS" w:eastAsia="sr-Cyrl-CS"/>
        </w:rPr>
      </w:pPr>
      <w:r>
        <w:rPr>
          <w:lang w:val="sr-Cyrl-RS"/>
        </w:rPr>
        <w:t xml:space="preserve">На основу добијених података </w:t>
      </w:r>
      <w:r w:rsidR="00EB1E72">
        <w:rPr>
          <w:lang w:val="sr-Cyrl-RS"/>
        </w:rPr>
        <w:t xml:space="preserve">о примени </w:t>
      </w:r>
      <w:r w:rsidRPr="00EB1E72">
        <w:rPr>
          <w:i/>
          <w:lang w:val="sr-Cyrl-RS"/>
        </w:rPr>
        <w:t>Закона о равно</w:t>
      </w:r>
      <w:r w:rsidR="00423D0B" w:rsidRPr="00EB1E72">
        <w:rPr>
          <w:i/>
          <w:lang w:val="sr-Cyrl-RS"/>
        </w:rPr>
        <w:t>правности полова</w:t>
      </w:r>
      <w:r w:rsidR="00423D0B">
        <w:rPr>
          <w:lang w:val="sr-Cyrl-RS"/>
        </w:rPr>
        <w:t xml:space="preserve"> </w:t>
      </w:r>
      <w:r w:rsidR="000F1892">
        <w:rPr>
          <w:lang w:val="sr-Cyrl-RS"/>
        </w:rPr>
        <w:t>(у даљем тексту: з</w:t>
      </w:r>
      <w:r w:rsidR="00F53104">
        <w:rPr>
          <w:lang w:val="sr-Cyrl-RS"/>
        </w:rPr>
        <w:t xml:space="preserve">акон) </w:t>
      </w:r>
      <w:r w:rsidR="00EB1E72">
        <w:rPr>
          <w:lang w:val="sr-Cyrl-RS"/>
        </w:rPr>
        <w:t xml:space="preserve">може се закључити да је доношењем </w:t>
      </w:r>
      <w:r w:rsidR="00B45E8D">
        <w:rPr>
          <w:lang w:val="sr-Cyrl-RS"/>
        </w:rPr>
        <w:t>овог з</w:t>
      </w:r>
      <w:r w:rsidR="00D326F4">
        <w:rPr>
          <w:lang w:val="sr-Cyrl-RS"/>
        </w:rPr>
        <w:t xml:space="preserve">акона </w:t>
      </w:r>
      <w:r w:rsidR="00A01CBE">
        <w:rPr>
          <w:lang w:val="sr-Cyrl-RS"/>
        </w:rPr>
        <w:t>у оквиру</w:t>
      </w:r>
      <w:r w:rsidR="00D326F4">
        <w:rPr>
          <w:lang w:val="sr-Cyrl-RS"/>
        </w:rPr>
        <w:t xml:space="preserve"> тзв. сета антидискриминационих закона у Републици </w:t>
      </w:r>
      <w:r w:rsidR="00F53104">
        <w:rPr>
          <w:lang w:val="sr-Cyrl-RS"/>
        </w:rPr>
        <w:t>С</w:t>
      </w:r>
      <w:r w:rsidR="00D326F4">
        <w:rPr>
          <w:lang w:val="sr-Cyrl-RS"/>
        </w:rPr>
        <w:t xml:space="preserve">рбији </w:t>
      </w:r>
      <w:r w:rsidR="00C77224">
        <w:rPr>
          <w:lang w:val="sr-Cyrl-RS"/>
        </w:rPr>
        <w:t xml:space="preserve">у периоду од 2009. до 2017. године </w:t>
      </w:r>
      <w:r w:rsidR="00423D0B">
        <w:rPr>
          <w:lang w:val="sr-Cyrl-RS"/>
        </w:rPr>
        <w:t>начињен</w:t>
      </w:r>
      <w:r>
        <w:rPr>
          <w:lang w:val="sr-Cyrl-RS"/>
        </w:rPr>
        <w:t xml:space="preserve"> значајан помак </w:t>
      </w:r>
      <w:r w:rsidR="00B45E8D">
        <w:rPr>
          <w:lang w:val="sr-Cyrl-RS"/>
        </w:rPr>
        <w:t xml:space="preserve">у демократизацији друштва јер су ти закони </w:t>
      </w:r>
      <w:r w:rsidR="00B45E8D">
        <w:rPr>
          <w:rFonts w:eastAsiaTheme="minorHAnsi"/>
          <w:color w:val="000000"/>
          <w:shd w:val="clear" w:color="auto" w:fill="FFFFFF"/>
          <w:lang w:val="sr-Cyrl-RS" w:eastAsia="sr-Cyrl-CS"/>
        </w:rPr>
        <w:t>врло прогресивни</w:t>
      </w:r>
      <w:r w:rsidR="003B792A">
        <w:rPr>
          <w:rFonts w:eastAsiaTheme="minorHAnsi"/>
          <w:color w:val="000000"/>
          <w:shd w:val="clear" w:color="auto" w:fill="FFFFFF"/>
          <w:lang w:val="sr-Cyrl-RS" w:eastAsia="sr-Cyrl-CS"/>
        </w:rPr>
        <w:t xml:space="preserve">. Поред већ поменутог </w:t>
      </w:r>
      <w:r w:rsidR="003B792A" w:rsidRPr="007815E3">
        <w:rPr>
          <w:rFonts w:eastAsiaTheme="minorHAnsi"/>
          <w:i/>
          <w:color w:val="000000"/>
          <w:shd w:val="clear" w:color="auto" w:fill="FFFFFF"/>
          <w:lang w:val="sr-Cyrl-RS" w:eastAsia="sr-Cyrl-CS"/>
        </w:rPr>
        <w:t>Закона о равноправности полова</w:t>
      </w:r>
      <w:r w:rsidR="00C77224">
        <w:rPr>
          <w:rFonts w:eastAsiaTheme="minorHAnsi"/>
          <w:color w:val="000000"/>
          <w:shd w:val="clear" w:color="auto" w:fill="FFFFFF"/>
          <w:lang w:val="sr-Cyrl-RS" w:eastAsia="sr-Cyrl-CS"/>
        </w:rPr>
        <w:t xml:space="preserve"> (2009)</w:t>
      </w:r>
      <w:r w:rsidR="003B792A">
        <w:rPr>
          <w:rFonts w:eastAsiaTheme="minorHAnsi"/>
          <w:color w:val="000000"/>
          <w:shd w:val="clear" w:color="auto" w:fill="FFFFFF"/>
          <w:lang w:val="sr-Cyrl-RS" w:eastAsia="sr-Cyrl-CS"/>
        </w:rPr>
        <w:t xml:space="preserve">, </w:t>
      </w:r>
      <w:r w:rsidR="007815E3">
        <w:rPr>
          <w:rFonts w:eastAsiaTheme="minorHAnsi"/>
          <w:color w:val="000000"/>
          <w:shd w:val="clear" w:color="auto" w:fill="FFFFFF"/>
          <w:lang w:val="sr-Cyrl-RS" w:eastAsia="sr-Cyrl-CS"/>
        </w:rPr>
        <w:t xml:space="preserve">ту спадају и </w:t>
      </w:r>
      <w:r w:rsidR="003B792A" w:rsidRPr="003B792A">
        <w:rPr>
          <w:i/>
        </w:rPr>
        <w:t>Закон о забрани дискриминације</w:t>
      </w:r>
      <w:r w:rsidR="00A4517C">
        <w:t xml:space="preserve"> </w:t>
      </w:r>
      <w:r w:rsidR="00A4517C">
        <w:rPr>
          <w:lang w:val="sr-Cyrl-RS"/>
        </w:rPr>
        <w:t>(„Службени гласник РС“ број 22/</w:t>
      </w:r>
      <w:r w:rsidR="00A4517C" w:rsidRPr="00FE30EA">
        <w:rPr>
          <w:lang w:val="sr-Cyrl-RS"/>
        </w:rPr>
        <w:t>0</w:t>
      </w:r>
      <w:r w:rsidR="00A4517C">
        <w:rPr>
          <w:lang w:val="sr-Cyrl-RS"/>
        </w:rPr>
        <w:t>9</w:t>
      </w:r>
      <w:r w:rsidR="00A4517C" w:rsidRPr="00FE30EA">
        <w:rPr>
          <w:lang w:val="sr-Cyrl-RS"/>
        </w:rPr>
        <w:t>)</w:t>
      </w:r>
      <w:r w:rsidR="00A4517C">
        <w:rPr>
          <w:lang w:val="sr-Cyrl-RS"/>
        </w:rPr>
        <w:t>,</w:t>
      </w:r>
      <w:r w:rsidR="003B792A">
        <w:t xml:space="preserve"> који</w:t>
      </w:r>
      <w:r w:rsidR="00A4517C">
        <w:rPr>
          <w:lang w:val="sr-Cyrl-RS"/>
        </w:rPr>
        <w:t xml:space="preserve"> </w:t>
      </w:r>
      <w:r w:rsidR="003B792A">
        <w:t>је ступио на снагу 1. јануар</w:t>
      </w:r>
      <w:r w:rsidR="00A4517C">
        <w:t xml:space="preserve">а 2010. године, </w:t>
      </w:r>
      <w:r w:rsidR="00FE30EA" w:rsidRPr="00FE30EA">
        <w:rPr>
          <w:i/>
          <w:lang w:val="sr-Cyrl-RS"/>
        </w:rPr>
        <w:t>Закон о спречавању злостављања на раду</w:t>
      </w:r>
      <w:r w:rsidR="00FE30EA">
        <w:rPr>
          <w:lang w:val="sr-Cyrl-RS"/>
        </w:rPr>
        <w:t xml:space="preserve"> </w:t>
      </w:r>
      <w:r w:rsidR="00FE30EA" w:rsidRPr="00FE30EA">
        <w:rPr>
          <w:lang w:val="sr-Cyrl-RS"/>
        </w:rPr>
        <w:t>(„Службени гласник РС“ број 36/10)</w:t>
      </w:r>
      <w:r w:rsidR="00FE30EA">
        <w:rPr>
          <w:i/>
          <w:lang w:val="sr-Cyrl-RS"/>
        </w:rPr>
        <w:t xml:space="preserve"> </w:t>
      </w:r>
      <w:r w:rsidR="00FE30EA" w:rsidRPr="00A4517C">
        <w:rPr>
          <w:lang w:val="sr-Cyrl-RS"/>
        </w:rPr>
        <w:t>и</w:t>
      </w:r>
      <w:r w:rsidR="00FE30EA">
        <w:rPr>
          <w:i/>
          <w:lang w:val="sr-Cyrl-RS"/>
        </w:rPr>
        <w:t xml:space="preserve"> </w:t>
      </w:r>
      <w:r w:rsidR="003B792A" w:rsidRPr="003B792A">
        <w:rPr>
          <w:i/>
        </w:rPr>
        <w:t>Закон о спречавању насиља у породици</w:t>
      </w:r>
      <w:r w:rsidR="00FE30EA">
        <w:rPr>
          <w:i/>
          <w:lang w:val="sr-Cyrl-RS"/>
        </w:rPr>
        <w:t xml:space="preserve"> </w:t>
      </w:r>
      <w:r w:rsidR="00A4517C">
        <w:rPr>
          <w:lang w:val="sr-Cyrl-RS"/>
        </w:rPr>
        <w:t>(„Службени гласник РС“ број 94</w:t>
      </w:r>
      <w:r w:rsidR="00FE30EA" w:rsidRPr="00FE30EA">
        <w:rPr>
          <w:lang w:val="sr-Cyrl-RS"/>
        </w:rPr>
        <w:t>/1</w:t>
      </w:r>
      <w:r w:rsidR="00A4517C">
        <w:rPr>
          <w:lang w:val="sr-Cyrl-RS"/>
        </w:rPr>
        <w:t>6</w:t>
      </w:r>
      <w:r w:rsidR="00FE30EA" w:rsidRPr="00FE30EA">
        <w:rPr>
          <w:lang w:val="sr-Cyrl-RS"/>
        </w:rPr>
        <w:t>)</w:t>
      </w:r>
      <w:r w:rsidR="00A01CBE">
        <w:rPr>
          <w:lang w:val="sr-Cyrl-RS"/>
        </w:rPr>
        <w:t>,</w:t>
      </w:r>
      <w:r w:rsidR="00A4517C">
        <w:rPr>
          <w:lang w:val="sr-Cyrl-RS"/>
        </w:rPr>
        <w:t xml:space="preserve"> који </w:t>
      </w:r>
      <w:r w:rsidR="003B792A">
        <w:t>је ступио на снагу 1. јуна 2017.</w:t>
      </w:r>
      <w:r w:rsidR="00A4517C">
        <w:rPr>
          <w:lang w:val="sr-Cyrl-RS"/>
        </w:rPr>
        <w:t xml:space="preserve"> године</w:t>
      </w:r>
      <w:r w:rsidR="003B792A">
        <w:rPr>
          <w:rFonts w:eastAsiaTheme="minorHAnsi"/>
          <w:color w:val="000000"/>
          <w:shd w:val="clear" w:color="auto" w:fill="FFFFFF"/>
          <w:lang w:val="sr-Cyrl-RS" w:eastAsia="sr-Cyrl-CS"/>
        </w:rPr>
        <w:t xml:space="preserve">. </w:t>
      </w:r>
    </w:p>
    <w:p w:rsidR="00D436CF" w:rsidRDefault="00D436CF" w:rsidP="005B578B">
      <w:pPr>
        <w:pStyle w:val="BodyText2"/>
        <w:spacing w:before="60"/>
        <w:ind w:firstLine="720"/>
        <w:rPr>
          <w:rFonts w:eastAsiaTheme="minorHAnsi"/>
          <w:color w:val="000000"/>
          <w:shd w:val="clear" w:color="auto" w:fill="FFFFFF"/>
          <w:lang w:val="sr-Cyrl-RS" w:eastAsia="sr-Cyrl-CS"/>
        </w:rPr>
      </w:pPr>
      <w:r>
        <w:rPr>
          <w:rFonts w:eastAsiaTheme="minorHAnsi"/>
          <w:color w:val="000000"/>
          <w:shd w:val="clear" w:color="auto" w:fill="FFFFFF"/>
          <w:lang w:val="en-US" w:eastAsia="sr-Cyrl-CS"/>
        </w:rPr>
        <w:t>K</w:t>
      </w:r>
      <w:r w:rsidR="003B792A">
        <w:rPr>
          <w:lang w:val="sr-Cyrl-RS"/>
        </w:rPr>
        <w:t>ада је у питању равноправност полова</w:t>
      </w:r>
      <w:r w:rsidRPr="00D436CF">
        <w:rPr>
          <w:lang w:val="ru-RU"/>
        </w:rPr>
        <w:t xml:space="preserve"> </w:t>
      </w:r>
      <w:r>
        <w:rPr>
          <w:lang w:val="sr-Cyrl-RS"/>
        </w:rPr>
        <w:t>треба истаћи да је</w:t>
      </w:r>
      <w:r w:rsidR="003B792A">
        <w:rPr>
          <w:rFonts w:eastAsiaTheme="minorHAnsi"/>
          <w:color w:val="000000"/>
          <w:shd w:val="clear" w:color="auto" w:fill="FFFFFF"/>
          <w:lang w:val="sr-Cyrl-RS" w:eastAsia="sr-Cyrl-CS"/>
        </w:rPr>
        <w:t xml:space="preserve"> у члану 2. став 4. </w:t>
      </w:r>
      <w:r w:rsidR="003B792A" w:rsidRPr="00C77224">
        <w:rPr>
          <w:rFonts w:eastAsiaTheme="minorHAnsi"/>
          <w:i/>
          <w:color w:val="000000"/>
          <w:shd w:val="clear" w:color="auto" w:fill="FFFFFF"/>
          <w:lang w:val="sr-Cyrl-RS" w:eastAsia="sr-Cyrl-CS"/>
        </w:rPr>
        <w:t>Закона о равноправности полова</w:t>
      </w:r>
      <w:r w:rsidR="003B792A">
        <w:rPr>
          <w:rFonts w:eastAsiaTheme="minorHAnsi"/>
          <w:color w:val="000000"/>
          <w:shd w:val="clear" w:color="auto" w:fill="FFFFFF"/>
          <w:lang w:val="sr-Cyrl-RS" w:eastAsia="sr-Cyrl-CS"/>
        </w:rPr>
        <w:t xml:space="preserve"> предвиђено: „Државни органи, органи аутономних покрајина, органи јединица локалних самоуправа, органи организација којима је поверено вршење јавних овлашћења, као и правна лица које оснива и финансира у целини, односно у претежном делу Република Србија, аутономна покрајина и локална самоуправа (у даљем тексту: органи јавне власти) дужни су да прате остваривање равноправности засноване на полу у свим областима друштвеног живота, примену међународних стандарда и Уставом за</w:t>
      </w:r>
      <w:r w:rsidR="00BE7763">
        <w:rPr>
          <w:rFonts w:eastAsiaTheme="minorHAnsi"/>
          <w:color w:val="000000"/>
          <w:shd w:val="clear" w:color="auto" w:fill="FFFFFF"/>
          <w:lang w:val="sr-Cyrl-RS" w:eastAsia="sr-Cyrl-CS"/>
        </w:rPr>
        <w:t xml:space="preserve">јемчених права у овој области.“ </w:t>
      </w:r>
    </w:p>
    <w:p w:rsidR="00BF2946" w:rsidRDefault="00B75EB9" w:rsidP="005B578B">
      <w:pPr>
        <w:pStyle w:val="BodyText2"/>
        <w:spacing w:before="60"/>
        <w:ind w:firstLine="720"/>
        <w:rPr>
          <w:rFonts w:eastAsiaTheme="minorHAnsi"/>
          <w:color w:val="000000"/>
          <w:shd w:val="clear" w:color="auto" w:fill="FFFFFF"/>
          <w:lang w:val="sr-Cyrl-RS" w:eastAsia="sr-Cyrl-CS"/>
        </w:rPr>
      </w:pPr>
      <w:r>
        <w:rPr>
          <w:rFonts w:eastAsiaTheme="minorHAnsi"/>
          <w:color w:val="000000"/>
          <w:shd w:val="clear" w:color="auto" w:fill="FFFFFF"/>
          <w:lang w:val="sr-Cyrl-RS" w:eastAsia="sr-Cyrl-CS"/>
        </w:rPr>
        <w:t xml:space="preserve">Будући да се у </w:t>
      </w:r>
      <w:r w:rsidRPr="00DC601C">
        <w:rPr>
          <w:rFonts w:eastAsiaTheme="minorHAnsi"/>
          <w:i/>
          <w:color w:val="000000"/>
          <w:shd w:val="clear" w:color="auto" w:fill="FFFFFF"/>
          <w:lang w:val="sr-Cyrl-RS" w:eastAsia="sr-Cyrl-CS"/>
        </w:rPr>
        <w:t>Закону о равноправности полова</w:t>
      </w:r>
      <w:r>
        <w:rPr>
          <w:rFonts w:eastAsiaTheme="minorHAnsi"/>
          <w:color w:val="000000"/>
          <w:shd w:val="clear" w:color="auto" w:fill="FFFFFF"/>
          <w:lang w:val="sr-Cyrl-RS" w:eastAsia="sr-Cyrl-CS"/>
        </w:rPr>
        <w:t xml:space="preserve"> разрађује </w:t>
      </w:r>
      <w:r w:rsidRPr="00DC601C">
        <w:rPr>
          <w:rFonts w:eastAsiaTheme="minorHAnsi"/>
          <w:i/>
          <w:color w:val="000000"/>
          <w:shd w:val="clear" w:color="auto" w:fill="FFFFFF"/>
          <w:lang w:val="sr-Cyrl-RS" w:eastAsia="sr-Cyrl-CS"/>
        </w:rPr>
        <w:t>Уставом</w:t>
      </w:r>
      <w:r>
        <w:rPr>
          <w:rFonts w:eastAsiaTheme="minorHAnsi"/>
          <w:color w:val="000000"/>
          <w:shd w:val="clear" w:color="auto" w:fill="FFFFFF"/>
          <w:lang w:val="sr-Cyrl-RS" w:eastAsia="sr-Cyrl-CS"/>
        </w:rPr>
        <w:t xml:space="preserve"> гарантован</w:t>
      </w:r>
      <w:r w:rsidR="00804DF1">
        <w:rPr>
          <w:rFonts w:eastAsiaTheme="minorHAnsi"/>
          <w:color w:val="000000"/>
          <w:shd w:val="clear" w:color="auto" w:fill="FFFFFF"/>
          <w:lang w:val="sr-Cyrl-RS" w:eastAsia="sr-Cyrl-CS"/>
        </w:rPr>
        <w:t>а</w:t>
      </w:r>
      <w:r>
        <w:rPr>
          <w:rFonts w:eastAsiaTheme="minorHAnsi"/>
          <w:color w:val="000000"/>
          <w:shd w:val="clear" w:color="auto" w:fill="FFFFFF"/>
          <w:lang w:val="sr-Cyrl-RS" w:eastAsia="sr-Cyrl-CS"/>
        </w:rPr>
        <w:t xml:space="preserve"> начел</w:t>
      </w:r>
      <w:r w:rsidR="00804DF1">
        <w:rPr>
          <w:rFonts w:eastAsiaTheme="minorHAnsi"/>
          <w:color w:val="000000"/>
          <w:shd w:val="clear" w:color="auto" w:fill="FFFFFF"/>
          <w:lang w:val="sr-Cyrl-RS" w:eastAsia="sr-Cyrl-CS"/>
        </w:rPr>
        <w:t>а</w:t>
      </w:r>
      <w:r>
        <w:rPr>
          <w:lang w:val="sr-Cyrl-RS"/>
        </w:rPr>
        <w:t xml:space="preserve"> равноправност</w:t>
      </w:r>
      <w:r w:rsidR="00804DF1">
        <w:rPr>
          <w:lang w:val="sr-Cyrl-RS"/>
        </w:rPr>
        <w:t>и</w:t>
      </w:r>
      <w:r>
        <w:rPr>
          <w:lang w:val="sr-Cyrl-RS"/>
        </w:rPr>
        <w:t xml:space="preserve"> мушкараца и жена и једнаких могућности</w:t>
      </w:r>
      <w:r w:rsidR="00DC601C">
        <w:rPr>
          <w:lang w:val="sr-Cyrl-RS"/>
        </w:rPr>
        <w:t>,</w:t>
      </w:r>
      <w:r>
        <w:rPr>
          <w:rFonts w:eastAsiaTheme="minorHAnsi"/>
          <w:color w:val="000000"/>
          <w:shd w:val="clear" w:color="auto" w:fill="FFFFFF"/>
          <w:lang w:val="sr-Cyrl-RS" w:eastAsia="sr-Cyrl-CS"/>
        </w:rPr>
        <w:t xml:space="preserve"> термин </w:t>
      </w:r>
      <w:r w:rsidR="00B4495E">
        <w:rPr>
          <w:rFonts w:eastAsiaTheme="minorHAnsi"/>
          <w:color w:val="000000"/>
          <w:shd w:val="clear" w:color="auto" w:fill="FFFFFF"/>
          <w:lang w:val="sr-Cyrl-RS" w:eastAsia="sr-Cyrl-CS"/>
        </w:rPr>
        <w:t>„</w:t>
      </w:r>
      <w:r w:rsidR="00DC601C">
        <w:rPr>
          <w:rFonts w:eastAsiaTheme="minorHAnsi"/>
          <w:color w:val="000000"/>
          <w:shd w:val="clear" w:color="auto" w:fill="FFFFFF"/>
          <w:lang w:val="sr-Cyrl-RS" w:eastAsia="sr-Cyrl-CS"/>
        </w:rPr>
        <w:t xml:space="preserve">политика </w:t>
      </w:r>
      <w:r w:rsidR="00B4495E">
        <w:rPr>
          <w:rFonts w:eastAsiaTheme="minorHAnsi"/>
          <w:color w:val="000000"/>
          <w:shd w:val="clear" w:color="auto" w:fill="FFFFFF"/>
          <w:lang w:val="sr-Cyrl-RS" w:eastAsia="sr-Cyrl-CS"/>
        </w:rPr>
        <w:t>ј</w:t>
      </w:r>
      <w:r w:rsidR="00B45E8D">
        <w:rPr>
          <w:rFonts w:eastAsiaTheme="minorHAnsi"/>
          <w:color w:val="000000"/>
          <w:shd w:val="clear" w:color="auto" w:fill="FFFFFF"/>
          <w:lang w:val="sr-Cyrl-RS" w:eastAsia="sr-Cyrl-CS"/>
        </w:rPr>
        <w:t xml:space="preserve">еднаке могућности“ </w:t>
      </w:r>
      <w:r w:rsidR="00804DF1">
        <w:rPr>
          <w:rFonts w:eastAsiaTheme="minorHAnsi"/>
          <w:color w:val="000000"/>
          <w:shd w:val="clear" w:color="auto" w:fill="FFFFFF"/>
          <w:lang w:val="sr-Cyrl-RS" w:eastAsia="sr-Cyrl-CS"/>
        </w:rPr>
        <w:t xml:space="preserve">се </w:t>
      </w:r>
      <w:r>
        <w:rPr>
          <w:rFonts w:eastAsiaTheme="minorHAnsi"/>
          <w:color w:val="000000"/>
          <w:shd w:val="clear" w:color="auto" w:fill="FFFFFF"/>
          <w:lang w:val="sr-Cyrl-RS" w:eastAsia="sr-Cyrl-CS"/>
        </w:rPr>
        <w:t>експлицитно</w:t>
      </w:r>
      <w:r w:rsidR="00B45E8D">
        <w:rPr>
          <w:rFonts w:eastAsiaTheme="minorHAnsi"/>
          <w:color w:val="000000"/>
          <w:shd w:val="clear" w:color="auto" w:fill="FFFFFF"/>
          <w:lang w:val="sr-Cyrl-RS" w:eastAsia="sr-Cyrl-CS"/>
        </w:rPr>
        <w:t xml:space="preserve"> </w:t>
      </w:r>
      <w:r w:rsidR="007C4C87">
        <w:rPr>
          <w:rFonts w:eastAsiaTheme="minorHAnsi"/>
          <w:color w:val="000000"/>
          <w:shd w:val="clear" w:color="auto" w:fill="FFFFFF"/>
          <w:lang w:val="sr-Cyrl-RS" w:eastAsia="sr-Cyrl-CS"/>
        </w:rPr>
        <w:t xml:space="preserve">наводи </w:t>
      </w:r>
      <w:r w:rsidR="007C4C87" w:rsidRPr="00F755D7">
        <w:rPr>
          <w:rFonts w:eastAsiaTheme="minorHAnsi"/>
          <w:color w:val="000000"/>
          <w:shd w:val="clear" w:color="auto" w:fill="FFFFFF"/>
          <w:lang w:val="sr-Cyrl-RS" w:eastAsia="sr-Cyrl-CS"/>
        </w:rPr>
        <w:t xml:space="preserve">у глави </w:t>
      </w:r>
      <w:r w:rsidR="007C4C87" w:rsidRPr="00F755D7">
        <w:rPr>
          <w:rFonts w:eastAsiaTheme="minorHAnsi"/>
          <w:color w:val="000000"/>
          <w:shd w:val="clear" w:color="auto" w:fill="FFFFFF"/>
          <w:lang w:val="en-US" w:eastAsia="sr-Cyrl-CS"/>
        </w:rPr>
        <w:t>I</w:t>
      </w:r>
      <w:r w:rsidR="00C4446A">
        <w:rPr>
          <w:rFonts w:eastAsiaTheme="minorHAnsi"/>
          <w:color w:val="000000"/>
          <w:shd w:val="clear" w:color="auto" w:fill="FFFFFF"/>
          <w:lang w:val="sr-Cyrl-RS" w:eastAsia="sr-Cyrl-CS"/>
        </w:rPr>
        <w:t xml:space="preserve"> </w:t>
      </w:r>
      <w:r w:rsidR="00DC601C">
        <w:rPr>
          <w:rFonts w:eastAsiaTheme="minorHAnsi"/>
          <w:color w:val="000000"/>
          <w:shd w:val="clear" w:color="auto" w:fill="FFFFFF"/>
          <w:lang w:val="sr-Cyrl-RS" w:eastAsia="sr-Cyrl-CS"/>
        </w:rPr>
        <w:t xml:space="preserve">Основне одредбе, у члану 3. став 1. у којем се </w:t>
      </w:r>
      <w:r w:rsidR="00A54772">
        <w:rPr>
          <w:rFonts w:eastAsiaTheme="minorHAnsi"/>
          <w:color w:val="000000"/>
          <w:shd w:val="clear" w:color="auto" w:fill="FFFFFF"/>
          <w:lang w:val="sr-Cyrl-RS" w:eastAsia="sr-Cyrl-CS"/>
        </w:rPr>
        <w:t>прецизира</w:t>
      </w:r>
      <w:r w:rsidR="00DC601C">
        <w:rPr>
          <w:rFonts w:eastAsiaTheme="minorHAnsi"/>
          <w:color w:val="000000"/>
          <w:shd w:val="clear" w:color="auto" w:fill="FFFFFF"/>
          <w:lang w:val="sr-Cyrl-RS" w:eastAsia="sr-Cyrl-CS"/>
        </w:rPr>
        <w:t xml:space="preserve"> да</w:t>
      </w:r>
      <w:r w:rsidR="004974A0">
        <w:rPr>
          <w:rFonts w:eastAsiaTheme="minorHAnsi"/>
          <w:color w:val="000000"/>
          <w:shd w:val="clear" w:color="auto" w:fill="FFFFFF"/>
          <w:lang w:val="sr-Cyrl-RS" w:eastAsia="sr-Cyrl-CS"/>
        </w:rPr>
        <w:t>:</w:t>
      </w:r>
      <w:r w:rsidR="00DC601C">
        <w:rPr>
          <w:rFonts w:eastAsiaTheme="minorHAnsi"/>
          <w:color w:val="000000"/>
          <w:shd w:val="clear" w:color="auto" w:fill="FFFFFF"/>
          <w:lang w:val="sr-Cyrl-RS" w:eastAsia="sr-Cyrl-CS"/>
        </w:rPr>
        <w:t xml:space="preserve"> „Органи јавне власти развијају активну политику једнаких могућности у свим областима друштвеног живота.“ У ставу 2. истог члана се прецизира да „Политика једнаких могућности подразумева равноправно учешће полова у свим фазама планирања, доношења и спровођења одлука од утицаја на положај жена и мушкараца.</w:t>
      </w:r>
      <w:r w:rsidR="00BF2946">
        <w:rPr>
          <w:rFonts w:eastAsiaTheme="minorHAnsi"/>
          <w:color w:val="000000"/>
          <w:shd w:val="clear" w:color="auto" w:fill="FFFFFF"/>
          <w:lang w:val="sr-Cyrl-RS" w:eastAsia="sr-Cyrl-CS"/>
        </w:rPr>
        <w:t>“ Међутим, садржина закона се надаље не односи</w:t>
      </w:r>
      <w:r w:rsidR="00DC601C">
        <w:rPr>
          <w:rFonts w:eastAsiaTheme="minorHAnsi"/>
          <w:color w:val="000000"/>
          <w:shd w:val="clear" w:color="auto" w:fill="FFFFFF"/>
          <w:lang w:val="sr-Cyrl-RS" w:eastAsia="sr-Cyrl-CS"/>
        </w:rPr>
        <w:t xml:space="preserve"> </w:t>
      </w:r>
      <w:r w:rsidR="00BF2946">
        <w:rPr>
          <w:rFonts w:eastAsiaTheme="minorHAnsi"/>
          <w:color w:val="000000"/>
          <w:shd w:val="clear" w:color="auto" w:fill="FFFFFF"/>
          <w:lang w:val="sr-Cyrl-RS" w:eastAsia="sr-Cyrl-CS"/>
        </w:rPr>
        <w:t>на све области друштвеног живота (већ само на приоритетне</w:t>
      </w:r>
      <w:r w:rsidR="00C4446A">
        <w:rPr>
          <w:rFonts w:eastAsiaTheme="minorHAnsi"/>
          <w:color w:val="000000"/>
          <w:shd w:val="clear" w:color="auto" w:fill="FFFFFF"/>
          <w:lang w:val="sr-Cyrl-RS" w:eastAsia="sr-Cyrl-CS"/>
        </w:rPr>
        <w:t>,</w:t>
      </w:r>
      <w:r w:rsidR="00BF2946">
        <w:rPr>
          <w:rFonts w:eastAsiaTheme="minorHAnsi"/>
          <w:color w:val="000000"/>
          <w:shd w:val="clear" w:color="auto" w:fill="FFFFFF"/>
          <w:lang w:val="sr-Cyrl-RS" w:eastAsia="sr-Cyrl-CS"/>
        </w:rPr>
        <w:t xml:space="preserve"> у које спадају: </w:t>
      </w:r>
      <w:r w:rsidR="00BF2946">
        <w:rPr>
          <w:lang w:val="sr-Cyrl-RS"/>
        </w:rPr>
        <w:t>рад и запошљавање, социјална и здравстве</w:t>
      </w:r>
      <w:r w:rsidR="00BF2946" w:rsidRPr="00844814">
        <w:rPr>
          <w:lang w:val="sr-Cyrl-RS"/>
        </w:rPr>
        <w:t>н</w:t>
      </w:r>
      <w:r w:rsidR="00BF2946">
        <w:rPr>
          <w:lang w:val="sr-Cyrl-RS"/>
        </w:rPr>
        <w:t>а</w:t>
      </w:r>
      <w:r w:rsidR="00BF2946" w:rsidRPr="00844814">
        <w:rPr>
          <w:lang w:val="sr-Cyrl-RS"/>
        </w:rPr>
        <w:t xml:space="preserve"> заштит</w:t>
      </w:r>
      <w:r w:rsidR="00BF2946">
        <w:rPr>
          <w:lang w:val="sr-Cyrl-RS"/>
        </w:rPr>
        <w:t>а</w:t>
      </w:r>
      <w:r w:rsidR="00BF2946" w:rsidRPr="00844814">
        <w:rPr>
          <w:lang w:val="sr-Cyrl-RS"/>
        </w:rPr>
        <w:t>, породични однос</w:t>
      </w:r>
      <w:r w:rsidR="00BF2946">
        <w:rPr>
          <w:lang w:val="sr-Cyrl-RS"/>
        </w:rPr>
        <w:t>и</w:t>
      </w:r>
      <w:r w:rsidR="00BF2946" w:rsidRPr="00844814">
        <w:rPr>
          <w:lang w:val="sr-Cyrl-RS"/>
        </w:rPr>
        <w:t>, образовањ</w:t>
      </w:r>
      <w:r w:rsidR="00BF2946">
        <w:rPr>
          <w:lang w:val="sr-Cyrl-RS"/>
        </w:rPr>
        <w:t>е</w:t>
      </w:r>
      <w:r w:rsidR="00BF2946" w:rsidRPr="00844814">
        <w:rPr>
          <w:lang w:val="sr-Cyrl-RS"/>
        </w:rPr>
        <w:t>, култур</w:t>
      </w:r>
      <w:r w:rsidR="00BF2946">
        <w:rPr>
          <w:lang w:val="sr-Cyrl-RS"/>
        </w:rPr>
        <w:t>а</w:t>
      </w:r>
      <w:r w:rsidR="00BF2946" w:rsidRPr="00844814">
        <w:rPr>
          <w:lang w:val="sr-Cyrl-RS"/>
        </w:rPr>
        <w:t xml:space="preserve"> и сп</w:t>
      </w:r>
      <w:r w:rsidR="00BF2946">
        <w:rPr>
          <w:lang w:val="sr-Cyrl-RS"/>
        </w:rPr>
        <w:t>орт, политички и јавни живот)</w:t>
      </w:r>
      <w:r w:rsidR="00BF2946">
        <w:rPr>
          <w:rFonts w:eastAsiaTheme="minorHAnsi"/>
          <w:color w:val="000000"/>
          <w:shd w:val="clear" w:color="auto" w:fill="FFFFFF"/>
          <w:lang w:val="sr-Cyrl-RS" w:eastAsia="sr-Cyrl-CS"/>
        </w:rPr>
        <w:t xml:space="preserve">, нити на све актере </w:t>
      </w:r>
      <w:r w:rsidR="00C4446A">
        <w:rPr>
          <w:rFonts w:eastAsiaTheme="minorHAnsi"/>
          <w:color w:val="000000"/>
          <w:shd w:val="clear" w:color="auto" w:fill="FFFFFF"/>
          <w:lang w:val="sr-Cyrl-RS" w:eastAsia="sr-Cyrl-CS"/>
        </w:rPr>
        <w:t xml:space="preserve">у друштву </w:t>
      </w:r>
      <w:r w:rsidR="00BF2946">
        <w:rPr>
          <w:rFonts w:eastAsiaTheme="minorHAnsi"/>
          <w:color w:val="000000"/>
          <w:shd w:val="clear" w:color="auto" w:fill="FFFFFF"/>
          <w:lang w:val="sr-Cyrl-RS" w:eastAsia="sr-Cyrl-CS"/>
        </w:rPr>
        <w:t xml:space="preserve">који </w:t>
      </w:r>
      <w:r w:rsidR="00C4446A">
        <w:rPr>
          <w:rFonts w:eastAsiaTheme="minorHAnsi"/>
          <w:color w:val="000000"/>
          <w:shd w:val="clear" w:color="auto" w:fill="FFFFFF"/>
          <w:lang w:val="sr-Cyrl-RS" w:eastAsia="sr-Cyrl-CS"/>
        </w:rPr>
        <w:t xml:space="preserve">би </w:t>
      </w:r>
      <w:r w:rsidR="00BF2946">
        <w:rPr>
          <w:rFonts w:eastAsiaTheme="minorHAnsi"/>
          <w:color w:val="000000"/>
          <w:shd w:val="clear" w:color="auto" w:fill="FFFFFF"/>
          <w:lang w:val="sr-Cyrl-RS" w:eastAsia="sr-Cyrl-CS"/>
        </w:rPr>
        <w:t>својим ангажовањем м</w:t>
      </w:r>
      <w:r w:rsidR="00C4446A">
        <w:rPr>
          <w:rFonts w:eastAsiaTheme="minorHAnsi"/>
          <w:color w:val="000000"/>
          <w:shd w:val="clear" w:color="auto" w:fill="FFFFFF"/>
          <w:lang w:val="sr-Cyrl-RS" w:eastAsia="sr-Cyrl-CS"/>
        </w:rPr>
        <w:t xml:space="preserve">огли да дају значајан допринос </w:t>
      </w:r>
      <w:r w:rsidR="00BF2946">
        <w:rPr>
          <w:rFonts w:eastAsiaTheme="minorHAnsi"/>
          <w:color w:val="000000"/>
          <w:shd w:val="clear" w:color="auto" w:fill="FFFFFF"/>
          <w:lang w:val="sr-Cyrl-RS" w:eastAsia="sr-Cyrl-CS"/>
        </w:rPr>
        <w:t xml:space="preserve">остваривању и и унапређивању равноправности полова. </w:t>
      </w:r>
    </w:p>
    <w:p w:rsidR="00957C28" w:rsidRDefault="00EA6FB4" w:rsidP="005B578B">
      <w:pPr>
        <w:pStyle w:val="BodyText2"/>
        <w:spacing w:before="60"/>
        <w:ind w:firstLine="720"/>
        <w:rPr>
          <w:rFonts w:eastAsiaTheme="minorHAnsi"/>
          <w:color w:val="000000"/>
          <w:shd w:val="clear" w:color="auto" w:fill="FFFFFF"/>
          <w:lang w:val="sr-Cyrl-RS" w:eastAsia="sr-Cyrl-CS"/>
        </w:rPr>
      </w:pPr>
      <w:r>
        <w:rPr>
          <w:rFonts w:eastAsiaTheme="minorHAnsi"/>
          <w:color w:val="000000"/>
          <w:shd w:val="clear" w:color="auto" w:fill="FFFFFF"/>
          <w:lang w:val="sr-Cyrl-RS" w:eastAsia="sr-Cyrl-CS"/>
        </w:rPr>
        <w:t>У вези са наведеним, в</w:t>
      </w:r>
      <w:r w:rsidR="00BF2946">
        <w:rPr>
          <w:rFonts w:eastAsiaTheme="minorHAnsi"/>
          <w:color w:val="000000"/>
          <w:shd w:val="clear" w:color="auto" w:fill="FFFFFF"/>
          <w:lang w:val="sr-Cyrl-RS" w:eastAsia="sr-Cyrl-CS"/>
        </w:rPr>
        <w:t xml:space="preserve">ећ у поглављу </w:t>
      </w:r>
      <w:r w:rsidR="00BF2946">
        <w:rPr>
          <w:rFonts w:eastAsiaTheme="minorHAnsi"/>
          <w:color w:val="000000"/>
          <w:shd w:val="clear" w:color="auto" w:fill="FFFFFF"/>
          <w:lang w:val="en-US" w:eastAsia="sr-Cyrl-CS"/>
        </w:rPr>
        <w:t>I</w:t>
      </w:r>
      <w:r w:rsidR="007C4C87" w:rsidRPr="00F755D7">
        <w:rPr>
          <w:rFonts w:eastAsiaTheme="minorHAnsi"/>
          <w:color w:val="000000"/>
          <w:shd w:val="clear" w:color="auto" w:fill="FFFFFF"/>
          <w:lang w:val="en-US" w:eastAsia="sr-Cyrl-CS"/>
        </w:rPr>
        <w:t>I</w:t>
      </w:r>
      <w:r w:rsidR="007C4C87" w:rsidRPr="00EC2E2A">
        <w:rPr>
          <w:rFonts w:eastAsiaTheme="minorHAnsi"/>
          <w:color w:val="000000"/>
          <w:shd w:val="clear" w:color="auto" w:fill="FFFFFF"/>
          <w:lang w:val="ru-RU" w:eastAsia="sr-Cyrl-CS"/>
        </w:rPr>
        <w:t xml:space="preserve"> </w:t>
      </w:r>
      <w:r w:rsidR="007C4C87" w:rsidRPr="00F755D7">
        <w:rPr>
          <w:rFonts w:eastAsiaTheme="minorHAnsi"/>
          <w:color w:val="000000"/>
          <w:shd w:val="clear" w:color="auto" w:fill="FFFFFF"/>
          <w:lang w:val="sr-Cyrl-RS" w:eastAsia="sr-Cyrl-CS"/>
        </w:rPr>
        <w:t>Запошљавање, социјална и здравствена заштита</w:t>
      </w:r>
      <w:r w:rsidR="00BF2946">
        <w:rPr>
          <w:rFonts w:eastAsiaTheme="minorHAnsi"/>
          <w:color w:val="000000"/>
          <w:shd w:val="clear" w:color="auto" w:fill="FFFFFF"/>
          <w:lang w:val="sr-Cyrl-RS" w:eastAsia="sr-Cyrl-CS"/>
        </w:rPr>
        <w:t xml:space="preserve"> </w:t>
      </w:r>
      <w:r w:rsidR="00C4446A">
        <w:rPr>
          <w:rFonts w:eastAsiaTheme="minorHAnsi"/>
          <w:color w:val="000000"/>
          <w:shd w:val="clear" w:color="auto" w:fill="FFFFFF"/>
          <w:lang w:val="sr-Cyrl-RS" w:eastAsia="sr-Cyrl-CS"/>
        </w:rPr>
        <w:t>у</w:t>
      </w:r>
      <w:r w:rsidR="00F755D7">
        <w:rPr>
          <w:rFonts w:eastAsiaTheme="minorHAnsi"/>
          <w:color w:val="000000"/>
          <w:shd w:val="clear" w:color="auto" w:fill="FFFFFF"/>
          <w:lang w:val="sr-Cyrl-RS" w:eastAsia="sr-Cyrl-CS"/>
        </w:rPr>
        <w:t xml:space="preserve"> члану 11.</w:t>
      </w:r>
      <w:r w:rsidR="00B45E8D">
        <w:rPr>
          <w:rFonts w:eastAsiaTheme="minorHAnsi"/>
          <w:color w:val="000000"/>
          <w:shd w:val="clear" w:color="auto" w:fill="FFFFFF"/>
          <w:lang w:val="sr-Cyrl-RS" w:eastAsia="sr-Cyrl-CS"/>
        </w:rPr>
        <w:t xml:space="preserve"> с</w:t>
      </w:r>
      <w:r w:rsidR="00032FF5">
        <w:rPr>
          <w:rFonts w:eastAsiaTheme="minorHAnsi"/>
          <w:color w:val="000000"/>
          <w:shd w:val="clear" w:color="auto" w:fill="FFFFFF"/>
          <w:lang w:val="sr-Cyrl-RS" w:eastAsia="sr-Cyrl-CS"/>
        </w:rPr>
        <w:t>тав</w:t>
      </w:r>
      <w:r w:rsidR="00B45E8D">
        <w:rPr>
          <w:rFonts w:eastAsiaTheme="minorHAnsi"/>
          <w:color w:val="000000"/>
          <w:shd w:val="clear" w:color="auto" w:fill="FFFFFF"/>
          <w:lang w:val="sr-Cyrl-RS" w:eastAsia="sr-Cyrl-CS"/>
        </w:rPr>
        <w:t xml:space="preserve"> 1. </w:t>
      </w:r>
      <w:r w:rsidR="00B75EB9">
        <w:rPr>
          <w:rFonts w:eastAsiaTheme="minorHAnsi"/>
          <w:color w:val="000000"/>
          <w:shd w:val="clear" w:color="auto" w:fill="FFFFFF"/>
          <w:lang w:val="sr-Cyrl-RS" w:eastAsia="sr-Cyrl-CS"/>
        </w:rPr>
        <w:t xml:space="preserve"> </w:t>
      </w:r>
      <w:r w:rsidR="00B45E8D">
        <w:rPr>
          <w:rFonts w:eastAsiaTheme="minorHAnsi"/>
          <w:color w:val="000000"/>
          <w:shd w:val="clear" w:color="auto" w:fill="FFFFFF"/>
          <w:lang w:val="sr-Cyrl-RS" w:eastAsia="sr-Cyrl-CS"/>
        </w:rPr>
        <w:t>предвиђ</w:t>
      </w:r>
      <w:r w:rsidR="007C4C87">
        <w:rPr>
          <w:rFonts w:eastAsiaTheme="minorHAnsi"/>
          <w:color w:val="000000"/>
          <w:shd w:val="clear" w:color="auto" w:fill="FFFFFF"/>
          <w:lang w:val="sr-Cyrl-RS" w:eastAsia="sr-Cyrl-CS"/>
        </w:rPr>
        <w:t>а</w:t>
      </w:r>
      <w:r w:rsidR="00C4446A">
        <w:rPr>
          <w:rFonts w:eastAsiaTheme="minorHAnsi"/>
          <w:color w:val="000000"/>
          <w:shd w:val="clear" w:color="auto" w:fill="FFFFFF"/>
          <w:lang w:val="sr-Cyrl-RS" w:eastAsia="sr-Cyrl-CS"/>
        </w:rPr>
        <w:t xml:space="preserve"> </w:t>
      </w:r>
      <w:r w:rsidR="00A54772">
        <w:rPr>
          <w:rFonts w:eastAsiaTheme="minorHAnsi"/>
          <w:color w:val="000000"/>
          <w:shd w:val="clear" w:color="auto" w:fill="FFFFFF"/>
          <w:lang w:val="sr-Cyrl-RS" w:eastAsia="sr-Cyrl-CS"/>
        </w:rPr>
        <w:t xml:space="preserve">се </w:t>
      </w:r>
      <w:r w:rsidR="00C4446A">
        <w:rPr>
          <w:rFonts w:eastAsiaTheme="minorHAnsi"/>
          <w:color w:val="000000"/>
          <w:shd w:val="clear" w:color="auto" w:fill="FFFFFF"/>
          <w:lang w:val="sr-Cyrl-RS" w:eastAsia="sr-Cyrl-CS"/>
        </w:rPr>
        <w:t>да је</w:t>
      </w:r>
      <w:r w:rsidR="007C4C87">
        <w:rPr>
          <w:rFonts w:eastAsiaTheme="minorHAnsi"/>
          <w:color w:val="000000"/>
          <w:shd w:val="clear" w:color="auto" w:fill="FFFFFF"/>
          <w:lang w:val="sr-Cyrl-RS" w:eastAsia="sr-Cyrl-CS"/>
        </w:rPr>
        <w:t>:</w:t>
      </w:r>
      <w:r w:rsidR="00B45E8D">
        <w:rPr>
          <w:rFonts w:eastAsiaTheme="minorHAnsi"/>
          <w:color w:val="000000"/>
          <w:shd w:val="clear" w:color="auto" w:fill="FFFFFF"/>
          <w:lang w:val="sr-Cyrl-RS" w:eastAsia="sr-Cyrl-CS"/>
        </w:rPr>
        <w:t xml:space="preserve"> „</w:t>
      </w:r>
      <w:r w:rsidR="00B45E8D">
        <w:t>Послодавац је дужан да запосленима, без обзира на пол, обезбеди једнаке могућности и третман, а у вези са остваривањем права из радног односа и по основу рада, у складу са законом којим се уређује рад</w:t>
      </w:r>
      <w:r w:rsidR="00B45E8D">
        <w:rPr>
          <w:lang w:val="sr-Cyrl-RS"/>
        </w:rPr>
        <w:t>.“</w:t>
      </w:r>
      <w:r w:rsidR="00A54772">
        <w:rPr>
          <w:lang w:val="sr-Cyrl-RS"/>
        </w:rPr>
        <w:t xml:space="preserve"> Међутим,</w:t>
      </w:r>
      <w:r w:rsidR="00F755D7">
        <w:rPr>
          <w:rFonts w:eastAsiaTheme="minorHAnsi"/>
          <w:color w:val="000000"/>
          <w:shd w:val="clear" w:color="auto" w:fill="FFFFFF"/>
          <w:lang w:val="sr-Cyrl-RS" w:eastAsia="sr-Cyrl-CS"/>
        </w:rPr>
        <w:t xml:space="preserve"> у члану 13. став 1. се прецизира да само „Послодавац који има у радном односу више од 50 запослених на неодређено време дужан је да усвоји план мера за отклањање или ублажавање неравномерне заступљености полова за сваку календарску годину, најкасније 31. јануара“, а у ставу 2.</w:t>
      </w:r>
      <w:r w:rsidR="007815E3">
        <w:rPr>
          <w:rFonts w:eastAsiaTheme="minorHAnsi"/>
          <w:color w:val="000000"/>
          <w:shd w:val="clear" w:color="auto" w:fill="FFFFFF"/>
          <w:lang w:val="sr-Cyrl-RS" w:eastAsia="sr-Cyrl-CS"/>
        </w:rPr>
        <w:t xml:space="preserve"> истог члана се наводи:</w:t>
      </w:r>
      <w:r w:rsidR="00F755D7">
        <w:rPr>
          <w:rFonts w:eastAsiaTheme="minorHAnsi"/>
          <w:color w:val="000000"/>
          <w:shd w:val="clear" w:color="auto" w:fill="FFFFFF"/>
          <w:lang w:val="sr-Cyrl-RS" w:eastAsia="sr-Cyrl-CS"/>
        </w:rPr>
        <w:t xml:space="preserve"> „Послодавац је дужан да сачини годиш</w:t>
      </w:r>
      <w:r w:rsidR="00C4446A">
        <w:rPr>
          <w:rFonts w:eastAsiaTheme="minorHAnsi"/>
          <w:color w:val="000000"/>
          <w:shd w:val="clear" w:color="auto" w:fill="FFFFFF"/>
          <w:lang w:val="sr-Cyrl-RS" w:eastAsia="sr-Cyrl-CS"/>
        </w:rPr>
        <w:t xml:space="preserve">њи извештај о спровођењу плана </w:t>
      </w:r>
      <w:r w:rsidR="00F755D7">
        <w:rPr>
          <w:rFonts w:eastAsiaTheme="minorHAnsi"/>
          <w:color w:val="000000"/>
          <w:shd w:val="clear" w:color="auto" w:fill="FFFFFF"/>
          <w:lang w:val="sr-Cyrl-RS" w:eastAsia="sr-Cyrl-CS"/>
        </w:rPr>
        <w:t>мера из става 1. овог члана најкасније до 31. јанура теку</w:t>
      </w:r>
      <w:r w:rsidR="002C0C65">
        <w:rPr>
          <w:rFonts w:eastAsiaTheme="minorHAnsi"/>
          <w:color w:val="000000"/>
          <w:shd w:val="clear" w:color="auto" w:fill="FFFFFF"/>
          <w:lang w:val="sr-Cyrl-RS" w:eastAsia="sr-Cyrl-CS"/>
        </w:rPr>
        <w:t xml:space="preserve">ће године за претходну годину“. </w:t>
      </w:r>
      <w:r w:rsidR="009B507F">
        <w:rPr>
          <w:rFonts w:eastAsiaTheme="minorHAnsi"/>
          <w:color w:val="000000"/>
          <w:shd w:val="clear" w:color="auto" w:fill="FFFFFF"/>
          <w:lang w:val="sr-Cyrl-RS" w:eastAsia="sr-Cyrl-CS"/>
        </w:rPr>
        <w:t>И</w:t>
      </w:r>
      <w:r w:rsidR="00F755D7">
        <w:rPr>
          <w:rFonts w:eastAsiaTheme="minorHAnsi"/>
          <w:color w:val="000000"/>
          <w:shd w:val="clear" w:color="auto" w:fill="FFFFFF"/>
          <w:lang w:val="sr-Cyrl-RS" w:eastAsia="sr-Cyrl-CS"/>
        </w:rPr>
        <w:t xml:space="preserve">мајући у виду ограничења у дефинисању појма „послодавац“ у </w:t>
      </w:r>
      <w:r w:rsidR="009B507F">
        <w:rPr>
          <w:rFonts w:eastAsiaTheme="minorHAnsi"/>
          <w:color w:val="000000"/>
          <w:shd w:val="clear" w:color="auto" w:fill="FFFFFF"/>
          <w:lang w:val="sr-Cyrl-RS" w:eastAsia="sr-Cyrl-CS"/>
        </w:rPr>
        <w:t xml:space="preserve">члану 10. тачка 9) који гласи: „Послодавац јесте правно или физичко лице које запошљава, односно радно ангажује једно или више лица, осим органа јавне власти“, може се закључити да ова формулација </w:t>
      </w:r>
      <w:r w:rsidR="00F755D7">
        <w:rPr>
          <w:rFonts w:eastAsiaTheme="minorHAnsi"/>
          <w:color w:val="000000"/>
          <w:shd w:val="clear" w:color="auto" w:fill="FFFFFF"/>
          <w:lang w:val="sr-Cyrl-RS" w:eastAsia="sr-Cyrl-CS"/>
        </w:rPr>
        <w:t>доводи у неравноправан положај запослене у органима јавне власти са запосленима код других послодаваца, као и запослене код послодаваца који запошљавају до 50 лица са онима који раде код послодаваца</w:t>
      </w:r>
      <w:r w:rsidR="00957C28">
        <w:rPr>
          <w:rFonts w:eastAsiaTheme="minorHAnsi"/>
          <w:color w:val="000000"/>
          <w:shd w:val="clear" w:color="auto" w:fill="FFFFFF"/>
          <w:lang w:val="sr-Cyrl-RS" w:eastAsia="sr-Cyrl-CS"/>
        </w:rPr>
        <w:t xml:space="preserve"> који запошљавају </w:t>
      </w:r>
      <w:r w:rsidR="007C25FF">
        <w:rPr>
          <w:rFonts w:eastAsiaTheme="minorHAnsi"/>
          <w:color w:val="000000"/>
          <w:shd w:val="clear" w:color="auto" w:fill="FFFFFF"/>
          <w:lang w:val="sr-Cyrl-RS" w:eastAsia="sr-Cyrl-CS"/>
        </w:rPr>
        <w:t>50 и више</w:t>
      </w:r>
      <w:r w:rsidR="00957C28">
        <w:rPr>
          <w:rFonts w:eastAsiaTheme="minorHAnsi"/>
          <w:color w:val="000000"/>
          <w:shd w:val="clear" w:color="auto" w:fill="FFFFFF"/>
          <w:lang w:val="sr-Cyrl-RS" w:eastAsia="sr-Cyrl-CS"/>
        </w:rPr>
        <w:t xml:space="preserve"> лица </w:t>
      </w:r>
      <w:r w:rsidR="002C0C65">
        <w:rPr>
          <w:rFonts w:eastAsiaTheme="minorHAnsi"/>
          <w:color w:val="000000"/>
          <w:shd w:val="clear" w:color="auto" w:fill="FFFFFF"/>
          <w:lang w:val="sr-Cyrl-RS" w:eastAsia="sr-Cyrl-CS"/>
        </w:rPr>
        <w:t>(</w:t>
      </w:r>
      <w:r w:rsidR="00957C28">
        <w:rPr>
          <w:rFonts w:eastAsiaTheme="minorHAnsi"/>
          <w:color w:val="000000"/>
          <w:shd w:val="clear" w:color="auto" w:fill="FFFFFF"/>
          <w:lang w:val="sr-Cyrl-RS" w:eastAsia="sr-Cyrl-CS"/>
        </w:rPr>
        <w:t xml:space="preserve">на које се једино </w:t>
      </w:r>
      <w:r w:rsidR="00957C28">
        <w:rPr>
          <w:rFonts w:eastAsiaTheme="minorHAnsi"/>
          <w:color w:val="000000"/>
          <w:shd w:val="clear" w:color="auto" w:fill="FFFFFF"/>
          <w:lang w:val="sr-Cyrl-RS" w:eastAsia="sr-Cyrl-CS"/>
        </w:rPr>
        <w:lastRenderedPageBreak/>
        <w:t xml:space="preserve">примењује обавеза </w:t>
      </w:r>
      <w:r w:rsidR="00804DF1">
        <w:rPr>
          <w:rFonts w:eastAsiaTheme="minorHAnsi"/>
          <w:color w:val="000000"/>
          <w:shd w:val="clear" w:color="auto" w:fill="FFFFFF"/>
          <w:lang w:val="sr-Cyrl-RS" w:eastAsia="sr-Cyrl-CS"/>
        </w:rPr>
        <w:t>израде</w:t>
      </w:r>
      <w:r w:rsidR="00957C28">
        <w:rPr>
          <w:rFonts w:eastAsiaTheme="minorHAnsi"/>
          <w:color w:val="000000"/>
          <w:shd w:val="clear" w:color="auto" w:fill="FFFFFF"/>
          <w:lang w:val="sr-Cyrl-RS" w:eastAsia="sr-Cyrl-CS"/>
        </w:rPr>
        <w:t xml:space="preserve"> плана мера </w:t>
      </w:r>
      <w:r w:rsidR="00804DF1">
        <w:rPr>
          <w:rFonts w:eastAsiaTheme="minorHAnsi"/>
          <w:color w:val="000000"/>
          <w:shd w:val="clear" w:color="auto" w:fill="FFFFFF"/>
          <w:lang w:val="sr-Cyrl-RS" w:eastAsia="sr-Cyrl-CS"/>
        </w:rPr>
        <w:t xml:space="preserve">за отклањање или ублажавање неравномерне заступљености полова </w:t>
      </w:r>
      <w:r w:rsidR="00957C28">
        <w:rPr>
          <w:rFonts w:eastAsiaTheme="minorHAnsi"/>
          <w:color w:val="000000"/>
          <w:shd w:val="clear" w:color="auto" w:fill="FFFFFF"/>
          <w:lang w:val="sr-Cyrl-RS" w:eastAsia="sr-Cyrl-CS"/>
        </w:rPr>
        <w:t>и извештавања</w:t>
      </w:r>
      <w:r w:rsidR="00C4446A">
        <w:rPr>
          <w:rFonts w:eastAsiaTheme="minorHAnsi"/>
          <w:color w:val="000000"/>
          <w:shd w:val="clear" w:color="auto" w:fill="FFFFFF"/>
          <w:lang w:val="sr-Cyrl-RS" w:eastAsia="sr-Cyrl-CS"/>
        </w:rPr>
        <w:t xml:space="preserve"> ресорног Министарства</w:t>
      </w:r>
      <w:r w:rsidR="002C0C65">
        <w:rPr>
          <w:rFonts w:eastAsiaTheme="minorHAnsi"/>
          <w:color w:val="000000"/>
          <w:shd w:val="clear" w:color="auto" w:fill="FFFFFF"/>
          <w:lang w:val="sr-Cyrl-RS" w:eastAsia="sr-Cyrl-CS"/>
        </w:rPr>
        <w:t>)</w:t>
      </w:r>
      <w:r w:rsidR="00957C28">
        <w:rPr>
          <w:rFonts w:eastAsiaTheme="minorHAnsi"/>
          <w:color w:val="000000"/>
          <w:shd w:val="clear" w:color="auto" w:fill="FFFFFF"/>
          <w:lang w:val="sr-Cyrl-RS" w:eastAsia="sr-Cyrl-CS"/>
        </w:rPr>
        <w:t>.</w:t>
      </w:r>
      <w:r w:rsidR="002C0C65">
        <w:rPr>
          <w:rFonts w:eastAsiaTheme="minorHAnsi"/>
          <w:color w:val="000000"/>
          <w:shd w:val="clear" w:color="auto" w:fill="FFFFFF"/>
          <w:lang w:val="sr-Cyrl-RS" w:eastAsia="sr-Cyrl-CS"/>
        </w:rPr>
        <w:t xml:space="preserve"> </w:t>
      </w:r>
    </w:p>
    <w:p w:rsidR="00BB3D8E" w:rsidRDefault="00717572" w:rsidP="00D91F76">
      <w:pPr>
        <w:pStyle w:val="BodyText2"/>
        <w:ind w:firstLine="720"/>
        <w:rPr>
          <w:lang w:val="sr-Cyrl-RS"/>
        </w:rPr>
      </w:pPr>
      <w:r>
        <w:rPr>
          <w:rFonts w:eastAsiaTheme="minorHAnsi"/>
          <w:color w:val="000000"/>
          <w:shd w:val="clear" w:color="auto" w:fill="FFFFFF"/>
          <w:lang w:val="sr-Cyrl-RS" w:eastAsia="sr-Cyrl-CS"/>
        </w:rPr>
        <w:t>Стога, иако је у</w:t>
      </w:r>
      <w:r w:rsidR="00032FF5">
        <w:rPr>
          <w:rFonts w:eastAsiaTheme="minorHAnsi"/>
          <w:color w:val="000000"/>
          <w:shd w:val="clear" w:color="auto" w:fill="FFFFFF"/>
          <w:lang w:val="sr-Cyrl-RS" w:eastAsia="sr-Cyrl-CS"/>
        </w:rPr>
        <w:t xml:space="preserve"> члану 12. </w:t>
      </w:r>
      <w:r w:rsidRPr="00717572">
        <w:rPr>
          <w:rFonts w:eastAsiaTheme="minorHAnsi"/>
          <w:i/>
          <w:color w:val="000000"/>
          <w:shd w:val="clear" w:color="auto" w:fill="FFFFFF"/>
          <w:lang w:val="sr-Cyrl-RS" w:eastAsia="sr-Cyrl-CS"/>
        </w:rPr>
        <w:t>Закона о равноправности полова</w:t>
      </w:r>
      <w:r w:rsidR="00032FF5">
        <w:rPr>
          <w:rFonts w:eastAsiaTheme="minorHAnsi"/>
          <w:color w:val="000000"/>
          <w:shd w:val="clear" w:color="auto" w:fill="FFFFFF"/>
          <w:lang w:val="sr-Cyrl-RS" w:eastAsia="sr-Cyrl-CS"/>
        </w:rPr>
        <w:t xml:space="preserve"> предвиђен</w:t>
      </w:r>
      <w:r>
        <w:rPr>
          <w:rFonts w:eastAsiaTheme="minorHAnsi"/>
          <w:color w:val="000000"/>
          <w:shd w:val="clear" w:color="auto" w:fill="FFFFFF"/>
          <w:lang w:val="sr-Cyrl-RS" w:eastAsia="sr-Cyrl-CS"/>
        </w:rPr>
        <w:t>о</w:t>
      </w:r>
      <w:r w:rsidR="000F1892">
        <w:rPr>
          <w:rFonts w:eastAsiaTheme="minorHAnsi"/>
          <w:color w:val="000000"/>
          <w:shd w:val="clear" w:color="auto" w:fill="FFFFFF"/>
          <w:lang w:val="sr-Cyrl-RS" w:eastAsia="sr-Cyrl-CS"/>
        </w:rPr>
        <w:t>:</w:t>
      </w:r>
      <w:r w:rsidR="00032FF5">
        <w:rPr>
          <w:rFonts w:eastAsiaTheme="minorHAnsi"/>
          <w:color w:val="000000"/>
          <w:shd w:val="clear" w:color="auto" w:fill="FFFFFF"/>
          <w:lang w:val="sr-Cyrl-RS" w:eastAsia="sr-Cyrl-CS"/>
        </w:rPr>
        <w:t xml:space="preserve"> „</w:t>
      </w:r>
      <w:r w:rsidR="00032FF5">
        <w:t>Послодавац је дужан да води евиденцију о полној структури запослених у складу са законом којим се уређују евиденције у области рада и да податке из тих евиденција да на увид инспекцији рада и органу надлежном за равноправност полова, а на начин и у складу са законом којим се уређује заштита података о личности. Подаци и информације о полној структури запослених обрађују се и евидентирају као статистички.</w:t>
      </w:r>
      <w:r w:rsidR="00F22306">
        <w:rPr>
          <w:lang w:val="sr-Cyrl-RS"/>
        </w:rPr>
        <w:t xml:space="preserve">“ Дакле, </w:t>
      </w:r>
      <w:r w:rsidR="00032FF5">
        <w:rPr>
          <w:lang w:val="sr-Cyrl-RS"/>
        </w:rPr>
        <w:t>ова врста мера која се односи на једнаке могућн</w:t>
      </w:r>
      <w:r w:rsidR="000F1892">
        <w:rPr>
          <w:lang w:val="sr-Cyrl-RS"/>
        </w:rPr>
        <w:t xml:space="preserve">ости </w:t>
      </w:r>
      <w:r w:rsidR="00B643DC">
        <w:rPr>
          <w:lang w:val="sr-Cyrl-RS"/>
        </w:rPr>
        <w:t xml:space="preserve">предвиђена је законом </w:t>
      </w:r>
      <w:r w:rsidR="00BE7763">
        <w:rPr>
          <w:lang w:val="sr-Cyrl-RS"/>
        </w:rPr>
        <w:t xml:space="preserve">искључиво </w:t>
      </w:r>
      <w:r w:rsidR="00B643DC">
        <w:rPr>
          <w:lang w:val="sr-Cyrl-RS"/>
        </w:rPr>
        <w:t>у домену</w:t>
      </w:r>
      <w:r w:rsidR="00861639" w:rsidRPr="00EC2E2A">
        <w:rPr>
          <w:lang w:val="ru-RU"/>
        </w:rPr>
        <w:t xml:space="preserve"> </w:t>
      </w:r>
      <w:r w:rsidR="00861639">
        <w:rPr>
          <w:lang w:val="sr-Cyrl-RS"/>
        </w:rPr>
        <w:t>рада и запошљавања, а</w:t>
      </w:r>
      <w:r w:rsidR="00032FF5">
        <w:rPr>
          <w:lang w:val="sr-Cyrl-RS"/>
        </w:rPr>
        <w:t xml:space="preserve"> евиденције</w:t>
      </w:r>
      <w:r w:rsidR="00861639">
        <w:rPr>
          <w:lang w:val="sr-Cyrl-RS"/>
        </w:rPr>
        <w:t xml:space="preserve"> које по службеној дужности воде</w:t>
      </w:r>
      <w:r w:rsidR="00032FF5">
        <w:rPr>
          <w:lang w:val="sr-Cyrl-RS"/>
        </w:rPr>
        <w:t xml:space="preserve"> орган</w:t>
      </w:r>
      <w:r w:rsidR="00861639">
        <w:rPr>
          <w:lang w:val="sr-Cyrl-RS"/>
        </w:rPr>
        <w:t>и</w:t>
      </w:r>
      <w:r w:rsidR="00032FF5">
        <w:rPr>
          <w:lang w:val="sr-Cyrl-RS"/>
        </w:rPr>
        <w:t xml:space="preserve"> јавне власти </w:t>
      </w:r>
      <w:r w:rsidR="00BE7763">
        <w:rPr>
          <w:lang w:val="sr-Cyrl-RS"/>
        </w:rPr>
        <w:t xml:space="preserve">- </w:t>
      </w:r>
      <w:r w:rsidR="00861639">
        <w:rPr>
          <w:lang w:val="sr-Cyrl-RS"/>
        </w:rPr>
        <w:t>не служе</w:t>
      </w:r>
      <w:r w:rsidR="00C77224">
        <w:rPr>
          <w:lang w:val="sr-Cyrl-RS"/>
        </w:rPr>
        <w:t xml:space="preserve"> и</w:t>
      </w:r>
      <w:r w:rsidR="00861639">
        <w:rPr>
          <w:lang w:val="sr-Cyrl-RS"/>
        </w:rPr>
        <w:t xml:space="preserve"> као основ да се </w:t>
      </w:r>
      <w:r w:rsidR="00032FF5">
        <w:rPr>
          <w:lang w:val="sr-Cyrl-RS"/>
        </w:rPr>
        <w:t>статистичи подаци</w:t>
      </w:r>
      <w:r w:rsidR="00861639">
        <w:rPr>
          <w:lang w:val="sr-Cyrl-RS"/>
        </w:rPr>
        <w:t xml:space="preserve"> о полној структури запослених </w:t>
      </w:r>
      <w:r w:rsidR="00BB3D8E">
        <w:rPr>
          <w:lang w:val="sr-Cyrl-RS"/>
        </w:rPr>
        <w:t xml:space="preserve">и </w:t>
      </w:r>
      <w:r w:rsidR="00861639">
        <w:rPr>
          <w:lang w:val="sr-Cyrl-RS"/>
        </w:rPr>
        <w:t>достављају по службеној дужно</w:t>
      </w:r>
      <w:r w:rsidR="002C0C65">
        <w:rPr>
          <w:lang w:val="sr-Cyrl-RS"/>
        </w:rPr>
        <w:t>сти ресорном М</w:t>
      </w:r>
      <w:r w:rsidR="00861639">
        <w:rPr>
          <w:lang w:val="sr-Cyrl-RS"/>
        </w:rPr>
        <w:t>инистарству ради годишњег извештавања</w:t>
      </w:r>
      <w:r w:rsidR="00BE7763">
        <w:rPr>
          <w:lang w:val="sr-Cyrl-RS"/>
        </w:rPr>
        <w:t xml:space="preserve"> Владе и Народне скупштине</w:t>
      </w:r>
      <w:r w:rsidR="00BB3D8E">
        <w:rPr>
          <w:lang w:val="sr-Cyrl-RS"/>
        </w:rPr>
        <w:t>.</w:t>
      </w:r>
    </w:p>
    <w:p w:rsidR="00D91F76" w:rsidRPr="009F4CA5" w:rsidRDefault="008D39A0" w:rsidP="005B578B">
      <w:pPr>
        <w:pStyle w:val="BodyText2"/>
        <w:spacing w:before="60"/>
        <w:ind w:firstLine="720"/>
        <w:rPr>
          <w:color w:val="000000" w:themeColor="text1"/>
          <w:lang w:val="sr-Cyrl-RS"/>
        </w:rPr>
      </w:pPr>
      <w:r>
        <w:rPr>
          <w:color w:val="000000" w:themeColor="text1"/>
          <w:lang w:val="sr-Cyrl-RS"/>
        </w:rPr>
        <w:t>Р</w:t>
      </w:r>
      <w:r w:rsidR="00D91F76" w:rsidRPr="009F4CA5">
        <w:rPr>
          <w:color w:val="000000" w:themeColor="text1"/>
        </w:rPr>
        <w:t xml:space="preserve">одно осетљива статистика је неопходан извор података и за креирање </w:t>
      </w:r>
      <w:r w:rsidR="00D91F76" w:rsidRPr="009F4CA5">
        <w:rPr>
          <w:i/>
          <w:color w:val="000000" w:themeColor="text1"/>
        </w:rPr>
        <w:t>Индекса родне равноправности</w:t>
      </w:r>
      <w:r w:rsidR="00D91F76" w:rsidRPr="009F4CA5">
        <w:rPr>
          <w:color w:val="000000" w:themeColor="text1"/>
        </w:rPr>
        <w:t>, као свеобухватног показатеља напретка у остварив</w:t>
      </w:r>
      <w:r>
        <w:rPr>
          <w:color w:val="000000" w:themeColor="text1"/>
        </w:rPr>
        <w:t>ању родне равноправности у Републици Србији</w:t>
      </w:r>
      <w:r>
        <w:rPr>
          <w:color w:val="000000" w:themeColor="text1"/>
          <w:lang w:val="sr-Cyrl-RS"/>
        </w:rPr>
        <w:t xml:space="preserve">, </w:t>
      </w:r>
      <w:r>
        <w:rPr>
          <w:color w:val="000000" w:themeColor="text1"/>
        </w:rPr>
        <w:t xml:space="preserve">према методологији </w:t>
      </w:r>
      <w:r>
        <w:rPr>
          <w:color w:val="000000" w:themeColor="text1"/>
          <w:lang w:val="sr-Cyrl-RS"/>
        </w:rPr>
        <w:t>Европског института за родну равноправност</w:t>
      </w:r>
      <w:r w:rsidRPr="008D39A0">
        <w:rPr>
          <w:color w:val="000000" w:themeColor="text1"/>
        </w:rPr>
        <w:t xml:space="preserve"> </w:t>
      </w:r>
      <w:r>
        <w:rPr>
          <w:color w:val="000000" w:themeColor="text1"/>
          <w:lang w:val="sr-Cyrl-RS"/>
        </w:rPr>
        <w:t>(</w:t>
      </w:r>
      <w:r>
        <w:rPr>
          <w:color w:val="000000" w:themeColor="text1"/>
          <w:lang w:val="en-US"/>
        </w:rPr>
        <w:t>EIGE</w:t>
      </w:r>
      <w:r>
        <w:rPr>
          <w:color w:val="000000" w:themeColor="text1"/>
          <w:lang w:val="sr-Cyrl-RS"/>
        </w:rPr>
        <w:t>)</w:t>
      </w:r>
      <w:r w:rsidR="00D91F76" w:rsidRPr="009F4CA5">
        <w:rPr>
          <w:color w:val="000000" w:themeColor="text1"/>
          <w:lang w:val="sr-Cyrl-RS"/>
        </w:rPr>
        <w:t xml:space="preserve">. Према подацима </w:t>
      </w:r>
      <w:r w:rsidR="00294D5E" w:rsidRPr="009F4CA5">
        <w:rPr>
          <w:color w:val="000000" w:themeColor="text1"/>
          <w:lang w:val="sr-Cyrl-RS"/>
        </w:rPr>
        <w:t>из 2018. године</w:t>
      </w:r>
      <w:r w:rsidR="00D91F76" w:rsidRPr="009F4CA5">
        <w:rPr>
          <w:color w:val="000000" w:themeColor="text1"/>
          <w:lang w:val="sr-Cyrl-RS"/>
        </w:rPr>
        <w:t>, Република С</w:t>
      </w:r>
      <w:r w:rsidR="00D91F76" w:rsidRPr="009F4CA5">
        <w:rPr>
          <w:color w:val="000000" w:themeColor="text1"/>
        </w:rPr>
        <w:t xml:space="preserve">рбија </w:t>
      </w:r>
      <w:r w:rsidRPr="009F4CA5">
        <w:rPr>
          <w:color w:val="000000" w:themeColor="text1"/>
          <w:lang w:val="sr-Cyrl-RS"/>
        </w:rPr>
        <w:t>је прва земља изван ЕУ почела да мери Индекс родне равноправности</w:t>
      </w:r>
      <w:r w:rsidR="00EA6FB4">
        <w:rPr>
          <w:color w:val="000000" w:themeColor="text1"/>
          <w:lang w:val="sr-Cyrl-RS"/>
        </w:rPr>
        <w:t xml:space="preserve"> и</w:t>
      </w:r>
      <w:r w:rsidRPr="009F4CA5">
        <w:rPr>
          <w:color w:val="000000" w:themeColor="text1"/>
        </w:rPr>
        <w:t xml:space="preserve"> </w:t>
      </w:r>
      <w:r w:rsidR="00C4446A">
        <w:rPr>
          <w:color w:val="000000" w:themeColor="text1"/>
        </w:rPr>
        <w:t xml:space="preserve">за непуне три године, тј. </w:t>
      </w:r>
      <w:r w:rsidR="00C4446A">
        <w:rPr>
          <w:color w:val="000000" w:themeColor="text1"/>
          <w:lang w:val="sr-Cyrl-RS"/>
        </w:rPr>
        <w:t xml:space="preserve">у периоду </w:t>
      </w:r>
      <w:r w:rsidR="009F4CA5">
        <w:rPr>
          <w:color w:val="000000" w:themeColor="text1"/>
          <w:lang w:val="sr-Cyrl-RS"/>
        </w:rPr>
        <w:t>од</w:t>
      </w:r>
      <w:r w:rsidR="00D91F76" w:rsidRPr="009F4CA5">
        <w:rPr>
          <w:color w:val="000000" w:themeColor="text1"/>
          <w:lang w:val="sr-Cyrl-RS"/>
        </w:rPr>
        <w:t xml:space="preserve"> </w:t>
      </w:r>
      <w:r w:rsidR="009F4CA5" w:rsidRPr="009F4CA5">
        <w:rPr>
          <w:color w:val="000000" w:themeColor="text1"/>
          <w:lang w:val="sr-Cyrl-RS"/>
        </w:rPr>
        <w:t>2014</w:t>
      </w:r>
      <w:r w:rsidR="009F4CA5">
        <w:rPr>
          <w:color w:val="000000" w:themeColor="text1"/>
          <w:lang w:val="sr-Cyrl-RS"/>
        </w:rPr>
        <w:t xml:space="preserve">. до </w:t>
      </w:r>
      <w:r w:rsidR="009F4CA5" w:rsidRPr="009F4CA5">
        <w:rPr>
          <w:color w:val="000000" w:themeColor="text1"/>
          <w:lang w:val="sr-Cyrl-RS"/>
        </w:rPr>
        <w:t>2016</w:t>
      </w:r>
      <w:r>
        <w:rPr>
          <w:color w:val="000000" w:themeColor="text1"/>
          <w:lang w:val="sr-Cyrl-RS"/>
        </w:rPr>
        <w:t xml:space="preserve">. године </w:t>
      </w:r>
      <w:r w:rsidR="00EA6FB4">
        <w:rPr>
          <w:color w:val="000000" w:themeColor="text1"/>
          <w:lang w:val="sr-Cyrl-RS"/>
        </w:rPr>
        <w:t xml:space="preserve">је </w:t>
      </w:r>
      <w:r w:rsidR="00D91F76" w:rsidRPr="009F4CA5">
        <w:rPr>
          <w:color w:val="000000" w:themeColor="text1"/>
        </w:rPr>
        <w:t>остварила напредак од 3,4 поена</w:t>
      </w:r>
      <w:r w:rsidR="009F4CA5">
        <w:rPr>
          <w:color w:val="000000" w:themeColor="text1"/>
          <w:lang w:val="sr-Cyrl-RS"/>
        </w:rPr>
        <w:t>,</w:t>
      </w:r>
      <w:r w:rsidR="00C4446A">
        <w:rPr>
          <w:color w:val="000000" w:themeColor="text1"/>
          <w:lang w:val="sr-Cyrl-RS"/>
        </w:rPr>
        <w:t xml:space="preserve"> будући да је</w:t>
      </w:r>
      <w:r w:rsidR="009F4CA5">
        <w:rPr>
          <w:color w:val="000000" w:themeColor="text1"/>
          <w:lang w:val="sr-Cyrl-RS"/>
        </w:rPr>
        <w:t xml:space="preserve"> у 2016. години</w:t>
      </w:r>
      <w:r w:rsidR="00E26225" w:rsidRPr="009F4CA5">
        <w:rPr>
          <w:color w:val="000000" w:themeColor="text1"/>
          <w:lang w:val="sr-Cyrl-RS"/>
        </w:rPr>
        <w:t xml:space="preserve"> </w:t>
      </w:r>
      <w:r w:rsidR="00E26225" w:rsidRPr="00CD1DAF">
        <w:rPr>
          <w:i/>
          <w:color w:val="000000" w:themeColor="text1"/>
          <w:lang w:val="sr-Cyrl-RS"/>
        </w:rPr>
        <w:t>Индекс</w:t>
      </w:r>
      <w:r w:rsidR="009F4CA5" w:rsidRPr="00CD1DAF">
        <w:rPr>
          <w:i/>
          <w:color w:val="000000" w:themeColor="text1"/>
          <w:lang w:val="sr-Cyrl-RS"/>
        </w:rPr>
        <w:t xml:space="preserve"> родне равноправности</w:t>
      </w:r>
      <w:r w:rsidR="00EA6FB4" w:rsidRPr="00CD1DAF">
        <w:rPr>
          <w:i/>
          <w:color w:val="000000" w:themeColor="text1"/>
          <w:lang w:val="sr-Cyrl-RS"/>
        </w:rPr>
        <w:t xml:space="preserve"> Републике</w:t>
      </w:r>
      <w:r w:rsidR="009F4CA5" w:rsidRPr="00CD1DAF">
        <w:rPr>
          <w:i/>
          <w:color w:val="000000" w:themeColor="text1"/>
          <w:lang w:val="sr-Cyrl-RS"/>
        </w:rPr>
        <w:t xml:space="preserve"> Србиј</w:t>
      </w:r>
      <w:r w:rsidR="00EA6FB4" w:rsidRPr="00CD1DAF">
        <w:rPr>
          <w:i/>
          <w:color w:val="000000" w:themeColor="text1"/>
          <w:lang w:val="sr-Cyrl-RS"/>
        </w:rPr>
        <w:t>е</w:t>
      </w:r>
      <w:r w:rsidR="00E26225" w:rsidRPr="009F4CA5">
        <w:rPr>
          <w:color w:val="000000" w:themeColor="text1"/>
          <w:lang w:val="sr-Cyrl-RS"/>
        </w:rPr>
        <w:t xml:space="preserve"> </w:t>
      </w:r>
      <w:r w:rsidR="00D91F76" w:rsidRPr="009F4CA5">
        <w:rPr>
          <w:color w:val="000000" w:themeColor="text1"/>
        </w:rPr>
        <w:t>износи</w:t>
      </w:r>
      <w:r w:rsidR="00E26225" w:rsidRPr="009F4CA5">
        <w:rPr>
          <w:color w:val="000000" w:themeColor="text1"/>
          <w:lang w:val="sr-Cyrl-RS"/>
        </w:rPr>
        <w:t>о</w:t>
      </w:r>
      <w:r w:rsidR="00D91F76" w:rsidRPr="009F4CA5">
        <w:rPr>
          <w:color w:val="000000" w:themeColor="text1"/>
        </w:rPr>
        <w:t xml:space="preserve"> 55,8 поен</w:t>
      </w:r>
      <w:r w:rsidR="005E5ECA" w:rsidRPr="009F4CA5">
        <w:rPr>
          <w:color w:val="000000" w:themeColor="text1"/>
          <w:lang w:val="sr-Cyrl-RS"/>
        </w:rPr>
        <w:t>.</w:t>
      </w:r>
      <w:r w:rsidR="00E26225" w:rsidRPr="009F4CA5">
        <w:rPr>
          <w:rFonts w:ascii="Arial" w:hAnsi="Arial" w:cs="Arial"/>
          <w:color w:val="000000" w:themeColor="text1"/>
          <w:sz w:val="18"/>
          <w:szCs w:val="18"/>
        </w:rPr>
        <w:t xml:space="preserve"> </w:t>
      </w:r>
      <w:r w:rsidR="00294D5E" w:rsidRPr="009F4CA5">
        <w:rPr>
          <w:color w:val="000000" w:themeColor="text1"/>
        </w:rPr>
        <w:t>У погледу укупне вредности индекса</w:t>
      </w:r>
      <w:r w:rsidR="00294D5E" w:rsidRPr="009F4CA5">
        <w:rPr>
          <w:color w:val="000000" w:themeColor="text1"/>
          <w:lang w:val="sr-Cyrl-RS"/>
        </w:rPr>
        <w:t xml:space="preserve"> у 2016. години</w:t>
      </w:r>
      <w:r w:rsidR="00294D5E" w:rsidRPr="009F4CA5">
        <w:rPr>
          <w:color w:val="000000" w:themeColor="text1"/>
        </w:rPr>
        <w:t xml:space="preserve">, </w:t>
      </w:r>
      <w:r w:rsidR="00EA6FB4">
        <w:rPr>
          <w:color w:val="000000" w:themeColor="text1"/>
          <w:lang w:val="sr-Cyrl-RS"/>
        </w:rPr>
        <w:t xml:space="preserve">Република </w:t>
      </w:r>
      <w:r w:rsidR="00294D5E" w:rsidRPr="009F4CA5">
        <w:rPr>
          <w:color w:val="000000" w:themeColor="text1"/>
        </w:rPr>
        <w:t xml:space="preserve">Србија је у односу на државе чланице </w:t>
      </w:r>
      <w:r w:rsidR="00294D5E" w:rsidRPr="009F4CA5">
        <w:rPr>
          <w:color w:val="000000" w:themeColor="text1"/>
          <w:lang w:val="sr-Cyrl-RS"/>
        </w:rPr>
        <w:t>ЕУ</w:t>
      </w:r>
      <w:r w:rsidR="005E5ECA" w:rsidRPr="009F4CA5">
        <w:rPr>
          <w:color w:val="000000" w:themeColor="text1"/>
          <w:lang w:val="sr-Cyrl-RS"/>
        </w:rPr>
        <w:t xml:space="preserve"> (28)</w:t>
      </w:r>
      <w:r w:rsidR="00294D5E" w:rsidRPr="009F4CA5">
        <w:rPr>
          <w:color w:val="000000" w:themeColor="text1"/>
          <w:lang w:val="sr-Cyrl-RS"/>
        </w:rPr>
        <w:t xml:space="preserve"> </w:t>
      </w:r>
      <w:r w:rsidR="00294D5E" w:rsidRPr="009F4CA5">
        <w:rPr>
          <w:color w:val="000000" w:themeColor="text1"/>
        </w:rPr>
        <w:t>рангирана на 22. месту</w:t>
      </w:r>
      <w:r w:rsidR="00294D5E" w:rsidRPr="009F4CA5">
        <w:rPr>
          <w:color w:val="000000" w:themeColor="text1"/>
          <w:lang w:val="sr-Cyrl-RS"/>
        </w:rPr>
        <w:t>.</w:t>
      </w:r>
    </w:p>
    <w:p w:rsidR="00EA6FB4" w:rsidRDefault="005E5ECA" w:rsidP="005B578B">
      <w:pPr>
        <w:pStyle w:val="BodyText2"/>
        <w:spacing w:before="60"/>
        <w:ind w:firstLine="720"/>
        <w:rPr>
          <w:lang w:val="sr-Cyrl-RS"/>
        </w:rPr>
      </w:pPr>
      <w:r>
        <w:rPr>
          <w:lang w:val="sr-Cyrl-RS"/>
        </w:rPr>
        <w:t xml:space="preserve">Родна осетљива статистика је </w:t>
      </w:r>
      <w:r w:rsidR="00EA6FB4">
        <w:rPr>
          <w:lang w:val="sr-Cyrl-RS"/>
        </w:rPr>
        <w:t xml:space="preserve">посебно </w:t>
      </w:r>
      <w:r>
        <w:rPr>
          <w:lang w:val="sr-Cyrl-RS"/>
        </w:rPr>
        <w:t>важна</w:t>
      </w:r>
      <w:r w:rsidR="00EA6FB4">
        <w:rPr>
          <w:lang w:val="sr-Cyrl-RS"/>
        </w:rPr>
        <w:t xml:space="preserve"> за оцену реализације политике једнаких могућности на основу Закона о равноправности полова, јер се н</w:t>
      </w:r>
      <w:r w:rsidR="00EF10CE">
        <w:rPr>
          <w:lang w:val="sr-Cyrl-RS"/>
        </w:rPr>
        <w:t>а основу</w:t>
      </w:r>
      <w:r w:rsidR="00EF10CE">
        <w:t xml:space="preserve"> </w:t>
      </w:r>
      <w:r w:rsidR="00EF10CE">
        <w:rPr>
          <w:lang w:val="sr-Cyrl-RS"/>
        </w:rPr>
        <w:t xml:space="preserve">последњег </w:t>
      </w:r>
      <w:r w:rsidR="00EF10CE">
        <w:t>Пописа становништва, домаћинстава и станова 2011. године</w:t>
      </w:r>
      <w:r w:rsidR="00EF10CE">
        <w:rPr>
          <w:lang w:val="sr-Cyrl-RS"/>
        </w:rPr>
        <w:t>,</w:t>
      </w:r>
      <w:r w:rsidR="00EF10CE">
        <w:t xml:space="preserve"> </w:t>
      </w:r>
      <w:r w:rsidR="00EF10CE">
        <w:rPr>
          <w:lang w:val="sr-Cyrl-RS"/>
        </w:rPr>
        <w:t xml:space="preserve">које је спровео </w:t>
      </w:r>
      <w:r w:rsidR="00BB3D8E">
        <w:rPr>
          <w:lang w:val="sr-Cyrl-RS"/>
        </w:rPr>
        <w:t xml:space="preserve">Републички завод за статистику (у даљем тексту: </w:t>
      </w:r>
      <w:r w:rsidR="00EF10CE">
        <w:rPr>
          <w:lang w:val="sr-Cyrl-RS"/>
        </w:rPr>
        <w:t>РЗС</w:t>
      </w:r>
      <w:r w:rsidR="00BB3D8E">
        <w:rPr>
          <w:lang w:val="sr-Cyrl-RS"/>
        </w:rPr>
        <w:t>)</w:t>
      </w:r>
      <w:r w:rsidR="00EF10CE">
        <w:rPr>
          <w:lang w:val="sr-Cyrl-RS"/>
        </w:rPr>
        <w:t>,</w:t>
      </w:r>
      <w:r w:rsidR="00EF10CE">
        <w:t xml:space="preserve"> </w:t>
      </w:r>
      <w:r>
        <w:rPr>
          <w:lang w:val="sr-Cyrl-RS"/>
        </w:rPr>
        <w:t xml:space="preserve">долази до сазнања да </w:t>
      </w:r>
      <w:r w:rsidR="00EF10CE">
        <w:t>жене чине</w:t>
      </w:r>
      <w:r w:rsidR="00EA6FB4">
        <w:rPr>
          <w:lang w:val="sr-Cyrl-RS"/>
        </w:rPr>
        <w:t xml:space="preserve"> већину, односно</w:t>
      </w:r>
      <w:r w:rsidR="00EF10CE">
        <w:t xml:space="preserve"> 51,3% од укупног броја становника Републике Србије. Просечна старост жена је 43,5</w:t>
      </w:r>
      <w:r w:rsidR="00CD1DAF">
        <w:rPr>
          <w:lang w:val="sr-Cyrl-RS"/>
        </w:rPr>
        <w:t xml:space="preserve"> година</w:t>
      </w:r>
      <w:r w:rsidR="00EF10CE">
        <w:t>, а мушкараца 40,8 година. Посматрано по старости, код средовечног и старог становништва већи је број жена, док су код млађег становништва мушкарци бројчано доминантнији.</w:t>
      </w:r>
      <w:r w:rsidR="00EF10CE">
        <w:rPr>
          <w:lang w:val="sr-Cyrl-RS"/>
        </w:rPr>
        <w:t xml:space="preserve"> </w:t>
      </w:r>
      <w:r w:rsidR="00EF10CE">
        <w:t>У насељима са преко 50</w:t>
      </w:r>
      <w:r w:rsidR="009F4CA5">
        <w:rPr>
          <w:lang w:val="sr-Cyrl-RS"/>
        </w:rPr>
        <w:t>.</w:t>
      </w:r>
      <w:r w:rsidR="00EF10CE">
        <w:t>0000 становника већа је заст</w:t>
      </w:r>
      <w:r w:rsidR="00AF0F69">
        <w:t>упљеност жена са 54% према 46</w:t>
      </w:r>
      <w:r w:rsidR="00EF10CE">
        <w:t>%</w:t>
      </w:r>
      <w:r w:rsidR="00AF0F69">
        <w:rPr>
          <w:lang w:val="sr-Cyrl-RS"/>
        </w:rPr>
        <w:t xml:space="preserve"> мушкараца</w:t>
      </w:r>
      <w:r w:rsidR="00EF10CE">
        <w:t>.</w:t>
      </w:r>
      <w:r>
        <w:rPr>
          <w:lang w:val="sr-Cyrl-RS"/>
        </w:rPr>
        <w:t xml:space="preserve"> Наведени подаци пружају основу за оцену реализације политике једнаких могућности и равноправности на основу пола, као за сагледавање трендова како би се дефинисале норме и мере које треба да унапреде постојеће стање у друштву. </w:t>
      </w:r>
    </w:p>
    <w:p w:rsidR="004D2A16" w:rsidRDefault="005E5ECA" w:rsidP="005B578B">
      <w:pPr>
        <w:pStyle w:val="BodyText2"/>
        <w:spacing w:before="60"/>
        <w:ind w:firstLine="720"/>
        <w:rPr>
          <w:rFonts w:eastAsiaTheme="minorHAnsi"/>
          <w:color w:val="000000"/>
          <w:shd w:val="clear" w:color="auto" w:fill="FFFFFF"/>
          <w:lang w:val="sr-Cyrl-RS" w:eastAsia="sr-Cyrl-CS"/>
        </w:rPr>
      </w:pPr>
      <w:r>
        <w:rPr>
          <w:lang w:val="sr-Cyrl-RS"/>
        </w:rPr>
        <w:t xml:space="preserve">У вези са наведеним, </w:t>
      </w:r>
      <w:r w:rsidR="00B50F58">
        <w:rPr>
          <w:rFonts w:eastAsiaTheme="minorHAnsi"/>
          <w:color w:val="000000"/>
          <w:shd w:val="clear" w:color="auto" w:fill="FFFFFF"/>
          <w:lang w:val="sr-Cyrl-RS" w:eastAsia="sr-Cyrl-CS"/>
        </w:rPr>
        <w:t>у</w:t>
      </w:r>
      <w:r w:rsidR="004D2A16">
        <w:rPr>
          <w:rFonts w:eastAsiaTheme="minorHAnsi"/>
          <w:color w:val="000000"/>
          <w:shd w:val="clear" w:color="auto" w:fill="FFFFFF"/>
          <w:lang w:val="sr-Cyrl-RS" w:eastAsia="sr-Cyrl-CS"/>
        </w:rPr>
        <w:t xml:space="preserve"> члану 14.</w:t>
      </w:r>
      <w:r w:rsidR="00EA6FB4">
        <w:rPr>
          <w:rFonts w:eastAsiaTheme="minorHAnsi"/>
          <w:color w:val="000000"/>
          <w:shd w:val="clear" w:color="auto" w:fill="FFFFFF"/>
          <w:lang w:val="sr-Cyrl-RS" w:eastAsia="sr-Cyrl-CS"/>
        </w:rPr>
        <w:t xml:space="preserve"> поменутог </w:t>
      </w:r>
      <w:r w:rsidR="000D22DC">
        <w:rPr>
          <w:rFonts w:eastAsiaTheme="minorHAnsi"/>
          <w:color w:val="000000"/>
          <w:shd w:val="clear" w:color="auto" w:fill="FFFFFF"/>
          <w:lang w:val="sr-Cyrl-RS" w:eastAsia="sr-Cyrl-CS"/>
        </w:rPr>
        <w:t>з</w:t>
      </w:r>
      <w:r w:rsidR="00B50F58">
        <w:rPr>
          <w:rFonts w:eastAsiaTheme="minorHAnsi"/>
          <w:color w:val="000000"/>
          <w:shd w:val="clear" w:color="auto" w:fill="FFFFFF"/>
          <w:lang w:val="sr-Cyrl-RS" w:eastAsia="sr-Cyrl-CS"/>
        </w:rPr>
        <w:t>акона</w:t>
      </w:r>
      <w:r w:rsidR="004D2A16">
        <w:rPr>
          <w:rFonts w:eastAsiaTheme="minorHAnsi"/>
          <w:color w:val="000000"/>
          <w:shd w:val="clear" w:color="auto" w:fill="FFFFFF"/>
          <w:lang w:val="sr-Cyrl-RS" w:eastAsia="sr-Cyrl-CS"/>
        </w:rPr>
        <w:t xml:space="preserve"> садржана </w:t>
      </w:r>
      <w:r w:rsidR="00B50F58">
        <w:rPr>
          <w:rFonts w:eastAsiaTheme="minorHAnsi"/>
          <w:color w:val="000000"/>
          <w:shd w:val="clear" w:color="auto" w:fill="FFFFFF"/>
          <w:lang w:val="sr-Cyrl-RS" w:eastAsia="sr-Cyrl-CS"/>
        </w:rPr>
        <w:t xml:space="preserve">је </w:t>
      </w:r>
      <w:r w:rsidR="004D2A16">
        <w:rPr>
          <w:rFonts w:eastAsiaTheme="minorHAnsi"/>
          <w:color w:val="000000"/>
          <w:shd w:val="clear" w:color="auto" w:fill="FFFFFF"/>
          <w:lang w:val="sr-Cyrl-RS" w:eastAsia="sr-Cyrl-CS"/>
        </w:rPr>
        <w:t>веома значајна мера</w:t>
      </w:r>
      <w:r w:rsidR="000D22DC">
        <w:rPr>
          <w:rFonts w:eastAsiaTheme="minorHAnsi"/>
          <w:color w:val="000000"/>
          <w:shd w:val="clear" w:color="auto" w:fill="FFFFFF"/>
          <w:lang w:val="sr-Cyrl-RS" w:eastAsia="sr-Cyrl-CS"/>
        </w:rPr>
        <w:t xml:space="preserve"> која се односи на једнаку доступност послова и положаја кроз примену афирмативне мере од 30% за мање заступљени пол </w:t>
      </w:r>
      <w:r w:rsidR="00D167C7">
        <w:rPr>
          <w:rFonts w:eastAsiaTheme="minorHAnsi"/>
          <w:color w:val="000000"/>
          <w:shd w:val="clear" w:color="auto" w:fill="FFFFFF"/>
          <w:lang w:val="sr-Cyrl-RS" w:eastAsia="sr-Cyrl-CS"/>
        </w:rPr>
        <w:t>„</w:t>
      </w:r>
      <w:r w:rsidR="000D22DC">
        <w:rPr>
          <w:rFonts w:eastAsiaTheme="minorHAnsi"/>
          <w:color w:val="000000"/>
          <w:shd w:val="clear" w:color="auto" w:fill="FFFFFF"/>
          <w:lang w:val="sr-Cyrl-RS" w:eastAsia="sr-Cyrl-CS"/>
        </w:rPr>
        <w:t xml:space="preserve">у свакој организационој јединици, на руководећем местима и у органима управљања и надзора у складу са Законом о државним службеницима и </w:t>
      </w:r>
      <w:r w:rsidR="00D167C7">
        <w:rPr>
          <w:rFonts w:eastAsiaTheme="minorHAnsi"/>
          <w:color w:val="000000"/>
          <w:shd w:val="clear" w:color="auto" w:fill="FFFFFF"/>
          <w:lang w:val="sr-Cyrl-RS" w:eastAsia="sr-Cyrl-CS"/>
        </w:rPr>
        <w:t>З</w:t>
      </w:r>
      <w:r w:rsidR="000D22DC">
        <w:rPr>
          <w:rFonts w:eastAsiaTheme="minorHAnsi"/>
          <w:color w:val="000000"/>
          <w:shd w:val="clear" w:color="auto" w:fill="FFFFFF"/>
          <w:lang w:val="sr-Cyrl-RS" w:eastAsia="sr-Cyrl-CS"/>
        </w:rPr>
        <w:t>аконом о државној управи“</w:t>
      </w:r>
      <w:r w:rsidR="00D167C7">
        <w:rPr>
          <w:rFonts w:eastAsiaTheme="minorHAnsi"/>
          <w:color w:val="000000"/>
          <w:shd w:val="clear" w:color="auto" w:fill="FFFFFF"/>
          <w:lang w:val="sr-Cyrl-RS" w:eastAsia="sr-Cyrl-CS"/>
        </w:rPr>
        <w:t xml:space="preserve">, </w:t>
      </w:r>
      <w:r w:rsidR="00CD1DAF">
        <w:rPr>
          <w:rFonts w:eastAsiaTheme="minorHAnsi"/>
          <w:color w:val="000000"/>
          <w:shd w:val="clear" w:color="auto" w:fill="FFFFFF"/>
          <w:lang w:val="sr-Cyrl-RS" w:eastAsia="sr-Cyrl-CS"/>
        </w:rPr>
        <w:t xml:space="preserve">а </w:t>
      </w:r>
      <w:r w:rsidR="00D167C7">
        <w:rPr>
          <w:rFonts w:eastAsiaTheme="minorHAnsi"/>
          <w:color w:val="000000"/>
          <w:shd w:val="clear" w:color="auto" w:fill="FFFFFF"/>
          <w:lang w:val="sr-Cyrl-RS" w:eastAsia="sr-Cyrl-CS"/>
        </w:rPr>
        <w:t>која није разређена одговарајућим одредбама закона која би садржала и обавезу органа јавне власти да извештавају о реализацији те мере.</w:t>
      </w:r>
    </w:p>
    <w:p w:rsidR="004D2A16" w:rsidRDefault="004D2A16" w:rsidP="005B578B">
      <w:pPr>
        <w:pStyle w:val="BodyText2"/>
        <w:spacing w:before="60"/>
        <w:rPr>
          <w:lang w:val="sr-Cyrl-RS"/>
        </w:rPr>
      </w:pPr>
    </w:p>
    <w:p w:rsidR="00176D3D" w:rsidRDefault="00556FC5" w:rsidP="005B578B">
      <w:pPr>
        <w:pStyle w:val="BodyText2"/>
        <w:spacing w:before="60"/>
        <w:jc w:val="center"/>
        <w:rPr>
          <w:b/>
          <w:lang w:val="sr-Cyrl-RS"/>
        </w:rPr>
      </w:pPr>
      <w:r>
        <w:rPr>
          <w:b/>
          <w:lang w:val="sr-Latn-RS"/>
        </w:rPr>
        <w:t>II</w:t>
      </w:r>
      <w:r w:rsidR="006F19F7">
        <w:rPr>
          <w:b/>
          <w:lang w:val="sr-Latn-RS"/>
        </w:rPr>
        <w:t xml:space="preserve"> </w:t>
      </w:r>
      <w:r w:rsidR="00176D3D" w:rsidRPr="00556FC5">
        <w:rPr>
          <w:b/>
          <w:lang w:val="sr-Cyrl-RS"/>
        </w:rPr>
        <w:t>ЗАПОШЉАВАЊЕ, СОЦИЈАЛНА И ЗДРАВСТВЕНА ЗАШТИТА</w:t>
      </w:r>
    </w:p>
    <w:p w:rsidR="00014138" w:rsidRDefault="00014138" w:rsidP="005B578B">
      <w:pPr>
        <w:pStyle w:val="BodyText2"/>
        <w:tabs>
          <w:tab w:val="left" w:pos="0"/>
        </w:tabs>
        <w:spacing w:before="60"/>
        <w:rPr>
          <w:color w:val="000000" w:themeColor="text1"/>
          <w:lang w:val="sr-Cyrl-RS"/>
        </w:rPr>
      </w:pPr>
    </w:p>
    <w:p w:rsidR="00014138" w:rsidRDefault="00014138" w:rsidP="005B578B">
      <w:pPr>
        <w:pStyle w:val="BodyText2"/>
        <w:tabs>
          <w:tab w:val="left" w:pos="0"/>
        </w:tabs>
        <w:spacing w:before="60"/>
        <w:ind w:firstLine="709"/>
        <w:rPr>
          <w:color w:val="000000" w:themeColor="text1"/>
          <w:lang w:val="sr-Cyrl-RS"/>
        </w:rPr>
      </w:pPr>
      <w:r>
        <w:rPr>
          <w:color w:val="000000" w:themeColor="text1"/>
          <w:lang w:val="sr-Cyrl-RS"/>
        </w:rPr>
        <w:t xml:space="preserve">Значајна пажња у </w:t>
      </w:r>
      <w:r w:rsidRPr="00C40E97">
        <w:rPr>
          <w:i/>
          <w:color w:val="000000" w:themeColor="text1"/>
          <w:lang w:val="sr-Cyrl-RS"/>
        </w:rPr>
        <w:t>Закону о равноправности полова</w:t>
      </w:r>
      <w:r>
        <w:rPr>
          <w:color w:val="000000" w:themeColor="text1"/>
          <w:lang w:val="sr-Cyrl-RS"/>
        </w:rPr>
        <w:t xml:space="preserve"> се посвећује области запошљавања</w:t>
      </w:r>
      <w:r w:rsidRPr="00EC2E2A">
        <w:rPr>
          <w:color w:val="000000" w:themeColor="text1"/>
          <w:lang w:val="ru-RU"/>
        </w:rPr>
        <w:t xml:space="preserve">, </w:t>
      </w:r>
      <w:r>
        <w:rPr>
          <w:color w:val="000000" w:themeColor="text1"/>
          <w:lang w:val="sr-Cyrl-RS"/>
        </w:rPr>
        <w:t>социјалне и здравствене заштите и у вези са наведеним, овај закон је предвидео низ мера како за послодавце, тако и за органе јавне власти чији је циљ отклањање неједнакости у наведеним областима. Овај део извештај је сачињен на основу извештаја ресорног Министарства у области рада, запошљавања и социјалне заштите, Националне службе запошљавања, Министарства здравља и Републичког завода за статистик</w:t>
      </w:r>
      <w:r w:rsidR="00504039">
        <w:rPr>
          <w:color w:val="000000" w:themeColor="text1"/>
          <w:lang w:val="sr-Cyrl-RS"/>
        </w:rPr>
        <w:t>у</w:t>
      </w:r>
      <w:r>
        <w:rPr>
          <w:color w:val="000000" w:themeColor="text1"/>
          <w:lang w:val="sr-Cyrl-RS"/>
        </w:rPr>
        <w:t>.</w:t>
      </w:r>
    </w:p>
    <w:p w:rsidR="00FD6336" w:rsidRDefault="00504039" w:rsidP="005B578B">
      <w:pPr>
        <w:spacing w:before="60"/>
        <w:ind w:firstLine="709"/>
        <w:jc w:val="both"/>
        <w:rPr>
          <w:lang w:val="sr-Cyrl-RS"/>
        </w:rPr>
      </w:pPr>
      <w:r w:rsidRPr="00504039">
        <w:rPr>
          <w:lang w:val="sr-Cyrl-RS"/>
        </w:rPr>
        <w:lastRenderedPageBreak/>
        <w:t xml:space="preserve">Према </w:t>
      </w:r>
      <w:r w:rsidRPr="00FD6336">
        <w:rPr>
          <w:i/>
          <w:lang w:val="sr-Cyrl-RS"/>
        </w:rPr>
        <w:t>Индексу родне равноправности</w:t>
      </w:r>
      <w:r w:rsidR="00FD6336">
        <w:rPr>
          <w:lang w:val="sr-Cyrl-RS"/>
        </w:rPr>
        <w:t>,</w:t>
      </w:r>
      <w:r w:rsidRPr="00504039">
        <w:rPr>
          <w:lang w:val="sr-Cyrl-RS"/>
        </w:rPr>
        <w:t xml:space="preserve"> објављеном 2018. године, у домену рада Србија је 2014. имала 67,3 поена, а 2016. године 68,2 поена, што представља повећање у разматране две године за 0,9 поена. У</w:t>
      </w:r>
      <w:r w:rsidR="00EA6FB4">
        <w:rPr>
          <w:lang w:val="sr-Cyrl-RS"/>
        </w:rPr>
        <w:t xml:space="preserve"> </w:t>
      </w:r>
      <w:r w:rsidRPr="00504039">
        <w:rPr>
          <w:lang w:val="sr-Cyrl-RS"/>
        </w:rPr>
        <w:t>односу на просек ЕУ-28, Србија бележи нижу вредност индекса за само 3,3 поена и заузима 22. место када се</w:t>
      </w:r>
      <w:r>
        <w:rPr>
          <w:sz w:val="28"/>
          <w:szCs w:val="28"/>
          <w:lang w:val="sr-Cyrl-RS"/>
        </w:rPr>
        <w:t xml:space="preserve"> </w:t>
      </w:r>
      <w:r w:rsidRPr="00504039">
        <w:rPr>
          <w:lang w:val="sr-Cyrl-RS"/>
        </w:rPr>
        <w:t>рангира заједно са државама чланицама, при чему је најближа Бугарској и Мађарској по вредности индекса за домен рада.</w:t>
      </w:r>
      <w:r w:rsidR="00FD6336">
        <w:rPr>
          <w:lang w:val="sr-Cyrl-RS"/>
        </w:rPr>
        <w:t xml:space="preserve"> Према истом извору, </w:t>
      </w:r>
      <w:r w:rsidR="00FD6336" w:rsidRPr="00FD6336">
        <w:rPr>
          <w:lang w:val="sr-Cyrl-RS"/>
        </w:rPr>
        <w:t>у домену здравља, Србија је 2014. имала 83,4 поена, а 2016. године 84,0 поена, што представља повећање у разматране две године за 0,6 поена. У поређењу са државама чланицама ЕУ, Србија заузима 20. место и налази се између Словачке и Португалије, а за просеком ЕУ-28 заостаје за 3,4 поена, док за Шведском, која има најбољи резултат у домену здравља, заостаје за 10,1 поен.</w:t>
      </w:r>
      <w:r w:rsidR="00FD6336">
        <w:rPr>
          <w:lang w:val="sr-Cyrl-RS"/>
        </w:rPr>
        <w:t xml:space="preserve"> </w:t>
      </w:r>
    </w:p>
    <w:p w:rsidR="00556FC5" w:rsidRDefault="00556FC5" w:rsidP="005B578B">
      <w:pPr>
        <w:pStyle w:val="BodyText2"/>
        <w:spacing w:before="60"/>
        <w:rPr>
          <w:b/>
          <w:lang w:val="sr-Cyrl-RS"/>
        </w:rPr>
      </w:pPr>
    </w:p>
    <w:p w:rsidR="00556FC5" w:rsidRPr="00556FC5" w:rsidRDefault="00556FC5" w:rsidP="005B578B">
      <w:pPr>
        <w:pStyle w:val="BodyText2"/>
        <w:numPr>
          <w:ilvl w:val="0"/>
          <w:numId w:val="5"/>
        </w:numPr>
        <w:spacing w:before="60"/>
        <w:ind w:hanging="11"/>
        <w:rPr>
          <w:b/>
          <w:lang w:val="sr-Latn-RS"/>
        </w:rPr>
      </w:pPr>
      <w:r>
        <w:rPr>
          <w:b/>
          <w:lang w:val="sr-Cyrl-RS"/>
        </w:rPr>
        <w:t>Остваривање равноправнос</w:t>
      </w:r>
      <w:r w:rsidR="00C40E97">
        <w:rPr>
          <w:b/>
          <w:lang w:val="sr-Cyrl-RS"/>
        </w:rPr>
        <w:t>ти полова у области запошљавања</w:t>
      </w:r>
    </w:p>
    <w:p w:rsidR="00176D3D" w:rsidRDefault="00176D3D" w:rsidP="005B578B">
      <w:pPr>
        <w:pStyle w:val="BodyText2"/>
        <w:spacing w:before="60"/>
        <w:rPr>
          <w:lang w:val="sr-Cyrl-RS"/>
        </w:rPr>
      </w:pPr>
    </w:p>
    <w:p w:rsidR="00F95959" w:rsidRPr="00F95959" w:rsidRDefault="00F95959" w:rsidP="005B578B">
      <w:pPr>
        <w:pStyle w:val="BodyText2"/>
        <w:tabs>
          <w:tab w:val="left" w:pos="0"/>
        </w:tabs>
        <w:spacing w:before="60"/>
        <w:ind w:firstLine="709"/>
        <w:rPr>
          <w:color w:val="000000" w:themeColor="text1"/>
          <w:lang w:val="sr-Cyrl-RS"/>
        </w:rPr>
      </w:pPr>
      <w:r w:rsidRPr="00F95959">
        <w:rPr>
          <w:color w:val="000000" w:themeColor="text1"/>
          <w:lang w:val="sr-Cyrl-RS"/>
        </w:rPr>
        <w:t>Политика запошљавања, као сегмент свеобухватне економске политике Републике Србије, у складу</w:t>
      </w:r>
      <w:r w:rsidR="00014138">
        <w:rPr>
          <w:color w:val="000000" w:themeColor="text1"/>
          <w:lang w:val="sr-Cyrl-RS"/>
        </w:rPr>
        <w:t xml:space="preserve"> је</w:t>
      </w:r>
      <w:r w:rsidRPr="00F95959">
        <w:rPr>
          <w:color w:val="000000" w:themeColor="text1"/>
          <w:lang w:val="sr-Cyrl-RS"/>
        </w:rPr>
        <w:t xml:space="preserve"> са спровођењем политике једнаких могућности на тржишту рада и промовисањем </w:t>
      </w:r>
      <w:r w:rsidR="004A6DEA">
        <w:rPr>
          <w:color w:val="000000" w:themeColor="text1"/>
          <w:lang w:val="sr-Cyrl-RS"/>
        </w:rPr>
        <w:t xml:space="preserve">једаког </w:t>
      </w:r>
      <w:r w:rsidRPr="00F95959">
        <w:rPr>
          <w:color w:val="000000" w:themeColor="text1"/>
          <w:lang w:val="sr-Cyrl-RS"/>
        </w:rPr>
        <w:t>приступа економским могућностима за жене</w:t>
      </w:r>
      <w:r w:rsidR="004A6DEA">
        <w:rPr>
          <w:color w:val="000000" w:themeColor="text1"/>
          <w:lang w:val="sr-Cyrl-RS"/>
        </w:rPr>
        <w:t xml:space="preserve"> и мушкарце</w:t>
      </w:r>
      <w:r w:rsidR="00014138">
        <w:rPr>
          <w:color w:val="000000" w:themeColor="text1"/>
          <w:lang w:val="sr-Cyrl-RS"/>
        </w:rPr>
        <w:t>. Поред наведеног, Влад</w:t>
      </w:r>
      <w:r w:rsidR="00504039">
        <w:rPr>
          <w:color w:val="000000" w:themeColor="text1"/>
          <w:lang w:val="sr-Cyrl-RS"/>
        </w:rPr>
        <w:t>а</w:t>
      </w:r>
      <w:r w:rsidR="00014138">
        <w:rPr>
          <w:color w:val="000000" w:themeColor="text1"/>
          <w:lang w:val="sr-Cyrl-RS"/>
        </w:rPr>
        <w:t xml:space="preserve"> Републике Србије, ресорно Министарство и</w:t>
      </w:r>
      <w:r w:rsidRPr="00F95959">
        <w:rPr>
          <w:color w:val="000000" w:themeColor="text1"/>
          <w:lang w:val="sr-Cyrl-RS"/>
        </w:rPr>
        <w:t xml:space="preserve"> </w:t>
      </w:r>
      <w:r w:rsidR="00504039">
        <w:rPr>
          <w:color w:val="000000" w:themeColor="text1"/>
          <w:lang w:val="sr-Cyrl-RS"/>
        </w:rPr>
        <w:t>други надлежни</w:t>
      </w:r>
      <w:r w:rsidR="00014138">
        <w:rPr>
          <w:color w:val="000000" w:themeColor="text1"/>
          <w:lang w:val="sr-Cyrl-RS"/>
        </w:rPr>
        <w:t xml:space="preserve"> органи јавне власти </w:t>
      </w:r>
      <w:r w:rsidRPr="00F95959">
        <w:rPr>
          <w:color w:val="000000" w:themeColor="text1"/>
          <w:lang w:val="sr-Cyrl-RS"/>
        </w:rPr>
        <w:t>пружа</w:t>
      </w:r>
      <w:r w:rsidR="00014138">
        <w:rPr>
          <w:color w:val="000000" w:themeColor="text1"/>
          <w:lang w:val="sr-Cyrl-RS"/>
        </w:rPr>
        <w:t>ју активну</w:t>
      </w:r>
      <w:r w:rsidRPr="00F95959">
        <w:rPr>
          <w:color w:val="000000" w:themeColor="text1"/>
          <w:lang w:val="sr-Cyrl-RS"/>
        </w:rPr>
        <w:t xml:space="preserve"> подршку економском оснаживању жена и јачању њиховог положаја на тржишту рада.</w:t>
      </w:r>
    </w:p>
    <w:p w:rsidR="00014138" w:rsidRDefault="00F95959" w:rsidP="005B578B">
      <w:pPr>
        <w:autoSpaceDE w:val="0"/>
        <w:autoSpaceDN w:val="0"/>
        <w:adjustRightInd w:val="0"/>
        <w:spacing w:before="60"/>
        <w:ind w:firstLine="720"/>
        <w:contextualSpacing/>
        <w:jc w:val="both"/>
        <w:rPr>
          <w:color w:val="000000" w:themeColor="text1"/>
          <w:lang w:val="sr-Cyrl-RS"/>
        </w:rPr>
      </w:pPr>
      <w:r w:rsidRPr="00F95959">
        <w:rPr>
          <w:color w:val="000000" w:themeColor="text1"/>
          <w:lang w:val="sr-Cyrl-RS"/>
        </w:rPr>
        <w:t>Политика запошљавања заснива се на начелу родне равноправности</w:t>
      </w:r>
      <w:r w:rsidR="004A6DEA">
        <w:rPr>
          <w:color w:val="000000" w:themeColor="text1"/>
          <w:lang w:val="sr-Cyrl-RS"/>
        </w:rPr>
        <w:t xml:space="preserve"> које је садржано</w:t>
      </w:r>
      <w:r w:rsidR="00CD1DAF">
        <w:rPr>
          <w:color w:val="000000" w:themeColor="text1"/>
          <w:lang w:val="sr-Cyrl-RS"/>
        </w:rPr>
        <w:t xml:space="preserve">, осим у </w:t>
      </w:r>
      <w:r w:rsidR="00CD1DAF" w:rsidRPr="00CD1DAF">
        <w:rPr>
          <w:i/>
          <w:color w:val="000000" w:themeColor="text1"/>
          <w:lang w:val="sr-Cyrl-RS"/>
        </w:rPr>
        <w:t>З</w:t>
      </w:r>
      <w:r w:rsidR="000C1D17" w:rsidRPr="00CD1DAF">
        <w:rPr>
          <w:i/>
          <w:color w:val="000000" w:themeColor="text1"/>
          <w:lang w:val="sr-Cyrl-RS"/>
        </w:rPr>
        <w:t>акону о равноправности полова</w:t>
      </w:r>
      <w:r w:rsidR="000C1D17">
        <w:rPr>
          <w:color w:val="000000" w:themeColor="text1"/>
          <w:lang w:val="sr-Cyrl-RS"/>
        </w:rPr>
        <w:t xml:space="preserve"> и</w:t>
      </w:r>
      <w:r w:rsidRPr="00F95959">
        <w:rPr>
          <w:color w:val="000000" w:themeColor="text1"/>
          <w:lang w:val="sr-Cyrl-RS"/>
        </w:rPr>
        <w:t xml:space="preserve"> у оба </w:t>
      </w:r>
      <w:r w:rsidR="004A6DEA">
        <w:rPr>
          <w:color w:val="000000" w:themeColor="text1"/>
          <w:lang w:val="sr-Cyrl-RS"/>
        </w:rPr>
        <w:t xml:space="preserve">релевантна </w:t>
      </w:r>
      <w:r w:rsidRPr="00F95959">
        <w:rPr>
          <w:color w:val="000000" w:themeColor="text1"/>
          <w:lang w:val="sr-Cyrl-RS"/>
        </w:rPr>
        <w:t>закона</w:t>
      </w:r>
      <w:r w:rsidR="004A6DEA">
        <w:rPr>
          <w:color w:val="000000" w:themeColor="text1"/>
          <w:lang w:val="sr-Cyrl-RS"/>
        </w:rPr>
        <w:t xml:space="preserve"> у области</w:t>
      </w:r>
      <w:r w:rsidR="000C1D17">
        <w:rPr>
          <w:color w:val="000000" w:themeColor="text1"/>
          <w:lang w:val="sr-Cyrl-RS"/>
        </w:rPr>
        <w:t xml:space="preserve"> запошљавања</w:t>
      </w:r>
      <w:r w:rsidR="004A6DEA">
        <w:rPr>
          <w:color w:val="000000" w:themeColor="text1"/>
          <w:lang w:val="sr-Cyrl-RS"/>
        </w:rPr>
        <w:t xml:space="preserve"> и то</w:t>
      </w:r>
      <w:r w:rsidRPr="00F95959">
        <w:rPr>
          <w:color w:val="000000" w:themeColor="text1"/>
          <w:lang w:val="sr-Cyrl-RS"/>
        </w:rPr>
        <w:t xml:space="preserve">: </w:t>
      </w:r>
      <w:r w:rsidRPr="004A6DEA">
        <w:rPr>
          <w:i/>
          <w:color w:val="000000" w:themeColor="text1"/>
          <w:lang w:val="sr-Cyrl-RS"/>
        </w:rPr>
        <w:t>Закону о запошљавању и осигурању за случај незапослености</w:t>
      </w:r>
      <w:r w:rsidR="00BE58A2">
        <w:rPr>
          <w:color w:val="000000" w:themeColor="text1"/>
          <w:lang w:val="sr-Cyrl-RS"/>
        </w:rPr>
        <w:t xml:space="preserve"> (,,Службени г</w:t>
      </w:r>
      <w:r>
        <w:rPr>
          <w:color w:val="000000" w:themeColor="text1"/>
          <w:lang w:val="sr-Cyrl-RS"/>
        </w:rPr>
        <w:t>ласник РС“, бр</w:t>
      </w:r>
      <w:r w:rsidRPr="00F95959">
        <w:rPr>
          <w:color w:val="000000" w:themeColor="text1"/>
          <w:lang w:val="sr-Cyrl-RS"/>
        </w:rPr>
        <w:t>. 36/20</w:t>
      </w:r>
      <w:r>
        <w:rPr>
          <w:color w:val="000000" w:themeColor="text1"/>
          <w:lang w:val="sr-Cyrl-RS"/>
        </w:rPr>
        <w:t>09, 88/2010, 38/2015, 113/2017 и 113/2017 - др</w:t>
      </w:r>
      <w:r w:rsidRPr="00F95959">
        <w:rPr>
          <w:color w:val="000000" w:themeColor="text1"/>
          <w:lang w:val="sr-Cyrl-RS"/>
        </w:rPr>
        <w:t xml:space="preserve">. </w:t>
      </w:r>
      <w:r>
        <w:rPr>
          <w:color w:val="000000" w:themeColor="text1"/>
          <w:lang w:val="sr-Cyrl-RS"/>
        </w:rPr>
        <w:t>закон</w:t>
      </w:r>
      <w:r w:rsidRPr="00F95959">
        <w:rPr>
          <w:color w:val="000000" w:themeColor="text1"/>
          <w:lang w:val="sr-Cyrl-RS"/>
        </w:rPr>
        <w:t xml:space="preserve">) и </w:t>
      </w:r>
      <w:r w:rsidRPr="004A6DEA">
        <w:rPr>
          <w:i/>
          <w:color w:val="000000" w:themeColor="text1"/>
          <w:lang w:val="sr-Cyrl-RS"/>
        </w:rPr>
        <w:t>Закону о професионалној рехабилитацији и запошљавању особа са инвалидитетом</w:t>
      </w:r>
      <w:r w:rsidRPr="00EC2E2A">
        <w:rPr>
          <w:lang w:val="ru-RU"/>
        </w:rPr>
        <w:t xml:space="preserve"> </w:t>
      </w:r>
      <w:r w:rsidR="00BE58A2">
        <w:rPr>
          <w:color w:val="000000" w:themeColor="text1"/>
          <w:lang w:val="sr-Cyrl-RS"/>
        </w:rPr>
        <w:t>(,,Службени</w:t>
      </w:r>
      <w:r w:rsidR="00D5752F">
        <w:rPr>
          <w:color w:val="000000" w:themeColor="text1"/>
          <w:lang w:val="sr-Cyrl-RS"/>
        </w:rPr>
        <w:t xml:space="preserve"> г</w:t>
      </w:r>
      <w:r>
        <w:rPr>
          <w:color w:val="000000" w:themeColor="text1"/>
          <w:lang w:val="sr-Cyrl-RS"/>
        </w:rPr>
        <w:t>ласник РС“, бр. 36/2009 и</w:t>
      </w:r>
      <w:r w:rsidRPr="00F95959">
        <w:rPr>
          <w:color w:val="000000" w:themeColor="text1"/>
          <w:lang w:val="sr-Cyrl-RS"/>
        </w:rPr>
        <w:t xml:space="preserve"> 32/2013).</w:t>
      </w:r>
    </w:p>
    <w:p w:rsidR="00312676" w:rsidRPr="005F274A" w:rsidRDefault="00312676" w:rsidP="005B578B">
      <w:pPr>
        <w:tabs>
          <w:tab w:val="left" w:pos="1104"/>
        </w:tabs>
        <w:spacing w:before="60"/>
        <w:ind w:firstLine="720"/>
        <w:jc w:val="both"/>
        <w:rPr>
          <w:rFonts w:eastAsia="Calibri"/>
          <w:lang w:val="sr-Cyrl-CS"/>
        </w:rPr>
      </w:pPr>
      <w:r w:rsidRPr="005F274A">
        <w:rPr>
          <w:rFonts w:eastAsia="Calibri"/>
          <w:lang w:val="sr-Cyrl-RS"/>
        </w:rPr>
        <w:t>Подаци Р</w:t>
      </w:r>
      <w:r w:rsidR="000C1D17">
        <w:rPr>
          <w:rFonts w:eastAsia="Calibri"/>
          <w:lang w:val="sr-Cyrl-RS"/>
        </w:rPr>
        <w:t>ЗС</w:t>
      </w:r>
      <w:r w:rsidRPr="005F274A">
        <w:rPr>
          <w:rFonts w:eastAsia="Calibri"/>
          <w:lang w:val="sr-Cyrl-RS"/>
        </w:rPr>
        <w:t xml:space="preserve"> из </w:t>
      </w:r>
      <w:r w:rsidRPr="005F274A">
        <w:rPr>
          <w:rFonts w:eastAsia="Calibri"/>
        </w:rPr>
        <w:t>A</w:t>
      </w:r>
      <w:r w:rsidRPr="005F274A">
        <w:rPr>
          <w:rFonts w:eastAsia="Calibri"/>
          <w:lang w:val="sr-Cyrl-RS"/>
        </w:rPr>
        <w:t>нкете о радној снази указују да је н</w:t>
      </w:r>
      <w:r w:rsidRPr="005F274A">
        <w:rPr>
          <w:rFonts w:eastAsia="Calibri"/>
          <w:lang w:val="sr-Cyrl-CS"/>
        </w:rPr>
        <w:t>езапосленост жена у Републици Србији израженија од незапослености мушкараца</w:t>
      </w:r>
      <w:r>
        <w:rPr>
          <w:rFonts w:eastAsia="Calibri"/>
          <w:lang w:val="sr-Cyrl-CS"/>
        </w:rPr>
        <w:t xml:space="preserve"> (Табела 1)</w:t>
      </w:r>
      <w:r w:rsidRPr="005F274A">
        <w:rPr>
          <w:rFonts w:eastAsia="Calibri"/>
          <w:lang w:val="sr-Cyrl-CS"/>
        </w:rPr>
        <w:t>.</w:t>
      </w:r>
    </w:p>
    <w:p w:rsidR="002E6023" w:rsidRDefault="002E6023" w:rsidP="002E6023">
      <w:pPr>
        <w:ind w:firstLine="709"/>
        <w:jc w:val="both"/>
        <w:rPr>
          <w:rFonts w:eastAsia="Calibri"/>
          <w:lang w:val="sr-Cyrl-CS"/>
        </w:rPr>
      </w:pPr>
      <w:r>
        <w:rPr>
          <w:rFonts w:eastAsia="Calibri"/>
          <w:lang w:val="sr-Cyrl-CS"/>
        </w:rPr>
        <w:t>Примера ради, у</w:t>
      </w:r>
      <w:r w:rsidRPr="005F274A">
        <w:rPr>
          <w:rFonts w:eastAsia="Calibri"/>
          <w:lang w:val="sr-Cyrl-CS"/>
        </w:rPr>
        <w:t xml:space="preserve"> </w:t>
      </w:r>
      <w:r w:rsidRPr="005F274A">
        <w:rPr>
          <w:rFonts w:eastAsia="Calibri"/>
          <w:bCs/>
          <w:lang w:val="sr-Cyrl-CS"/>
        </w:rPr>
        <w:t>I</w:t>
      </w:r>
      <w:r w:rsidRPr="005F274A">
        <w:rPr>
          <w:rFonts w:eastAsia="Calibri"/>
          <w:bCs/>
          <w:lang w:val="en-US"/>
        </w:rPr>
        <w:t>I</w:t>
      </w:r>
      <w:r w:rsidRPr="005F274A">
        <w:rPr>
          <w:rFonts w:eastAsia="Calibri"/>
          <w:bCs/>
          <w:lang w:val="sr-Latn-RS"/>
        </w:rPr>
        <w:t>I</w:t>
      </w:r>
      <w:r w:rsidRPr="005F274A">
        <w:rPr>
          <w:rFonts w:eastAsia="Calibri"/>
          <w:bCs/>
          <w:lang w:val="sr-Cyrl-CS"/>
        </w:rPr>
        <w:t xml:space="preserve"> </w:t>
      </w:r>
      <w:r w:rsidRPr="005F274A">
        <w:rPr>
          <w:rFonts w:eastAsia="Calibri"/>
          <w:lang w:val="sr-Cyrl-CS"/>
        </w:rPr>
        <w:t xml:space="preserve">кварталу 2018. године стопа активности жена износила је </w:t>
      </w:r>
      <w:r w:rsidRPr="00EC2E2A">
        <w:rPr>
          <w:rFonts w:eastAsia="Calibri"/>
          <w:lang w:val="ru-RU"/>
        </w:rPr>
        <w:t>47,5%</w:t>
      </w:r>
      <w:r w:rsidRPr="005F274A">
        <w:rPr>
          <w:rFonts w:eastAsia="Calibri"/>
          <w:lang w:val="sr-Cyrl-CS"/>
        </w:rPr>
        <w:t xml:space="preserve">, а мушкараца </w:t>
      </w:r>
      <w:r w:rsidRPr="00EC2E2A">
        <w:rPr>
          <w:rFonts w:eastAsia="Calibri"/>
          <w:lang w:val="ru-RU"/>
        </w:rPr>
        <w:t xml:space="preserve">64,0%, </w:t>
      </w:r>
      <w:r w:rsidRPr="005F274A">
        <w:rPr>
          <w:rFonts w:eastAsia="Calibri"/>
          <w:lang w:val="sr-Cyrl-CS"/>
        </w:rPr>
        <w:t xml:space="preserve">што представља разлику од </w:t>
      </w:r>
      <w:r w:rsidRPr="00EC2E2A">
        <w:rPr>
          <w:rFonts w:eastAsia="Calibri"/>
          <w:lang w:val="ru-RU"/>
        </w:rPr>
        <w:t>16,5</w:t>
      </w:r>
      <w:r>
        <w:rPr>
          <w:rFonts w:eastAsia="Calibri"/>
          <w:lang w:val="ru-RU"/>
        </w:rPr>
        <w:t>%</w:t>
      </w:r>
      <w:r w:rsidRPr="005F274A">
        <w:rPr>
          <w:rFonts w:eastAsia="Calibri"/>
          <w:lang w:val="sr-Cyrl-CS"/>
        </w:rPr>
        <w:t xml:space="preserve">. </w:t>
      </w:r>
      <w:r w:rsidRPr="005F274A">
        <w:rPr>
          <w:rFonts w:eastAsia="Calibri"/>
          <w:lang w:val="ru-RU"/>
        </w:rPr>
        <w:t xml:space="preserve">Стопа запослености жена од </w:t>
      </w:r>
      <w:r w:rsidRPr="00EC2E2A">
        <w:rPr>
          <w:rFonts w:eastAsia="Calibri"/>
          <w:lang w:val="ru-RU"/>
        </w:rPr>
        <w:t>41,7%</w:t>
      </w:r>
      <w:r w:rsidRPr="005F274A">
        <w:rPr>
          <w:rFonts w:eastAsia="Calibri"/>
          <w:lang w:val="ru-RU"/>
        </w:rPr>
        <w:t xml:space="preserve"> је и даље значајно нижа од стопе запослености мушкараца од </w:t>
      </w:r>
      <w:r w:rsidRPr="00EC2E2A">
        <w:rPr>
          <w:rFonts w:eastAsia="Calibri"/>
          <w:lang w:val="ru-RU"/>
        </w:rPr>
        <w:t>57,3%</w:t>
      </w:r>
      <w:r w:rsidRPr="005F274A">
        <w:rPr>
          <w:rFonts w:eastAsia="Calibri"/>
          <w:lang w:val="ru-RU"/>
        </w:rPr>
        <w:t xml:space="preserve">, и та разлика </w:t>
      </w:r>
      <w:r w:rsidRPr="005F274A">
        <w:rPr>
          <w:rFonts w:eastAsia="Calibri"/>
          <w:lang w:val="sr-Cyrl-CS"/>
        </w:rPr>
        <w:t xml:space="preserve">износи </w:t>
      </w:r>
      <w:r w:rsidRPr="00EC2E2A">
        <w:rPr>
          <w:rFonts w:eastAsia="Calibri"/>
          <w:lang w:val="ru-RU"/>
        </w:rPr>
        <w:t>15,6</w:t>
      </w:r>
      <w:r>
        <w:rPr>
          <w:rFonts w:eastAsia="Calibri"/>
          <w:lang w:val="sr-Cyrl-CS"/>
        </w:rPr>
        <w:t xml:space="preserve"> %. </w:t>
      </w:r>
      <w:r w:rsidRPr="005F274A">
        <w:rPr>
          <w:rFonts w:eastAsia="Calibri"/>
          <w:lang w:val="sr-Cyrl-CS"/>
        </w:rPr>
        <w:t xml:space="preserve">Стопа незапослености жена у </w:t>
      </w:r>
      <w:r w:rsidRPr="005F274A">
        <w:rPr>
          <w:rFonts w:eastAsia="Calibri"/>
          <w:bCs/>
          <w:lang w:val="sr-Cyrl-CS"/>
        </w:rPr>
        <w:t>I</w:t>
      </w:r>
      <w:r w:rsidRPr="005F274A">
        <w:rPr>
          <w:rFonts w:eastAsia="Calibri"/>
          <w:bCs/>
          <w:lang w:val="en-US"/>
        </w:rPr>
        <w:t>II</w:t>
      </w:r>
      <w:r w:rsidRPr="005F274A">
        <w:rPr>
          <w:rFonts w:eastAsia="Calibri"/>
          <w:bCs/>
          <w:lang w:val="sr-Cyrl-CS"/>
        </w:rPr>
        <w:t xml:space="preserve"> </w:t>
      </w:r>
      <w:r w:rsidRPr="005F274A">
        <w:rPr>
          <w:rFonts w:eastAsia="Calibri"/>
          <w:lang w:val="sr-Cyrl-CS"/>
        </w:rPr>
        <w:t>кварталу 2018. године је 1</w:t>
      </w:r>
      <w:r w:rsidRPr="00EC2E2A">
        <w:rPr>
          <w:rFonts w:eastAsia="Calibri"/>
          <w:lang w:val="ru-RU"/>
        </w:rPr>
        <w:t>2</w:t>
      </w:r>
      <w:r w:rsidRPr="005F274A">
        <w:rPr>
          <w:rFonts w:eastAsia="Calibri"/>
          <w:lang w:val="sr-Cyrl-CS"/>
        </w:rPr>
        <w:t>,</w:t>
      </w:r>
      <w:r w:rsidRPr="00EC2E2A">
        <w:rPr>
          <w:rFonts w:eastAsia="Calibri"/>
          <w:lang w:val="ru-RU"/>
        </w:rPr>
        <w:t>2</w:t>
      </w:r>
      <w:r w:rsidRPr="005F274A">
        <w:rPr>
          <w:rFonts w:eastAsia="Calibri"/>
          <w:lang w:val="sr-Cyrl-CS"/>
        </w:rPr>
        <w:t>%, а мушкараца 1</w:t>
      </w:r>
      <w:r w:rsidRPr="00EC2E2A">
        <w:rPr>
          <w:rFonts w:eastAsia="Calibri"/>
          <w:lang w:val="ru-RU"/>
        </w:rPr>
        <w:t>0</w:t>
      </w:r>
      <w:r w:rsidRPr="005F274A">
        <w:rPr>
          <w:rFonts w:eastAsia="Calibri"/>
          <w:lang w:val="sr-Cyrl-CS"/>
        </w:rPr>
        <w:t>,</w:t>
      </w:r>
      <w:r w:rsidRPr="00EC2E2A">
        <w:rPr>
          <w:rFonts w:eastAsia="Calibri"/>
          <w:lang w:val="ru-RU"/>
        </w:rPr>
        <w:t>5</w:t>
      </w:r>
      <w:r w:rsidRPr="005F274A">
        <w:rPr>
          <w:rFonts w:eastAsia="Calibri"/>
          <w:lang w:val="sr-Cyrl-CS"/>
        </w:rPr>
        <w:t xml:space="preserve">%, што представља разлику од </w:t>
      </w:r>
      <w:r w:rsidRPr="00EC2E2A">
        <w:rPr>
          <w:rFonts w:eastAsia="Calibri"/>
          <w:lang w:val="ru-RU"/>
        </w:rPr>
        <w:t>1</w:t>
      </w:r>
      <w:r w:rsidRPr="005F274A">
        <w:rPr>
          <w:rFonts w:eastAsia="Calibri"/>
          <w:lang w:val="sr-Cyrl-CS"/>
        </w:rPr>
        <w:t>,</w:t>
      </w:r>
      <w:r w:rsidRPr="00EC2E2A">
        <w:rPr>
          <w:rFonts w:eastAsia="Calibri"/>
          <w:lang w:val="ru-RU"/>
        </w:rPr>
        <w:t>7</w:t>
      </w:r>
      <w:r w:rsidRPr="005F274A">
        <w:rPr>
          <w:rFonts w:eastAsia="Calibri"/>
          <w:lang w:val="sr-Cyrl-CS"/>
        </w:rPr>
        <w:t xml:space="preserve"> </w:t>
      </w:r>
      <w:r>
        <w:rPr>
          <w:rFonts w:eastAsia="Calibri"/>
          <w:lang w:val="sr-Cyrl-CS"/>
        </w:rPr>
        <w:t>%</w:t>
      </w:r>
      <w:r w:rsidRPr="005F274A">
        <w:rPr>
          <w:rFonts w:eastAsia="Calibri"/>
          <w:lang w:val="sr-Cyrl-CS"/>
        </w:rPr>
        <w:t>.</w:t>
      </w:r>
    </w:p>
    <w:p w:rsidR="002E6023" w:rsidRDefault="002E6023" w:rsidP="002E6023">
      <w:pPr>
        <w:ind w:firstLine="709"/>
        <w:jc w:val="both"/>
        <w:rPr>
          <w:rFonts w:eastAsia="Calibri"/>
          <w:lang w:val="sr-Cyrl-CS"/>
        </w:rPr>
      </w:pPr>
    </w:p>
    <w:p w:rsidR="00312676" w:rsidRDefault="00312676" w:rsidP="00DA306F">
      <w:pPr>
        <w:ind w:firstLine="720"/>
        <w:jc w:val="center"/>
        <w:rPr>
          <w:rFonts w:eastAsia="Calibri"/>
          <w:b/>
          <w:lang w:val="sr-Cyrl-CS"/>
        </w:rPr>
      </w:pPr>
      <w:r w:rsidRPr="00312676">
        <w:rPr>
          <w:rFonts w:eastAsia="Calibri"/>
          <w:b/>
          <w:lang w:val="sr-Cyrl-CS"/>
        </w:rPr>
        <w:t>Табела 1: Подаци Р</w:t>
      </w:r>
      <w:r w:rsidR="000C1D17">
        <w:rPr>
          <w:rFonts w:eastAsia="Calibri"/>
          <w:b/>
          <w:lang w:val="sr-Cyrl-CS"/>
        </w:rPr>
        <w:t>епубличког завода за статистику</w:t>
      </w:r>
      <w:r w:rsidRPr="00312676">
        <w:rPr>
          <w:rFonts w:eastAsia="Calibri"/>
          <w:b/>
          <w:lang w:val="sr-Cyrl-CS"/>
        </w:rPr>
        <w:t xml:space="preserve"> из Анкете о радној снази за период 2014</w:t>
      </w:r>
      <w:r>
        <w:rPr>
          <w:rFonts w:eastAsia="Calibri"/>
          <w:b/>
          <w:lang w:val="sr-Cyrl-CS"/>
        </w:rPr>
        <w:t xml:space="preserve">-2017. (у просеку) и за </w:t>
      </w:r>
      <w:r w:rsidRPr="00312676">
        <w:rPr>
          <w:rFonts w:eastAsia="Calibri"/>
          <w:b/>
          <w:lang w:val="sr-Cyrl-CS"/>
        </w:rPr>
        <w:t>2018.</w:t>
      </w:r>
      <w:r>
        <w:rPr>
          <w:rFonts w:eastAsia="Calibri"/>
          <w:b/>
          <w:lang w:val="sr-Cyrl-CS"/>
        </w:rPr>
        <w:t xml:space="preserve"> годину (квартално), разврстани по полу</w:t>
      </w:r>
    </w:p>
    <w:p w:rsidR="00DA306F" w:rsidRPr="005F274A" w:rsidRDefault="00DA306F" w:rsidP="00DA306F">
      <w:pPr>
        <w:ind w:firstLine="720"/>
        <w:jc w:val="both"/>
        <w:rPr>
          <w:rFonts w:eastAsia="Calibri"/>
          <w:b/>
          <w:lang w:val="sr-Cyrl-C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855"/>
        <w:gridCol w:w="915"/>
        <w:gridCol w:w="915"/>
        <w:gridCol w:w="915"/>
        <w:gridCol w:w="915"/>
        <w:gridCol w:w="1004"/>
        <w:gridCol w:w="1004"/>
        <w:gridCol w:w="1004"/>
      </w:tblGrid>
      <w:tr w:rsidR="00DA306F" w:rsidRPr="005F274A" w:rsidTr="00EA41C1">
        <w:trPr>
          <w:trHeight w:val="765"/>
          <w:jc w:val="center"/>
        </w:trPr>
        <w:tc>
          <w:tcPr>
            <w:tcW w:w="2830" w:type="dxa"/>
            <w:gridSpan w:val="2"/>
            <w:shd w:val="clear" w:color="auto" w:fill="00B0F0"/>
            <w:noWrap/>
            <w:vAlign w:val="center"/>
            <w:hideMark/>
          </w:tcPr>
          <w:p w:rsidR="00DA306F" w:rsidRPr="005F274A" w:rsidRDefault="00DA306F" w:rsidP="00312676">
            <w:pPr>
              <w:rPr>
                <w:lang w:val="sr-Cyrl-CS"/>
              </w:rPr>
            </w:pPr>
            <w:r w:rsidRPr="005F274A">
              <w:rPr>
                <w:lang w:val="sr-Cyrl-CS"/>
              </w:rPr>
              <w:t>Старосна категорија 15+</w:t>
            </w:r>
          </w:p>
        </w:tc>
        <w:tc>
          <w:tcPr>
            <w:tcW w:w="902" w:type="dxa"/>
            <w:shd w:val="clear" w:color="auto" w:fill="00B0F0"/>
          </w:tcPr>
          <w:p w:rsidR="00DA306F" w:rsidRPr="00EC2E2A" w:rsidRDefault="00DA306F" w:rsidP="00005DC6">
            <w:pPr>
              <w:jc w:val="center"/>
              <w:rPr>
                <w:rFonts w:eastAsia="Calibri"/>
                <w:bCs/>
                <w:lang w:val="sr-Cyrl-RS"/>
              </w:rPr>
            </w:pPr>
            <w:r w:rsidRPr="00EC2E2A">
              <w:rPr>
                <w:rFonts w:eastAsia="Calibri"/>
                <w:bCs/>
                <w:lang w:val="sr-Cyrl-RS"/>
              </w:rPr>
              <w:t>2014</w:t>
            </w:r>
          </w:p>
          <w:p w:rsidR="00DA306F" w:rsidRPr="00EC2E2A" w:rsidRDefault="00DA306F" w:rsidP="00005DC6">
            <w:pPr>
              <w:jc w:val="center"/>
              <w:rPr>
                <w:rFonts w:eastAsia="Calibri"/>
                <w:bCs/>
                <w:lang w:val="sr-Cyrl-RS"/>
              </w:rPr>
            </w:pPr>
            <w:r w:rsidRPr="00EC2E2A">
              <w:rPr>
                <w:rFonts w:eastAsia="Calibri"/>
                <w:bCs/>
                <w:lang w:val="sr-Cyrl-CS"/>
              </w:rPr>
              <w:t>просек</w:t>
            </w:r>
          </w:p>
        </w:tc>
        <w:tc>
          <w:tcPr>
            <w:tcW w:w="902" w:type="dxa"/>
            <w:shd w:val="clear" w:color="auto" w:fill="00B0F0"/>
          </w:tcPr>
          <w:p w:rsidR="00DA306F" w:rsidRPr="00EC2E2A" w:rsidRDefault="00DA306F" w:rsidP="00005DC6">
            <w:pPr>
              <w:jc w:val="center"/>
              <w:rPr>
                <w:rFonts w:eastAsia="Calibri"/>
                <w:bCs/>
                <w:lang w:val="sr-Cyrl-RS"/>
              </w:rPr>
            </w:pPr>
            <w:r w:rsidRPr="00EC2E2A">
              <w:rPr>
                <w:rFonts w:eastAsia="Calibri"/>
                <w:bCs/>
                <w:lang w:val="sr-Cyrl-RS"/>
              </w:rPr>
              <w:t>2015</w:t>
            </w:r>
          </w:p>
          <w:p w:rsidR="00DA306F" w:rsidRPr="00EC2E2A" w:rsidRDefault="00DA306F" w:rsidP="00005DC6">
            <w:pPr>
              <w:jc w:val="center"/>
              <w:rPr>
                <w:rFonts w:eastAsia="Calibri"/>
                <w:bCs/>
                <w:lang w:val="sr-Cyrl-RS"/>
              </w:rPr>
            </w:pPr>
            <w:r w:rsidRPr="00EC2E2A">
              <w:rPr>
                <w:rFonts w:eastAsia="Calibri"/>
                <w:bCs/>
                <w:lang w:val="sr-Cyrl-CS"/>
              </w:rPr>
              <w:t>просек</w:t>
            </w:r>
          </w:p>
        </w:tc>
        <w:tc>
          <w:tcPr>
            <w:tcW w:w="902" w:type="dxa"/>
            <w:shd w:val="clear" w:color="auto" w:fill="00B0F0"/>
            <w:vAlign w:val="center"/>
            <w:hideMark/>
          </w:tcPr>
          <w:p w:rsidR="00DA306F" w:rsidRPr="00EC2E2A" w:rsidRDefault="00DA306F" w:rsidP="00005DC6">
            <w:pPr>
              <w:jc w:val="center"/>
              <w:rPr>
                <w:rFonts w:eastAsia="Calibri"/>
                <w:bCs/>
                <w:lang w:val="sr-Cyrl-CS"/>
              </w:rPr>
            </w:pPr>
            <w:r w:rsidRPr="00EC2E2A">
              <w:rPr>
                <w:rFonts w:eastAsia="Calibri"/>
                <w:bCs/>
                <w:lang w:val="en-US"/>
              </w:rPr>
              <w:t>2016</w:t>
            </w:r>
            <w:r w:rsidRPr="00EC2E2A">
              <w:rPr>
                <w:rFonts w:eastAsia="Calibri"/>
                <w:bCs/>
                <w:lang w:val="sr-Cyrl-CS"/>
              </w:rPr>
              <w:t>.</w:t>
            </w:r>
          </w:p>
          <w:p w:rsidR="00DA306F" w:rsidRPr="00EC2E2A" w:rsidRDefault="00DA306F" w:rsidP="00005DC6">
            <w:pPr>
              <w:jc w:val="center"/>
              <w:rPr>
                <w:rFonts w:eastAsia="Calibri"/>
                <w:bCs/>
                <w:lang w:val="sr-Cyrl-CS"/>
              </w:rPr>
            </w:pPr>
            <w:r w:rsidRPr="00EC2E2A">
              <w:rPr>
                <w:rFonts w:eastAsia="Calibri"/>
                <w:bCs/>
                <w:lang w:val="sr-Cyrl-CS"/>
              </w:rPr>
              <w:t>просек</w:t>
            </w:r>
          </w:p>
        </w:tc>
        <w:tc>
          <w:tcPr>
            <w:tcW w:w="902" w:type="dxa"/>
            <w:shd w:val="clear" w:color="auto" w:fill="00B0F0"/>
            <w:vAlign w:val="center"/>
          </w:tcPr>
          <w:p w:rsidR="00DA306F" w:rsidRPr="00EC2E2A" w:rsidRDefault="00DA306F" w:rsidP="00005DC6">
            <w:pPr>
              <w:jc w:val="center"/>
              <w:rPr>
                <w:rFonts w:eastAsia="Calibri"/>
                <w:bCs/>
                <w:lang w:val="sr-Cyrl-CS"/>
              </w:rPr>
            </w:pPr>
            <w:r w:rsidRPr="00EC2E2A">
              <w:rPr>
                <w:rFonts w:eastAsia="Calibri"/>
                <w:bCs/>
                <w:lang w:val="sr-Cyrl-CS"/>
              </w:rPr>
              <w:t>201</w:t>
            </w:r>
            <w:r w:rsidRPr="00EC2E2A">
              <w:rPr>
                <w:rFonts w:eastAsia="Calibri"/>
                <w:bCs/>
                <w:lang w:val="en-US"/>
              </w:rPr>
              <w:t>7</w:t>
            </w:r>
            <w:r w:rsidRPr="00EC2E2A">
              <w:rPr>
                <w:rFonts w:eastAsia="Calibri"/>
                <w:bCs/>
                <w:lang w:val="sr-Cyrl-CS"/>
              </w:rPr>
              <w:t>.</w:t>
            </w:r>
          </w:p>
          <w:p w:rsidR="00DA306F" w:rsidRPr="00EC2E2A" w:rsidRDefault="00DA306F" w:rsidP="00005DC6">
            <w:pPr>
              <w:jc w:val="center"/>
              <w:rPr>
                <w:rFonts w:eastAsia="Calibri"/>
                <w:bCs/>
                <w:lang w:val="sr-Cyrl-CS"/>
              </w:rPr>
            </w:pPr>
            <w:r w:rsidRPr="00EC2E2A">
              <w:rPr>
                <w:rFonts w:eastAsia="Calibri"/>
                <w:lang w:val="sr-Cyrl-CS"/>
              </w:rPr>
              <w:t>просек</w:t>
            </w:r>
          </w:p>
        </w:tc>
        <w:tc>
          <w:tcPr>
            <w:tcW w:w="1004" w:type="dxa"/>
            <w:shd w:val="clear" w:color="auto" w:fill="00B0F0"/>
            <w:vAlign w:val="center"/>
          </w:tcPr>
          <w:p w:rsidR="00DA306F" w:rsidRPr="005F274A" w:rsidRDefault="00DA306F" w:rsidP="00005DC6">
            <w:pPr>
              <w:jc w:val="center"/>
              <w:rPr>
                <w:rFonts w:eastAsia="Calibri"/>
                <w:b/>
                <w:bCs/>
                <w:lang w:val="sr-Cyrl-CS"/>
              </w:rPr>
            </w:pPr>
            <w:r w:rsidRPr="005F274A">
              <w:rPr>
                <w:rFonts w:eastAsia="Calibri"/>
                <w:bCs/>
                <w:lang w:val="sr-Cyrl-CS"/>
              </w:rPr>
              <w:t xml:space="preserve">I </w:t>
            </w:r>
            <w:r w:rsidRPr="005F274A">
              <w:rPr>
                <w:rFonts w:eastAsia="Calibri"/>
                <w:lang w:val="sr-Cyrl-CS"/>
              </w:rPr>
              <w:t>квартал 2018.</w:t>
            </w:r>
          </w:p>
        </w:tc>
        <w:tc>
          <w:tcPr>
            <w:tcW w:w="1004" w:type="dxa"/>
            <w:shd w:val="clear" w:color="auto" w:fill="00B0F0"/>
            <w:vAlign w:val="center"/>
          </w:tcPr>
          <w:p w:rsidR="00DA306F" w:rsidRPr="005F274A" w:rsidRDefault="00DA306F" w:rsidP="00005DC6">
            <w:pPr>
              <w:jc w:val="center"/>
              <w:rPr>
                <w:rFonts w:eastAsia="Calibri"/>
                <w:bCs/>
                <w:lang w:val="sr-Cyrl-CS"/>
              </w:rPr>
            </w:pPr>
            <w:r w:rsidRPr="005F274A">
              <w:rPr>
                <w:rFonts w:eastAsia="Calibri"/>
                <w:bCs/>
                <w:lang w:val="sr-Cyrl-CS"/>
              </w:rPr>
              <w:t>I</w:t>
            </w:r>
            <w:r w:rsidRPr="005F274A">
              <w:rPr>
                <w:rFonts w:eastAsia="Calibri"/>
                <w:bCs/>
                <w:lang w:val="en-US"/>
              </w:rPr>
              <w:t>I</w:t>
            </w:r>
            <w:r w:rsidRPr="005F274A">
              <w:rPr>
                <w:rFonts w:eastAsia="Calibri"/>
                <w:bCs/>
                <w:lang w:val="sr-Cyrl-CS"/>
              </w:rPr>
              <w:t xml:space="preserve"> </w:t>
            </w:r>
            <w:r w:rsidRPr="005F274A">
              <w:rPr>
                <w:rFonts w:eastAsia="Calibri"/>
                <w:lang w:val="sr-Cyrl-CS"/>
              </w:rPr>
              <w:t>квартал 2018.</w:t>
            </w:r>
          </w:p>
        </w:tc>
        <w:tc>
          <w:tcPr>
            <w:tcW w:w="1004" w:type="dxa"/>
            <w:shd w:val="clear" w:color="auto" w:fill="00B0F0"/>
          </w:tcPr>
          <w:p w:rsidR="00DA306F" w:rsidRPr="005F274A" w:rsidRDefault="00DA306F" w:rsidP="00DA306F">
            <w:pPr>
              <w:jc w:val="center"/>
              <w:rPr>
                <w:rFonts w:eastAsia="Calibri"/>
                <w:bCs/>
              </w:rPr>
            </w:pPr>
            <w:r w:rsidRPr="005F274A">
              <w:rPr>
                <w:rFonts w:eastAsia="Calibri"/>
                <w:bCs/>
                <w:lang w:val="sr-Cyrl-CS"/>
              </w:rPr>
              <w:t>I</w:t>
            </w:r>
            <w:r w:rsidRPr="005F274A">
              <w:rPr>
                <w:rFonts w:eastAsia="Calibri"/>
                <w:bCs/>
                <w:lang w:val="en-US"/>
              </w:rPr>
              <w:t>I</w:t>
            </w:r>
            <w:r w:rsidRPr="005F274A">
              <w:rPr>
                <w:rFonts w:eastAsia="Calibri"/>
                <w:bCs/>
              </w:rPr>
              <w:t>I</w:t>
            </w:r>
          </w:p>
          <w:p w:rsidR="00DA306F" w:rsidRPr="005F274A" w:rsidRDefault="00DA306F" w:rsidP="00DA306F">
            <w:pPr>
              <w:jc w:val="center"/>
              <w:rPr>
                <w:rFonts w:eastAsia="Calibri"/>
                <w:bCs/>
                <w:lang w:val="sr-Cyrl-CS"/>
              </w:rPr>
            </w:pPr>
            <w:r w:rsidRPr="005F274A">
              <w:rPr>
                <w:rFonts w:eastAsia="Calibri"/>
                <w:lang w:val="sr-Cyrl-CS"/>
              </w:rPr>
              <w:t>квартал 2018.</w:t>
            </w:r>
          </w:p>
        </w:tc>
      </w:tr>
      <w:tr w:rsidR="00DA306F" w:rsidRPr="005F274A" w:rsidTr="00DA306F">
        <w:trPr>
          <w:trHeight w:val="297"/>
          <w:jc w:val="center"/>
        </w:trPr>
        <w:tc>
          <w:tcPr>
            <w:tcW w:w="975" w:type="dxa"/>
          </w:tcPr>
          <w:p w:rsidR="00DA306F" w:rsidRPr="005F274A" w:rsidRDefault="00DA306F" w:rsidP="00312676">
            <w:pPr>
              <w:rPr>
                <w:rFonts w:eastAsia="Calibri"/>
                <w:b/>
                <w:bCs/>
                <w:lang w:val="sr-Cyrl-CS"/>
              </w:rPr>
            </w:pPr>
          </w:p>
        </w:tc>
        <w:tc>
          <w:tcPr>
            <w:tcW w:w="8475" w:type="dxa"/>
            <w:gridSpan w:val="8"/>
            <w:shd w:val="clear" w:color="auto" w:fill="auto"/>
            <w:noWrap/>
            <w:vAlign w:val="center"/>
          </w:tcPr>
          <w:p w:rsidR="00DA306F" w:rsidRPr="005F274A" w:rsidRDefault="00DA306F" w:rsidP="00312676">
            <w:pPr>
              <w:rPr>
                <w:rFonts w:eastAsia="Calibri"/>
                <w:b/>
                <w:bCs/>
                <w:lang w:val="sr-Cyrl-CS"/>
              </w:rPr>
            </w:pPr>
            <w:r w:rsidRPr="005F274A">
              <w:rPr>
                <w:rFonts w:eastAsia="Calibri"/>
                <w:b/>
                <w:bCs/>
                <w:lang w:val="sr-Cyrl-CS"/>
              </w:rPr>
              <w:t>Мушкарци</w:t>
            </w:r>
          </w:p>
        </w:tc>
      </w:tr>
      <w:tr w:rsidR="00DA306F" w:rsidRPr="005F274A" w:rsidTr="00DA306F">
        <w:trPr>
          <w:trHeight w:val="255"/>
          <w:jc w:val="center"/>
        </w:trPr>
        <w:tc>
          <w:tcPr>
            <w:tcW w:w="2830" w:type="dxa"/>
            <w:gridSpan w:val="2"/>
            <w:shd w:val="clear" w:color="auto" w:fill="auto"/>
            <w:vAlign w:val="center"/>
            <w:hideMark/>
          </w:tcPr>
          <w:p w:rsidR="00DA306F" w:rsidRPr="005F274A" w:rsidRDefault="00DA306F" w:rsidP="00DA306F">
            <w:pPr>
              <w:rPr>
                <w:lang w:val="sr-Cyrl-CS"/>
              </w:rPr>
            </w:pPr>
            <w:r w:rsidRPr="005F274A">
              <w:rPr>
                <w:lang w:val="en-US"/>
              </w:rPr>
              <w:t>Стопа активности</w:t>
            </w:r>
            <w:r w:rsidRPr="005F274A">
              <w:rPr>
                <w:lang w:val="sr-Cyrl-CS"/>
              </w:rPr>
              <w:t xml:space="preserve"> %</w:t>
            </w:r>
          </w:p>
        </w:tc>
        <w:tc>
          <w:tcPr>
            <w:tcW w:w="902" w:type="dxa"/>
          </w:tcPr>
          <w:p w:rsidR="00DA306F" w:rsidRPr="005F274A" w:rsidRDefault="00DA306F" w:rsidP="00DA306F">
            <w:pPr>
              <w:rPr>
                <w:rFonts w:eastAsia="Calibri"/>
                <w:bCs/>
                <w:lang w:val="en-US"/>
              </w:rPr>
            </w:pPr>
            <w:r w:rsidRPr="005F274A">
              <w:rPr>
                <w:rFonts w:eastAsia="Calibri"/>
                <w:bCs/>
                <w:lang w:val="en-US"/>
              </w:rPr>
              <w:t>60,7</w:t>
            </w:r>
          </w:p>
        </w:tc>
        <w:tc>
          <w:tcPr>
            <w:tcW w:w="902" w:type="dxa"/>
          </w:tcPr>
          <w:p w:rsidR="00DA306F" w:rsidRPr="005F274A" w:rsidRDefault="00DA306F" w:rsidP="00DA306F">
            <w:pPr>
              <w:rPr>
                <w:rFonts w:eastAsia="Calibri"/>
                <w:bCs/>
                <w:lang w:val="en-US"/>
              </w:rPr>
            </w:pPr>
            <w:r w:rsidRPr="005F274A">
              <w:rPr>
                <w:rFonts w:eastAsia="Calibri"/>
                <w:bCs/>
                <w:lang w:val="en-US"/>
              </w:rPr>
              <w:t>60,3</w:t>
            </w:r>
          </w:p>
        </w:tc>
        <w:tc>
          <w:tcPr>
            <w:tcW w:w="902" w:type="dxa"/>
            <w:shd w:val="clear" w:color="auto" w:fill="auto"/>
            <w:vAlign w:val="bottom"/>
            <w:hideMark/>
          </w:tcPr>
          <w:p w:rsidR="00DA306F" w:rsidRPr="005F274A" w:rsidRDefault="00DA306F" w:rsidP="00DA306F">
            <w:pPr>
              <w:rPr>
                <w:rFonts w:eastAsia="Calibri"/>
                <w:bCs/>
                <w:lang w:val="en-US"/>
              </w:rPr>
            </w:pPr>
            <w:r w:rsidRPr="005F274A">
              <w:rPr>
                <w:rFonts w:eastAsia="Calibri"/>
                <w:bCs/>
                <w:lang w:val="en-US"/>
              </w:rPr>
              <w:t>61,8</w:t>
            </w:r>
          </w:p>
        </w:tc>
        <w:tc>
          <w:tcPr>
            <w:tcW w:w="902"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62,2</w:t>
            </w:r>
          </w:p>
        </w:tc>
        <w:tc>
          <w:tcPr>
            <w:tcW w:w="1004"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61,4</w:t>
            </w:r>
          </w:p>
        </w:tc>
        <w:tc>
          <w:tcPr>
            <w:tcW w:w="1004"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63,6</w:t>
            </w:r>
          </w:p>
        </w:tc>
        <w:tc>
          <w:tcPr>
            <w:tcW w:w="1004" w:type="dxa"/>
          </w:tcPr>
          <w:p w:rsidR="00DA306F" w:rsidRPr="005F274A" w:rsidRDefault="00DA306F" w:rsidP="00DA306F">
            <w:pPr>
              <w:rPr>
                <w:rFonts w:eastAsia="Calibri"/>
                <w:bCs/>
                <w:lang w:val="sr-Cyrl-RS"/>
              </w:rPr>
            </w:pPr>
            <w:r w:rsidRPr="005F274A">
              <w:rPr>
                <w:rFonts w:eastAsia="Calibri"/>
                <w:bCs/>
                <w:lang w:val="sr-Cyrl-RS"/>
              </w:rPr>
              <w:t>64,0</w:t>
            </w:r>
          </w:p>
        </w:tc>
      </w:tr>
      <w:tr w:rsidR="00DA306F" w:rsidRPr="005F274A" w:rsidTr="00DA306F">
        <w:trPr>
          <w:trHeight w:val="255"/>
          <w:jc w:val="center"/>
        </w:trPr>
        <w:tc>
          <w:tcPr>
            <w:tcW w:w="2830" w:type="dxa"/>
            <w:gridSpan w:val="2"/>
            <w:shd w:val="clear" w:color="auto" w:fill="auto"/>
            <w:vAlign w:val="center"/>
            <w:hideMark/>
          </w:tcPr>
          <w:p w:rsidR="00DA306F" w:rsidRPr="005F274A" w:rsidRDefault="00DA306F" w:rsidP="00DA306F">
            <w:pPr>
              <w:rPr>
                <w:lang w:val="sr-Cyrl-CS"/>
              </w:rPr>
            </w:pPr>
            <w:r w:rsidRPr="005F274A">
              <w:rPr>
                <w:lang w:val="en-US"/>
              </w:rPr>
              <w:t>Стопа запослености</w:t>
            </w:r>
            <w:r w:rsidRPr="005F274A">
              <w:rPr>
                <w:lang w:val="sr-Cyrl-CS"/>
              </w:rPr>
              <w:t xml:space="preserve"> %</w:t>
            </w:r>
          </w:p>
        </w:tc>
        <w:tc>
          <w:tcPr>
            <w:tcW w:w="902" w:type="dxa"/>
          </w:tcPr>
          <w:p w:rsidR="00DA306F" w:rsidRPr="005F274A" w:rsidRDefault="00DA306F" w:rsidP="00DA306F">
            <w:pPr>
              <w:rPr>
                <w:rFonts w:eastAsia="Calibri"/>
                <w:bCs/>
                <w:lang w:val="en-US"/>
              </w:rPr>
            </w:pPr>
            <w:r w:rsidRPr="005F274A">
              <w:rPr>
                <w:rFonts w:eastAsia="Calibri"/>
                <w:bCs/>
                <w:lang w:val="en-US"/>
              </w:rPr>
              <w:t>49,5</w:t>
            </w:r>
          </w:p>
        </w:tc>
        <w:tc>
          <w:tcPr>
            <w:tcW w:w="902" w:type="dxa"/>
          </w:tcPr>
          <w:p w:rsidR="00DA306F" w:rsidRPr="005F274A" w:rsidRDefault="00DA306F" w:rsidP="00DA306F">
            <w:pPr>
              <w:rPr>
                <w:rFonts w:eastAsia="Calibri"/>
                <w:bCs/>
                <w:lang w:val="en-US"/>
              </w:rPr>
            </w:pPr>
            <w:r w:rsidRPr="005F274A">
              <w:rPr>
                <w:rFonts w:eastAsia="Calibri"/>
                <w:bCs/>
                <w:lang w:val="en-US"/>
              </w:rPr>
              <w:t>50,2</w:t>
            </w:r>
          </w:p>
        </w:tc>
        <w:tc>
          <w:tcPr>
            <w:tcW w:w="902" w:type="dxa"/>
            <w:shd w:val="clear" w:color="auto" w:fill="auto"/>
            <w:vAlign w:val="bottom"/>
            <w:hideMark/>
          </w:tcPr>
          <w:p w:rsidR="00DA306F" w:rsidRPr="005F274A" w:rsidRDefault="00DA306F" w:rsidP="00DA306F">
            <w:pPr>
              <w:rPr>
                <w:rFonts w:eastAsia="Calibri"/>
                <w:bCs/>
                <w:lang w:val="en-US"/>
              </w:rPr>
            </w:pPr>
            <w:r w:rsidRPr="005F274A">
              <w:rPr>
                <w:rFonts w:eastAsia="Calibri"/>
                <w:bCs/>
                <w:lang w:val="en-US"/>
              </w:rPr>
              <w:t>52,8</w:t>
            </w:r>
          </w:p>
        </w:tc>
        <w:tc>
          <w:tcPr>
            <w:tcW w:w="902"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54,2</w:t>
            </w:r>
          </w:p>
        </w:tc>
        <w:tc>
          <w:tcPr>
            <w:tcW w:w="1004"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52,7</w:t>
            </w:r>
          </w:p>
        </w:tc>
        <w:tc>
          <w:tcPr>
            <w:tcW w:w="1004"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56,4</w:t>
            </w:r>
          </w:p>
        </w:tc>
        <w:tc>
          <w:tcPr>
            <w:tcW w:w="1004" w:type="dxa"/>
          </w:tcPr>
          <w:p w:rsidR="00DA306F" w:rsidRPr="005F274A" w:rsidRDefault="00DA306F" w:rsidP="00DA306F">
            <w:pPr>
              <w:rPr>
                <w:rFonts w:eastAsia="Calibri"/>
                <w:bCs/>
                <w:lang w:val="sr-Cyrl-RS"/>
              </w:rPr>
            </w:pPr>
            <w:r w:rsidRPr="005F274A">
              <w:rPr>
                <w:rFonts w:eastAsia="Calibri"/>
                <w:bCs/>
                <w:lang w:val="sr-Cyrl-RS"/>
              </w:rPr>
              <w:t>57,3</w:t>
            </w:r>
          </w:p>
        </w:tc>
      </w:tr>
      <w:tr w:rsidR="00DA306F" w:rsidRPr="005F274A" w:rsidTr="00DA306F">
        <w:trPr>
          <w:trHeight w:val="255"/>
          <w:jc w:val="center"/>
        </w:trPr>
        <w:tc>
          <w:tcPr>
            <w:tcW w:w="2830" w:type="dxa"/>
            <w:gridSpan w:val="2"/>
            <w:shd w:val="clear" w:color="auto" w:fill="auto"/>
            <w:vAlign w:val="center"/>
            <w:hideMark/>
          </w:tcPr>
          <w:p w:rsidR="00DA306F" w:rsidRPr="005F274A" w:rsidRDefault="00DA306F" w:rsidP="00DA306F">
            <w:pPr>
              <w:rPr>
                <w:lang w:val="sr-Cyrl-CS"/>
              </w:rPr>
            </w:pPr>
            <w:r w:rsidRPr="005F274A">
              <w:rPr>
                <w:lang w:val="en-US"/>
              </w:rPr>
              <w:t>Стопа незапослености</w:t>
            </w:r>
            <w:r w:rsidRPr="005F274A">
              <w:rPr>
                <w:lang w:val="sr-Cyrl-CS"/>
              </w:rPr>
              <w:t xml:space="preserve"> %</w:t>
            </w:r>
          </w:p>
        </w:tc>
        <w:tc>
          <w:tcPr>
            <w:tcW w:w="902" w:type="dxa"/>
          </w:tcPr>
          <w:p w:rsidR="00DA306F" w:rsidRPr="005F274A" w:rsidRDefault="00DA306F" w:rsidP="00DA306F">
            <w:pPr>
              <w:rPr>
                <w:rFonts w:eastAsia="Calibri"/>
                <w:bCs/>
                <w:lang w:val="en-US"/>
              </w:rPr>
            </w:pPr>
            <w:r w:rsidRPr="005F274A">
              <w:rPr>
                <w:rFonts w:eastAsia="Calibri"/>
                <w:bCs/>
                <w:lang w:val="en-US"/>
              </w:rPr>
              <w:t>18,3</w:t>
            </w:r>
          </w:p>
        </w:tc>
        <w:tc>
          <w:tcPr>
            <w:tcW w:w="902" w:type="dxa"/>
          </w:tcPr>
          <w:p w:rsidR="00DA306F" w:rsidRPr="005F274A" w:rsidRDefault="00DA306F" w:rsidP="00DA306F">
            <w:pPr>
              <w:rPr>
                <w:rFonts w:eastAsia="Calibri"/>
                <w:bCs/>
                <w:lang w:val="en-US"/>
              </w:rPr>
            </w:pPr>
            <w:r w:rsidRPr="005F274A">
              <w:rPr>
                <w:rFonts w:eastAsia="Calibri"/>
                <w:bCs/>
                <w:lang w:val="en-US"/>
              </w:rPr>
              <w:t>16,8</w:t>
            </w:r>
          </w:p>
        </w:tc>
        <w:tc>
          <w:tcPr>
            <w:tcW w:w="902" w:type="dxa"/>
            <w:shd w:val="clear" w:color="auto" w:fill="auto"/>
            <w:vAlign w:val="bottom"/>
            <w:hideMark/>
          </w:tcPr>
          <w:p w:rsidR="00DA306F" w:rsidRPr="005F274A" w:rsidRDefault="00DA306F" w:rsidP="00DA306F">
            <w:pPr>
              <w:rPr>
                <w:rFonts w:eastAsia="Calibri"/>
                <w:bCs/>
                <w:lang w:val="en-US"/>
              </w:rPr>
            </w:pPr>
            <w:r w:rsidRPr="005F274A">
              <w:rPr>
                <w:rFonts w:eastAsia="Calibri"/>
                <w:bCs/>
                <w:lang w:val="en-US"/>
              </w:rPr>
              <w:t>14,6</w:t>
            </w:r>
          </w:p>
        </w:tc>
        <w:tc>
          <w:tcPr>
            <w:tcW w:w="902" w:type="dxa"/>
            <w:shd w:val="clear" w:color="auto" w:fill="auto"/>
            <w:vAlign w:val="bottom"/>
          </w:tcPr>
          <w:p w:rsidR="00DA306F" w:rsidRPr="005F274A" w:rsidRDefault="00DA306F" w:rsidP="00DA306F">
            <w:pPr>
              <w:rPr>
                <w:rFonts w:eastAsia="Calibri"/>
                <w:bCs/>
                <w:lang w:val="sr-Cyrl-CS"/>
              </w:rPr>
            </w:pPr>
            <w:r w:rsidRPr="005F274A">
              <w:rPr>
                <w:rFonts w:eastAsia="Calibri"/>
                <w:bCs/>
                <w:lang w:val="en-US"/>
              </w:rPr>
              <w:t>12,</w:t>
            </w:r>
            <w:r w:rsidRPr="005F274A">
              <w:rPr>
                <w:rFonts w:eastAsia="Calibri"/>
                <w:bCs/>
                <w:lang w:val="sr-Cyrl-CS"/>
              </w:rPr>
              <w:t>8</w:t>
            </w:r>
          </w:p>
        </w:tc>
        <w:tc>
          <w:tcPr>
            <w:tcW w:w="1004"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14,1</w:t>
            </w:r>
          </w:p>
        </w:tc>
        <w:tc>
          <w:tcPr>
            <w:tcW w:w="1004" w:type="dxa"/>
            <w:shd w:val="clear" w:color="auto" w:fill="auto"/>
            <w:vAlign w:val="bottom"/>
          </w:tcPr>
          <w:p w:rsidR="00DA306F" w:rsidRPr="005F274A" w:rsidRDefault="00DA306F" w:rsidP="00DA306F">
            <w:pPr>
              <w:rPr>
                <w:rFonts w:eastAsia="Calibri"/>
                <w:bCs/>
                <w:lang w:val="en-US"/>
              </w:rPr>
            </w:pPr>
            <w:r w:rsidRPr="005F274A">
              <w:rPr>
                <w:rFonts w:eastAsia="Calibri"/>
                <w:bCs/>
                <w:lang w:val="en-US"/>
              </w:rPr>
              <w:t>11,3</w:t>
            </w:r>
          </w:p>
        </w:tc>
        <w:tc>
          <w:tcPr>
            <w:tcW w:w="1004" w:type="dxa"/>
          </w:tcPr>
          <w:p w:rsidR="00DA306F" w:rsidRPr="005F274A" w:rsidRDefault="00DA306F" w:rsidP="00DA306F">
            <w:pPr>
              <w:rPr>
                <w:rFonts w:eastAsia="Calibri"/>
                <w:bCs/>
                <w:lang w:val="sr-Cyrl-RS"/>
              </w:rPr>
            </w:pPr>
            <w:r w:rsidRPr="005F274A">
              <w:rPr>
                <w:rFonts w:eastAsia="Calibri"/>
                <w:bCs/>
                <w:lang w:val="sr-Cyrl-RS"/>
              </w:rPr>
              <w:t>10,5</w:t>
            </w:r>
          </w:p>
        </w:tc>
      </w:tr>
      <w:tr w:rsidR="00DA306F" w:rsidRPr="005F274A" w:rsidTr="00DA306F">
        <w:trPr>
          <w:trHeight w:val="255"/>
          <w:jc w:val="center"/>
        </w:trPr>
        <w:tc>
          <w:tcPr>
            <w:tcW w:w="975" w:type="dxa"/>
          </w:tcPr>
          <w:p w:rsidR="00DA306F" w:rsidRPr="005F274A" w:rsidRDefault="00DA306F" w:rsidP="00DA306F">
            <w:pPr>
              <w:rPr>
                <w:rFonts w:eastAsia="Calibri"/>
                <w:b/>
                <w:bCs/>
                <w:lang w:val="sr-Cyrl-RS"/>
              </w:rPr>
            </w:pPr>
          </w:p>
        </w:tc>
        <w:tc>
          <w:tcPr>
            <w:tcW w:w="8475" w:type="dxa"/>
            <w:gridSpan w:val="8"/>
            <w:shd w:val="clear" w:color="auto" w:fill="auto"/>
            <w:vAlign w:val="center"/>
          </w:tcPr>
          <w:p w:rsidR="00DA306F" w:rsidRPr="005F274A" w:rsidRDefault="00DA306F" w:rsidP="00DA306F">
            <w:pPr>
              <w:rPr>
                <w:rFonts w:eastAsia="Calibri"/>
                <w:b/>
                <w:bCs/>
                <w:lang w:val="sr-Cyrl-RS"/>
              </w:rPr>
            </w:pPr>
            <w:r w:rsidRPr="005F274A">
              <w:rPr>
                <w:rFonts w:eastAsia="Calibri"/>
                <w:b/>
                <w:bCs/>
                <w:lang w:val="sr-Cyrl-RS"/>
              </w:rPr>
              <w:t>Жене</w:t>
            </w:r>
          </w:p>
        </w:tc>
      </w:tr>
      <w:tr w:rsidR="00DA306F" w:rsidRPr="005F274A" w:rsidTr="00DA306F">
        <w:trPr>
          <w:trHeight w:val="255"/>
          <w:jc w:val="center"/>
        </w:trPr>
        <w:tc>
          <w:tcPr>
            <w:tcW w:w="2830" w:type="dxa"/>
            <w:gridSpan w:val="2"/>
            <w:shd w:val="clear" w:color="auto" w:fill="auto"/>
            <w:vAlign w:val="center"/>
            <w:hideMark/>
          </w:tcPr>
          <w:p w:rsidR="00DA306F" w:rsidRPr="005F274A" w:rsidRDefault="00DA306F" w:rsidP="00DA306F">
            <w:pPr>
              <w:rPr>
                <w:lang w:val="sr-Cyrl-CS"/>
              </w:rPr>
            </w:pPr>
            <w:r w:rsidRPr="005F274A">
              <w:rPr>
                <w:lang w:val="en-US"/>
              </w:rPr>
              <w:t>Стопа активности</w:t>
            </w:r>
            <w:r w:rsidRPr="005F274A">
              <w:rPr>
                <w:lang w:val="sr-Cyrl-CS"/>
              </w:rPr>
              <w:t xml:space="preserve"> %</w:t>
            </w:r>
          </w:p>
        </w:tc>
        <w:tc>
          <w:tcPr>
            <w:tcW w:w="902" w:type="dxa"/>
          </w:tcPr>
          <w:p w:rsidR="00DA306F" w:rsidRPr="005F274A" w:rsidRDefault="00DA306F" w:rsidP="00DA306F">
            <w:pPr>
              <w:jc w:val="center"/>
              <w:rPr>
                <w:rFonts w:eastAsia="Calibri"/>
                <w:bCs/>
                <w:lang w:val="en-US"/>
              </w:rPr>
            </w:pPr>
            <w:r w:rsidRPr="005F274A">
              <w:rPr>
                <w:rFonts w:eastAsia="Calibri"/>
                <w:bCs/>
                <w:lang w:val="en-US"/>
              </w:rPr>
              <w:t>43,8</w:t>
            </w:r>
          </w:p>
        </w:tc>
        <w:tc>
          <w:tcPr>
            <w:tcW w:w="902" w:type="dxa"/>
          </w:tcPr>
          <w:p w:rsidR="00DA306F" w:rsidRPr="005F274A" w:rsidRDefault="00DA306F" w:rsidP="00DA306F">
            <w:pPr>
              <w:jc w:val="center"/>
              <w:rPr>
                <w:rFonts w:eastAsia="Calibri"/>
                <w:bCs/>
                <w:lang w:val="en-US"/>
              </w:rPr>
            </w:pPr>
            <w:r w:rsidRPr="005F274A">
              <w:rPr>
                <w:rFonts w:eastAsia="Calibri"/>
                <w:bCs/>
                <w:lang w:val="en-US"/>
              </w:rPr>
              <w:t>43,5</w:t>
            </w:r>
          </w:p>
        </w:tc>
        <w:tc>
          <w:tcPr>
            <w:tcW w:w="902" w:type="dxa"/>
            <w:shd w:val="clear" w:color="auto" w:fill="auto"/>
            <w:vAlign w:val="bottom"/>
            <w:hideMark/>
          </w:tcPr>
          <w:p w:rsidR="00DA306F" w:rsidRPr="005F274A" w:rsidRDefault="00DA306F" w:rsidP="00DA306F">
            <w:pPr>
              <w:jc w:val="center"/>
              <w:rPr>
                <w:rFonts w:eastAsia="Calibri"/>
                <w:bCs/>
                <w:lang w:val="en-US"/>
              </w:rPr>
            </w:pPr>
            <w:r w:rsidRPr="005F274A">
              <w:rPr>
                <w:rFonts w:eastAsia="Calibri"/>
                <w:bCs/>
                <w:lang w:val="en-US"/>
              </w:rPr>
              <w:t>45,5</w:t>
            </w:r>
          </w:p>
        </w:tc>
        <w:tc>
          <w:tcPr>
            <w:tcW w:w="902"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46,3</w:t>
            </w:r>
          </w:p>
        </w:tc>
        <w:tc>
          <w:tcPr>
            <w:tcW w:w="1004"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45,0</w:t>
            </w:r>
          </w:p>
        </w:tc>
        <w:tc>
          <w:tcPr>
            <w:tcW w:w="1004"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47,3</w:t>
            </w:r>
          </w:p>
        </w:tc>
        <w:tc>
          <w:tcPr>
            <w:tcW w:w="1004" w:type="dxa"/>
          </w:tcPr>
          <w:p w:rsidR="00DA306F" w:rsidRPr="005F274A" w:rsidRDefault="00DA306F" w:rsidP="00DA306F">
            <w:pPr>
              <w:jc w:val="center"/>
              <w:rPr>
                <w:rFonts w:eastAsia="Calibri"/>
                <w:bCs/>
                <w:lang w:val="sr-Cyrl-RS"/>
              </w:rPr>
            </w:pPr>
            <w:r w:rsidRPr="005F274A">
              <w:rPr>
                <w:rFonts w:eastAsia="Calibri"/>
                <w:bCs/>
                <w:lang w:val="sr-Cyrl-RS"/>
              </w:rPr>
              <w:t>47,5</w:t>
            </w:r>
          </w:p>
        </w:tc>
      </w:tr>
      <w:tr w:rsidR="00DA306F" w:rsidRPr="005F274A" w:rsidTr="00DA306F">
        <w:trPr>
          <w:trHeight w:val="255"/>
          <w:jc w:val="center"/>
        </w:trPr>
        <w:tc>
          <w:tcPr>
            <w:tcW w:w="2830" w:type="dxa"/>
            <w:gridSpan w:val="2"/>
            <w:shd w:val="clear" w:color="auto" w:fill="auto"/>
            <w:vAlign w:val="center"/>
            <w:hideMark/>
          </w:tcPr>
          <w:p w:rsidR="00DA306F" w:rsidRPr="005F274A" w:rsidRDefault="00DA306F" w:rsidP="00DA306F">
            <w:pPr>
              <w:rPr>
                <w:lang w:val="sr-Cyrl-CS"/>
              </w:rPr>
            </w:pPr>
            <w:r w:rsidRPr="005F274A">
              <w:rPr>
                <w:lang w:val="en-US"/>
              </w:rPr>
              <w:t>Стопа запослености</w:t>
            </w:r>
            <w:r w:rsidRPr="005F274A">
              <w:rPr>
                <w:lang w:val="sr-Cyrl-CS"/>
              </w:rPr>
              <w:t xml:space="preserve"> %</w:t>
            </w:r>
          </w:p>
        </w:tc>
        <w:tc>
          <w:tcPr>
            <w:tcW w:w="902" w:type="dxa"/>
          </w:tcPr>
          <w:p w:rsidR="00DA306F" w:rsidRPr="005F274A" w:rsidRDefault="00DA306F" w:rsidP="00DA306F">
            <w:pPr>
              <w:jc w:val="center"/>
              <w:rPr>
                <w:rFonts w:eastAsia="Calibri"/>
                <w:bCs/>
                <w:lang w:val="en-US"/>
              </w:rPr>
            </w:pPr>
            <w:r w:rsidRPr="005F274A">
              <w:rPr>
                <w:rFonts w:eastAsia="Calibri"/>
                <w:bCs/>
                <w:lang w:val="en-US"/>
              </w:rPr>
              <w:t>34,9</w:t>
            </w:r>
          </w:p>
        </w:tc>
        <w:tc>
          <w:tcPr>
            <w:tcW w:w="902" w:type="dxa"/>
          </w:tcPr>
          <w:p w:rsidR="00DA306F" w:rsidRPr="005F274A" w:rsidRDefault="00DA306F" w:rsidP="00DA306F">
            <w:pPr>
              <w:jc w:val="center"/>
              <w:rPr>
                <w:rFonts w:eastAsia="Calibri"/>
                <w:bCs/>
                <w:lang w:val="en-US"/>
              </w:rPr>
            </w:pPr>
            <w:r w:rsidRPr="005F274A">
              <w:rPr>
                <w:rFonts w:eastAsia="Calibri"/>
                <w:bCs/>
                <w:lang w:val="en-US"/>
              </w:rPr>
              <w:t>35,3</w:t>
            </w:r>
          </w:p>
        </w:tc>
        <w:tc>
          <w:tcPr>
            <w:tcW w:w="902" w:type="dxa"/>
            <w:shd w:val="clear" w:color="auto" w:fill="auto"/>
            <w:vAlign w:val="bottom"/>
            <w:hideMark/>
          </w:tcPr>
          <w:p w:rsidR="00DA306F" w:rsidRPr="005F274A" w:rsidRDefault="00DA306F" w:rsidP="00DA306F">
            <w:pPr>
              <w:jc w:val="center"/>
              <w:rPr>
                <w:rFonts w:eastAsia="Calibri"/>
                <w:bCs/>
                <w:lang w:val="en-US"/>
              </w:rPr>
            </w:pPr>
            <w:r w:rsidRPr="005F274A">
              <w:rPr>
                <w:rFonts w:eastAsia="Calibri"/>
                <w:bCs/>
                <w:lang w:val="en-US"/>
              </w:rPr>
              <w:t>38,2</w:t>
            </w:r>
          </w:p>
        </w:tc>
        <w:tc>
          <w:tcPr>
            <w:tcW w:w="902"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39,7</w:t>
            </w:r>
          </w:p>
        </w:tc>
        <w:tc>
          <w:tcPr>
            <w:tcW w:w="1004"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37,9</w:t>
            </w:r>
          </w:p>
        </w:tc>
        <w:tc>
          <w:tcPr>
            <w:tcW w:w="1004"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41,4</w:t>
            </w:r>
          </w:p>
        </w:tc>
        <w:tc>
          <w:tcPr>
            <w:tcW w:w="1004" w:type="dxa"/>
          </w:tcPr>
          <w:p w:rsidR="00DA306F" w:rsidRPr="005F274A" w:rsidRDefault="00DA306F" w:rsidP="00DA306F">
            <w:pPr>
              <w:jc w:val="center"/>
              <w:rPr>
                <w:rFonts w:eastAsia="Calibri"/>
                <w:bCs/>
                <w:lang w:val="sr-Cyrl-RS"/>
              </w:rPr>
            </w:pPr>
            <w:r w:rsidRPr="005F274A">
              <w:rPr>
                <w:rFonts w:eastAsia="Calibri"/>
                <w:bCs/>
                <w:lang w:val="sr-Cyrl-RS"/>
              </w:rPr>
              <w:t>41,7</w:t>
            </w:r>
          </w:p>
        </w:tc>
      </w:tr>
      <w:tr w:rsidR="00DA306F" w:rsidRPr="005F274A" w:rsidTr="00DA306F">
        <w:trPr>
          <w:trHeight w:val="255"/>
          <w:jc w:val="center"/>
        </w:trPr>
        <w:tc>
          <w:tcPr>
            <w:tcW w:w="2830" w:type="dxa"/>
            <w:gridSpan w:val="2"/>
            <w:shd w:val="clear" w:color="auto" w:fill="auto"/>
            <w:vAlign w:val="center"/>
            <w:hideMark/>
          </w:tcPr>
          <w:p w:rsidR="00DA306F" w:rsidRPr="005F274A" w:rsidRDefault="00DA306F" w:rsidP="00DA306F">
            <w:pPr>
              <w:rPr>
                <w:lang w:val="sr-Cyrl-CS"/>
              </w:rPr>
            </w:pPr>
            <w:r w:rsidRPr="005F274A">
              <w:rPr>
                <w:lang w:val="en-US"/>
              </w:rPr>
              <w:t>Стопа незапослености</w:t>
            </w:r>
            <w:r w:rsidRPr="005F274A">
              <w:rPr>
                <w:lang w:val="sr-Cyrl-CS"/>
              </w:rPr>
              <w:t xml:space="preserve"> %</w:t>
            </w:r>
          </w:p>
        </w:tc>
        <w:tc>
          <w:tcPr>
            <w:tcW w:w="902" w:type="dxa"/>
          </w:tcPr>
          <w:p w:rsidR="00DA306F" w:rsidRPr="005F274A" w:rsidRDefault="00DA306F" w:rsidP="00DA306F">
            <w:pPr>
              <w:jc w:val="center"/>
              <w:rPr>
                <w:rFonts w:eastAsia="Calibri"/>
                <w:bCs/>
                <w:lang w:val="en-US"/>
              </w:rPr>
            </w:pPr>
            <w:r w:rsidRPr="005F274A">
              <w:rPr>
                <w:rFonts w:eastAsia="Calibri"/>
                <w:bCs/>
                <w:lang w:val="en-US"/>
              </w:rPr>
              <w:t>20,3</w:t>
            </w:r>
          </w:p>
        </w:tc>
        <w:tc>
          <w:tcPr>
            <w:tcW w:w="902" w:type="dxa"/>
          </w:tcPr>
          <w:p w:rsidR="00DA306F" w:rsidRPr="005F274A" w:rsidRDefault="00DA306F" w:rsidP="00DA306F">
            <w:pPr>
              <w:jc w:val="center"/>
              <w:rPr>
                <w:rFonts w:eastAsia="Calibri"/>
                <w:bCs/>
                <w:lang w:val="en-US"/>
              </w:rPr>
            </w:pPr>
            <w:r w:rsidRPr="005F274A">
              <w:rPr>
                <w:rFonts w:eastAsia="Calibri"/>
                <w:bCs/>
                <w:lang w:val="en-US"/>
              </w:rPr>
              <w:t>18,8</w:t>
            </w:r>
          </w:p>
        </w:tc>
        <w:tc>
          <w:tcPr>
            <w:tcW w:w="902" w:type="dxa"/>
            <w:shd w:val="clear" w:color="auto" w:fill="auto"/>
            <w:vAlign w:val="bottom"/>
            <w:hideMark/>
          </w:tcPr>
          <w:p w:rsidR="00DA306F" w:rsidRPr="005F274A" w:rsidRDefault="00DA306F" w:rsidP="00DA306F">
            <w:pPr>
              <w:jc w:val="center"/>
              <w:rPr>
                <w:rFonts w:eastAsia="Calibri"/>
                <w:bCs/>
                <w:lang w:val="en-US"/>
              </w:rPr>
            </w:pPr>
            <w:r w:rsidRPr="005F274A">
              <w:rPr>
                <w:rFonts w:eastAsia="Calibri"/>
                <w:bCs/>
                <w:lang w:val="en-US"/>
              </w:rPr>
              <w:t>16,1</w:t>
            </w:r>
          </w:p>
        </w:tc>
        <w:tc>
          <w:tcPr>
            <w:tcW w:w="902"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14,3</w:t>
            </w:r>
          </w:p>
        </w:tc>
        <w:tc>
          <w:tcPr>
            <w:tcW w:w="1004"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15,8</w:t>
            </w:r>
          </w:p>
        </w:tc>
        <w:tc>
          <w:tcPr>
            <w:tcW w:w="1004" w:type="dxa"/>
            <w:shd w:val="clear" w:color="auto" w:fill="auto"/>
            <w:vAlign w:val="bottom"/>
          </w:tcPr>
          <w:p w:rsidR="00DA306F" w:rsidRPr="005F274A" w:rsidRDefault="00DA306F" w:rsidP="00DA306F">
            <w:pPr>
              <w:jc w:val="center"/>
              <w:rPr>
                <w:rFonts w:eastAsia="Calibri"/>
                <w:bCs/>
                <w:lang w:val="en-US"/>
              </w:rPr>
            </w:pPr>
            <w:r w:rsidRPr="005F274A">
              <w:rPr>
                <w:rFonts w:eastAsia="Calibri"/>
                <w:bCs/>
                <w:lang w:val="en-US"/>
              </w:rPr>
              <w:t>12,6</w:t>
            </w:r>
          </w:p>
        </w:tc>
        <w:tc>
          <w:tcPr>
            <w:tcW w:w="1004" w:type="dxa"/>
          </w:tcPr>
          <w:p w:rsidR="00DA306F" w:rsidRPr="005F274A" w:rsidRDefault="00DA306F" w:rsidP="00DA306F">
            <w:pPr>
              <w:jc w:val="center"/>
              <w:rPr>
                <w:rFonts w:eastAsia="Calibri"/>
                <w:bCs/>
                <w:lang w:val="sr-Cyrl-RS"/>
              </w:rPr>
            </w:pPr>
            <w:r w:rsidRPr="005F274A">
              <w:rPr>
                <w:rFonts w:eastAsia="Calibri"/>
                <w:bCs/>
                <w:lang w:val="sr-Cyrl-RS"/>
              </w:rPr>
              <w:t>12,2</w:t>
            </w:r>
          </w:p>
        </w:tc>
      </w:tr>
    </w:tbl>
    <w:p w:rsidR="00312676" w:rsidRPr="005F274A" w:rsidRDefault="00312676" w:rsidP="00312676">
      <w:pPr>
        <w:rPr>
          <w:rFonts w:eastAsia="Calibri"/>
          <w:bCs/>
          <w:lang w:val="en-US"/>
        </w:rPr>
      </w:pPr>
    </w:p>
    <w:p w:rsidR="00312676" w:rsidRDefault="000C1D17" w:rsidP="00B935F1">
      <w:pPr>
        <w:spacing w:before="120"/>
        <w:ind w:firstLine="720"/>
        <w:jc w:val="both"/>
        <w:rPr>
          <w:rFonts w:eastAsia="Calibri"/>
          <w:bCs/>
          <w:lang w:val="sr-Cyrl-RS" w:eastAsia="en-GB"/>
        </w:rPr>
      </w:pPr>
      <w:r>
        <w:rPr>
          <w:rFonts w:eastAsia="Calibri"/>
          <w:bCs/>
          <w:iCs/>
          <w:lang w:val="sr-Cyrl-CS"/>
        </w:rPr>
        <w:lastRenderedPageBreak/>
        <w:t>Такође, н</w:t>
      </w:r>
      <w:r w:rsidR="00312676" w:rsidRPr="005F274A">
        <w:rPr>
          <w:rFonts w:eastAsia="Calibri"/>
          <w:bCs/>
          <w:iCs/>
          <w:lang w:val="sr-Cyrl-RS"/>
        </w:rPr>
        <w:t xml:space="preserve">а основу података из Анкете о радној снази за </w:t>
      </w:r>
      <w:r w:rsidR="00312676" w:rsidRPr="005F274A">
        <w:rPr>
          <w:rFonts w:eastAsia="Calibri"/>
          <w:bCs/>
          <w:iCs/>
          <w:lang w:val="sr-Latn-RS"/>
        </w:rPr>
        <w:t xml:space="preserve">III </w:t>
      </w:r>
      <w:r w:rsidR="00312676" w:rsidRPr="005F274A">
        <w:rPr>
          <w:rFonts w:eastAsia="Calibri"/>
          <w:bCs/>
          <w:iCs/>
          <w:lang w:val="sr-Cyrl-RS"/>
        </w:rPr>
        <w:t>квартал 2018. године може се закључити да су жене заступљене више од мушкараца у следећим занимањима:</w:t>
      </w:r>
      <w:r w:rsidR="00312676" w:rsidRPr="00EC2E2A">
        <w:rPr>
          <w:rFonts w:eastAsia="Calibri"/>
          <w:bCs/>
          <w:lang w:val="ru-RU" w:eastAsia="en-GB"/>
        </w:rPr>
        <w:t xml:space="preserve"> </w:t>
      </w:r>
      <w:r w:rsidR="00312676" w:rsidRPr="00312676">
        <w:rPr>
          <w:rFonts w:eastAsia="Calibri"/>
          <w:bCs/>
          <w:lang w:val="sr-Cyrl-RS" w:eastAsia="en-GB"/>
        </w:rPr>
        <w:t>а</w:t>
      </w:r>
      <w:r w:rsidR="00312676" w:rsidRPr="00EC2E2A">
        <w:rPr>
          <w:rFonts w:eastAsia="Calibri"/>
          <w:bCs/>
          <w:lang w:val="ru-RU" w:eastAsia="en-GB"/>
        </w:rPr>
        <w:t>дминистративни службеници</w:t>
      </w:r>
      <w:r w:rsidR="00312676" w:rsidRPr="005F274A">
        <w:rPr>
          <w:rFonts w:eastAsia="Calibri"/>
          <w:bCs/>
          <w:lang w:val="sr-Cyrl-RS" w:eastAsia="en-GB"/>
        </w:rPr>
        <w:t xml:space="preserve">; </w:t>
      </w:r>
      <w:r w:rsidR="00312676" w:rsidRPr="00EC2E2A">
        <w:rPr>
          <w:rFonts w:eastAsia="Calibri"/>
          <w:bCs/>
          <w:lang w:val="ru-RU" w:eastAsia="en-GB"/>
        </w:rPr>
        <w:t>стручњаци и уметници</w:t>
      </w:r>
      <w:r w:rsidR="00312676" w:rsidRPr="005F274A">
        <w:rPr>
          <w:rFonts w:eastAsia="Calibri"/>
          <w:bCs/>
          <w:lang w:val="sr-Cyrl-RS" w:eastAsia="en-GB"/>
        </w:rPr>
        <w:t>;</w:t>
      </w:r>
      <w:r w:rsidR="00312676" w:rsidRPr="00EC2E2A">
        <w:rPr>
          <w:rFonts w:eastAsia="Calibri"/>
          <w:bCs/>
          <w:lang w:val="ru-RU" w:eastAsia="en-GB"/>
        </w:rPr>
        <w:t xml:space="preserve"> услужна и трговачка занимања</w:t>
      </w:r>
      <w:r w:rsidR="00312676" w:rsidRPr="005F274A">
        <w:rPr>
          <w:rFonts w:eastAsia="Calibri"/>
          <w:bCs/>
          <w:lang w:val="sr-Cyrl-RS" w:eastAsia="en-GB"/>
        </w:rPr>
        <w:t xml:space="preserve">; </w:t>
      </w:r>
      <w:r w:rsidR="00312676" w:rsidRPr="00EC2E2A">
        <w:rPr>
          <w:rFonts w:eastAsia="Calibri"/>
          <w:bCs/>
          <w:lang w:val="ru-RU" w:eastAsia="en-GB"/>
        </w:rPr>
        <w:t>инжењери, стручни сарадници и техничари</w:t>
      </w:r>
      <w:r w:rsidR="00312676">
        <w:rPr>
          <w:rFonts w:eastAsia="Calibri"/>
          <w:bCs/>
          <w:lang w:val="sr-Cyrl-RS" w:eastAsia="en-GB"/>
        </w:rPr>
        <w:t xml:space="preserve"> (Табела 2)</w:t>
      </w:r>
      <w:r w:rsidR="00312676" w:rsidRPr="005F274A">
        <w:rPr>
          <w:rFonts w:eastAsia="Calibri"/>
          <w:bCs/>
          <w:lang w:val="sr-Cyrl-RS" w:eastAsia="en-GB"/>
        </w:rPr>
        <w:t>.</w:t>
      </w:r>
    </w:p>
    <w:p w:rsidR="00B935F1" w:rsidRPr="00B935F1" w:rsidRDefault="00B935F1" w:rsidP="00B935F1">
      <w:pPr>
        <w:spacing w:before="120"/>
        <w:ind w:firstLine="720"/>
        <w:jc w:val="both"/>
        <w:rPr>
          <w:rFonts w:eastAsia="Calibri"/>
          <w:bCs/>
          <w:sz w:val="16"/>
          <w:szCs w:val="16"/>
          <w:lang w:val="sr-Cyrl-RS" w:eastAsia="en-GB"/>
        </w:rPr>
      </w:pPr>
    </w:p>
    <w:p w:rsidR="00312676" w:rsidRDefault="00312676" w:rsidP="00B935F1">
      <w:pPr>
        <w:spacing w:before="60" w:after="60"/>
        <w:ind w:firstLine="720"/>
        <w:contextualSpacing/>
        <w:jc w:val="center"/>
        <w:rPr>
          <w:rFonts w:eastAsia="Calibri"/>
          <w:b/>
          <w:lang w:val="sr-Cyrl-CS"/>
        </w:rPr>
      </w:pPr>
      <w:r>
        <w:rPr>
          <w:rFonts w:eastAsia="Calibri"/>
          <w:b/>
          <w:lang w:val="sr-Cyrl-CS"/>
        </w:rPr>
        <w:t xml:space="preserve">Табела 2: </w:t>
      </w:r>
      <w:r w:rsidRPr="00312676">
        <w:rPr>
          <w:rFonts w:eastAsia="Calibri"/>
          <w:b/>
          <w:lang w:val="sr-Cyrl-CS"/>
        </w:rPr>
        <w:t xml:space="preserve">Подаци </w:t>
      </w:r>
      <w:r w:rsidR="000C1D17" w:rsidRPr="00312676">
        <w:rPr>
          <w:rFonts w:eastAsia="Calibri"/>
          <w:b/>
          <w:lang w:val="sr-Cyrl-CS"/>
        </w:rPr>
        <w:t>Р</w:t>
      </w:r>
      <w:r w:rsidR="000C1D17">
        <w:rPr>
          <w:rFonts w:eastAsia="Calibri"/>
          <w:b/>
          <w:lang w:val="sr-Cyrl-CS"/>
        </w:rPr>
        <w:t>епубличког завода за статистику</w:t>
      </w:r>
      <w:r w:rsidR="000C1D17" w:rsidRPr="00312676">
        <w:rPr>
          <w:rFonts w:eastAsia="Calibri"/>
          <w:b/>
          <w:lang w:val="sr-Cyrl-CS"/>
        </w:rPr>
        <w:t xml:space="preserve"> </w:t>
      </w:r>
      <w:r w:rsidRPr="00312676">
        <w:rPr>
          <w:rFonts w:eastAsia="Calibri"/>
          <w:b/>
          <w:lang w:val="sr-Cyrl-CS"/>
        </w:rPr>
        <w:t xml:space="preserve">из Анкете о радној снази за </w:t>
      </w:r>
      <w:r w:rsidRPr="005F274A">
        <w:rPr>
          <w:b/>
          <w:bCs/>
          <w:lang w:val="sr-Cyrl-CS"/>
        </w:rPr>
        <w:t>I</w:t>
      </w:r>
      <w:r w:rsidRPr="005F274A">
        <w:rPr>
          <w:b/>
          <w:bCs/>
          <w:lang w:val="sr-Latn-CS"/>
        </w:rPr>
        <w:t>I</w:t>
      </w:r>
      <w:r w:rsidRPr="005F274A">
        <w:rPr>
          <w:b/>
          <w:bCs/>
          <w:lang w:val="sr-Latn-RS"/>
        </w:rPr>
        <w:t>I</w:t>
      </w:r>
      <w:r w:rsidRPr="005F274A">
        <w:rPr>
          <w:b/>
          <w:bCs/>
          <w:lang w:val="sr-Cyrl-CS"/>
        </w:rPr>
        <w:t xml:space="preserve"> </w:t>
      </w:r>
      <w:r w:rsidRPr="005F274A">
        <w:rPr>
          <w:b/>
          <w:lang w:val="sr-Cyrl-CS"/>
        </w:rPr>
        <w:t>квартал</w:t>
      </w:r>
      <w:r>
        <w:rPr>
          <w:rFonts w:eastAsia="Calibri"/>
          <w:b/>
          <w:lang w:val="sr-Cyrl-CS"/>
        </w:rPr>
        <w:t xml:space="preserve"> </w:t>
      </w:r>
      <w:r w:rsidRPr="00312676">
        <w:rPr>
          <w:rFonts w:eastAsia="Calibri"/>
          <w:b/>
          <w:lang w:val="sr-Cyrl-CS"/>
        </w:rPr>
        <w:t>2018.</w:t>
      </w:r>
      <w:r>
        <w:rPr>
          <w:rFonts w:eastAsia="Calibri"/>
          <w:b/>
          <w:lang w:val="sr-Cyrl-CS"/>
        </w:rPr>
        <w:t xml:space="preserve"> годину, разврстани по полу и занимањима</w:t>
      </w:r>
    </w:p>
    <w:p w:rsidR="00B935F1" w:rsidRDefault="00B935F1" w:rsidP="00B935F1">
      <w:pPr>
        <w:spacing w:before="60" w:after="60"/>
        <w:ind w:firstLine="720"/>
        <w:contextualSpacing/>
        <w:jc w:val="center"/>
        <w:rPr>
          <w:rFonts w:eastAsia="Calibri"/>
          <w:b/>
          <w:lang w:val="sr-Cyrl-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1"/>
        <w:gridCol w:w="1434"/>
        <w:gridCol w:w="977"/>
        <w:gridCol w:w="1278"/>
      </w:tblGrid>
      <w:tr w:rsidR="00312676" w:rsidRPr="005F274A" w:rsidTr="002E6023">
        <w:trPr>
          <w:trHeight w:val="288"/>
          <w:jc w:val="center"/>
        </w:trPr>
        <w:tc>
          <w:tcPr>
            <w:tcW w:w="4678" w:type="dxa"/>
            <w:shd w:val="clear" w:color="auto" w:fill="00B0F0"/>
            <w:vAlign w:val="center"/>
            <w:hideMark/>
          </w:tcPr>
          <w:p w:rsidR="00312676" w:rsidRPr="005F274A" w:rsidRDefault="00EC2E2A" w:rsidP="00EC2E2A">
            <w:pPr>
              <w:rPr>
                <w:b/>
                <w:bCs/>
                <w:lang w:val="sr-Cyrl-RS" w:eastAsia="en-GB"/>
              </w:rPr>
            </w:pPr>
            <w:r>
              <w:rPr>
                <w:b/>
                <w:bCs/>
                <w:lang w:val="sr-Cyrl-RS" w:eastAsia="en-GB"/>
              </w:rPr>
              <w:t>Структура запослених према</w:t>
            </w:r>
            <w:r w:rsidR="00312676" w:rsidRPr="00EC2E2A">
              <w:rPr>
                <w:b/>
                <w:bCs/>
                <w:lang w:val="ru-RU" w:eastAsia="en-GB"/>
              </w:rPr>
              <w:t xml:space="preserve"> </w:t>
            </w:r>
            <w:r w:rsidR="00312676" w:rsidRPr="005F274A">
              <w:rPr>
                <w:b/>
                <w:bCs/>
                <w:lang w:val="sr-Cyrl-RS" w:eastAsia="en-GB"/>
              </w:rPr>
              <w:t>з</w:t>
            </w:r>
            <w:r w:rsidR="00312676" w:rsidRPr="00EC2E2A">
              <w:rPr>
                <w:b/>
                <w:bCs/>
                <w:lang w:val="ru-RU" w:eastAsia="en-GB"/>
              </w:rPr>
              <w:t>анимањ</w:t>
            </w:r>
            <w:r>
              <w:rPr>
                <w:b/>
                <w:bCs/>
                <w:lang w:val="ru-RU" w:eastAsia="en-GB"/>
              </w:rPr>
              <w:t>им</w:t>
            </w:r>
            <w:r w:rsidR="00312676" w:rsidRPr="005F274A">
              <w:rPr>
                <w:b/>
                <w:bCs/>
                <w:lang w:val="sr-Cyrl-RS" w:eastAsia="en-GB"/>
              </w:rPr>
              <w:t>а</w:t>
            </w:r>
            <w:r>
              <w:rPr>
                <w:b/>
                <w:bCs/>
                <w:lang w:val="sr-Cyrl-RS" w:eastAsia="en-GB"/>
              </w:rPr>
              <w:t xml:space="preserve"> за</w:t>
            </w:r>
            <w:r w:rsidR="00312676" w:rsidRPr="005F274A">
              <w:rPr>
                <w:b/>
                <w:bCs/>
                <w:lang w:val="sr-Cyrl-RS" w:eastAsia="en-GB"/>
              </w:rPr>
              <w:t xml:space="preserve"> </w:t>
            </w:r>
            <w:r w:rsidR="00312676" w:rsidRPr="005F274A">
              <w:rPr>
                <w:b/>
                <w:bCs/>
                <w:lang w:val="sr-Cyrl-CS"/>
              </w:rPr>
              <w:t>I</w:t>
            </w:r>
            <w:r w:rsidR="00312676" w:rsidRPr="005F274A">
              <w:rPr>
                <w:b/>
                <w:bCs/>
                <w:lang w:val="sr-Latn-CS"/>
              </w:rPr>
              <w:t>I</w:t>
            </w:r>
            <w:r w:rsidR="00312676" w:rsidRPr="005F274A">
              <w:rPr>
                <w:b/>
                <w:bCs/>
                <w:lang w:val="sr-Latn-RS"/>
              </w:rPr>
              <w:t>I</w:t>
            </w:r>
            <w:r w:rsidR="00312676" w:rsidRPr="005F274A">
              <w:rPr>
                <w:b/>
                <w:bCs/>
                <w:lang w:val="sr-Cyrl-CS"/>
              </w:rPr>
              <w:t xml:space="preserve"> </w:t>
            </w:r>
            <w:r w:rsidR="00312676" w:rsidRPr="005F274A">
              <w:rPr>
                <w:b/>
                <w:lang w:val="sr-Cyrl-CS"/>
              </w:rPr>
              <w:t>квартал 2018. године</w:t>
            </w:r>
            <w:r w:rsidR="00312676" w:rsidRPr="005F274A">
              <w:rPr>
                <w:b/>
                <w:bCs/>
                <w:lang w:val="sr-Cyrl-RS" w:eastAsia="en-GB"/>
              </w:rPr>
              <w:t xml:space="preserve"> </w:t>
            </w:r>
          </w:p>
        </w:tc>
        <w:tc>
          <w:tcPr>
            <w:tcW w:w="1131" w:type="dxa"/>
            <w:shd w:val="clear" w:color="auto" w:fill="00B0F0"/>
          </w:tcPr>
          <w:p w:rsidR="00312676" w:rsidRPr="005F274A" w:rsidRDefault="00EC2E2A" w:rsidP="00005DC6">
            <w:pPr>
              <w:jc w:val="center"/>
              <w:rPr>
                <w:b/>
                <w:bCs/>
                <w:lang w:val="sr-Cyrl-RS" w:eastAsia="en-GB"/>
              </w:rPr>
            </w:pPr>
            <w:r>
              <w:rPr>
                <w:b/>
                <w:bCs/>
                <w:lang w:val="sr-Cyrl-RS" w:eastAsia="en-GB"/>
              </w:rPr>
              <w:t>У</w:t>
            </w:r>
            <w:r w:rsidR="00312676" w:rsidRPr="005F274A">
              <w:rPr>
                <w:b/>
                <w:bCs/>
                <w:lang w:val="sr-Cyrl-RS" w:eastAsia="en-GB"/>
              </w:rPr>
              <w:t>купно</w:t>
            </w:r>
          </w:p>
        </w:tc>
        <w:tc>
          <w:tcPr>
            <w:tcW w:w="1434" w:type="dxa"/>
            <w:shd w:val="clear" w:color="auto" w:fill="00B0F0"/>
          </w:tcPr>
          <w:p w:rsidR="00312676" w:rsidRPr="005F274A" w:rsidRDefault="00EC2E2A" w:rsidP="00EC2E2A">
            <w:pPr>
              <w:jc w:val="center"/>
              <w:rPr>
                <w:b/>
                <w:bCs/>
                <w:lang w:val="sr-Cyrl-RS" w:eastAsia="en-GB"/>
              </w:rPr>
            </w:pPr>
            <w:r>
              <w:rPr>
                <w:b/>
                <w:bCs/>
                <w:lang w:val="sr-Cyrl-RS" w:eastAsia="en-GB"/>
              </w:rPr>
              <w:t>М</w:t>
            </w:r>
            <w:r w:rsidR="00312676" w:rsidRPr="005F274A">
              <w:rPr>
                <w:b/>
                <w:bCs/>
                <w:lang w:val="sr-Cyrl-RS" w:eastAsia="en-GB"/>
              </w:rPr>
              <w:t>ушкар</w:t>
            </w:r>
            <w:r>
              <w:rPr>
                <w:b/>
                <w:bCs/>
                <w:lang w:val="sr-Cyrl-RS" w:eastAsia="en-GB"/>
              </w:rPr>
              <w:t>ци</w:t>
            </w:r>
          </w:p>
        </w:tc>
        <w:tc>
          <w:tcPr>
            <w:tcW w:w="977" w:type="dxa"/>
            <w:shd w:val="clear" w:color="auto" w:fill="00B0F0"/>
          </w:tcPr>
          <w:p w:rsidR="00312676" w:rsidRPr="005F274A" w:rsidRDefault="00EC2E2A" w:rsidP="00EC2E2A">
            <w:pPr>
              <w:jc w:val="center"/>
              <w:rPr>
                <w:b/>
                <w:bCs/>
                <w:lang w:val="sr-Cyrl-RS" w:eastAsia="en-GB"/>
              </w:rPr>
            </w:pPr>
            <w:r>
              <w:rPr>
                <w:b/>
                <w:bCs/>
                <w:lang w:val="sr-Cyrl-RS" w:eastAsia="en-GB"/>
              </w:rPr>
              <w:t>Ж</w:t>
            </w:r>
            <w:r w:rsidR="00312676" w:rsidRPr="005F274A">
              <w:rPr>
                <w:b/>
                <w:bCs/>
                <w:lang w:val="sr-Cyrl-RS" w:eastAsia="en-GB"/>
              </w:rPr>
              <w:t>ен</w:t>
            </w:r>
            <w:r>
              <w:rPr>
                <w:b/>
                <w:bCs/>
                <w:lang w:val="sr-Cyrl-RS" w:eastAsia="en-GB"/>
              </w:rPr>
              <w:t>е</w:t>
            </w:r>
          </w:p>
        </w:tc>
        <w:tc>
          <w:tcPr>
            <w:tcW w:w="1278" w:type="dxa"/>
            <w:shd w:val="clear" w:color="auto" w:fill="00B0F0"/>
          </w:tcPr>
          <w:p w:rsidR="00312676" w:rsidRPr="005F274A" w:rsidRDefault="00EC2E2A" w:rsidP="00005DC6">
            <w:pPr>
              <w:jc w:val="center"/>
              <w:rPr>
                <w:b/>
                <w:bCs/>
                <w:lang w:val="sr-Cyrl-RS" w:eastAsia="en-GB"/>
              </w:rPr>
            </w:pPr>
            <w:r>
              <w:rPr>
                <w:b/>
                <w:bCs/>
                <w:lang w:val="sr-Cyrl-RS" w:eastAsia="en-GB"/>
              </w:rPr>
              <w:t>П</w:t>
            </w:r>
            <w:r w:rsidR="00312676" w:rsidRPr="005F274A">
              <w:rPr>
                <w:b/>
                <w:bCs/>
                <w:lang w:val="sr-Cyrl-RS" w:eastAsia="en-GB"/>
              </w:rPr>
              <w:t>роценат жена</w:t>
            </w:r>
          </w:p>
        </w:tc>
      </w:tr>
      <w:tr w:rsidR="00312676" w:rsidRPr="005F274A" w:rsidTr="002E6023">
        <w:trPr>
          <w:trHeight w:val="288"/>
          <w:jc w:val="center"/>
        </w:trPr>
        <w:tc>
          <w:tcPr>
            <w:tcW w:w="4678" w:type="dxa"/>
            <w:shd w:val="clear" w:color="auto" w:fill="auto"/>
            <w:vAlign w:val="center"/>
            <w:hideMark/>
          </w:tcPr>
          <w:p w:rsidR="00312676" w:rsidRPr="005F274A" w:rsidRDefault="00312676" w:rsidP="00EC2E2A">
            <w:pPr>
              <w:numPr>
                <w:ilvl w:val="0"/>
                <w:numId w:val="15"/>
              </w:numPr>
              <w:rPr>
                <w:bCs/>
                <w:lang w:eastAsia="en-GB"/>
              </w:rPr>
            </w:pPr>
            <w:r w:rsidRPr="005F274A">
              <w:rPr>
                <w:bCs/>
                <w:lang w:eastAsia="en-GB"/>
              </w:rPr>
              <w:t xml:space="preserve">Руководиоци, </w:t>
            </w:r>
            <w:r w:rsidR="00EC2E2A">
              <w:rPr>
                <w:bCs/>
                <w:lang w:val="sr-Cyrl-RS" w:eastAsia="en-GB"/>
              </w:rPr>
              <w:t>ф</w:t>
            </w:r>
            <w:r w:rsidRPr="005F274A">
              <w:rPr>
                <w:bCs/>
                <w:lang w:eastAsia="en-GB"/>
              </w:rPr>
              <w:t>ункционери и законодавци</w:t>
            </w:r>
          </w:p>
        </w:tc>
        <w:tc>
          <w:tcPr>
            <w:tcW w:w="1131" w:type="dxa"/>
            <w:vAlign w:val="bottom"/>
          </w:tcPr>
          <w:p w:rsidR="00312676" w:rsidRPr="005F274A" w:rsidRDefault="00312676" w:rsidP="00DA306F">
            <w:pPr>
              <w:jc w:val="center"/>
              <w:rPr>
                <w:lang w:val="sr-Latn-CS"/>
              </w:rPr>
            </w:pPr>
            <w:r w:rsidRPr="005F274A">
              <w:rPr>
                <w:lang w:val="sr-Latn-CS"/>
              </w:rPr>
              <w:t>80.9</w:t>
            </w:r>
          </w:p>
        </w:tc>
        <w:tc>
          <w:tcPr>
            <w:tcW w:w="1434" w:type="dxa"/>
            <w:vAlign w:val="bottom"/>
          </w:tcPr>
          <w:p w:rsidR="00312676" w:rsidRPr="005F274A" w:rsidRDefault="00312676" w:rsidP="00DA306F">
            <w:pPr>
              <w:jc w:val="center"/>
              <w:rPr>
                <w:lang w:val="sr-Latn-CS"/>
              </w:rPr>
            </w:pPr>
            <w:r w:rsidRPr="005F274A">
              <w:rPr>
                <w:lang w:val="sr-Latn-CS"/>
              </w:rPr>
              <w:t>56.5</w:t>
            </w:r>
          </w:p>
        </w:tc>
        <w:tc>
          <w:tcPr>
            <w:tcW w:w="977" w:type="dxa"/>
            <w:vAlign w:val="bottom"/>
          </w:tcPr>
          <w:p w:rsidR="00312676" w:rsidRPr="005F274A" w:rsidRDefault="00312676" w:rsidP="00DA306F">
            <w:pPr>
              <w:jc w:val="center"/>
              <w:rPr>
                <w:lang w:val="sr-Latn-CS"/>
              </w:rPr>
            </w:pPr>
            <w:r w:rsidRPr="005F274A">
              <w:rPr>
                <w:lang w:val="sr-Latn-CS"/>
              </w:rPr>
              <w:t>24.4</w:t>
            </w:r>
          </w:p>
        </w:tc>
        <w:tc>
          <w:tcPr>
            <w:tcW w:w="1278" w:type="dxa"/>
            <w:vAlign w:val="center"/>
          </w:tcPr>
          <w:p w:rsidR="00312676" w:rsidRPr="005F274A" w:rsidRDefault="00312676" w:rsidP="00DA306F">
            <w:pPr>
              <w:jc w:val="center"/>
              <w:rPr>
                <w:lang w:eastAsia="en-GB"/>
              </w:rPr>
            </w:pPr>
            <w:r w:rsidRPr="005F274A">
              <w:rPr>
                <w:lang w:val="sr-Latn-CS"/>
              </w:rPr>
              <w:t>30%</w:t>
            </w:r>
          </w:p>
        </w:tc>
      </w:tr>
      <w:tr w:rsidR="00312676" w:rsidRPr="005F274A" w:rsidTr="002E6023">
        <w:trPr>
          <w:trHeight w:val="288"/>
          <w:jc w:val="center"/>
        </w:trPr>
        <w:tc>
          <w:tcPr>
            <w:tcW w:w="4678" w:type="dxa"/>
            <w:shd w:val="clear" w:color="auto" w:fill="auto"/>
            <w:vAlign w:val="center"/>
            <w:hideMark/>
          </w:tcPr>
          <w:p w:rsidR="00312676" w:rsidRPr="005F274A" w:rsidRDefault="00312676" w:rsidP="00005DC6">
            <w:pPr>
              <w:numPr>
                <w:ilvl w:val="0"/>
                <w:numId w:val="15"/>
              </w:numPr>
              <w:rPr>
                <w:bCs/>
                <w:lang w:eastAsia="en-GB"/>
              </w:rPr>
            </w:pPr>
            <w:r w:rsidRPr="005F274A">
              <w:rPr>
                <w:bCs/>
                <w:lang w:eastAsia="en-GB"/>
              </w:rPr>
              <w:t>Стручњаци и уметници</w:t>
            </w:r>
          </w:p>
        </w:tc>
        <w:tc>
          <w:tcPr>
            <w:tcW w:w="1131" w:type="dxa"/>
            <w:vAlign w:val="bottom"/>
          </w:tcPr>
          <w:p w:rsidR="00312676" w:rsidRPr="005F274A" w:rsidRDefault="00312676" w:rsidP="00DA306F">
            <w:pPr>
              <w:jc w:val="center"/>
              <w:rPr>
                <w:lang w:val="sr-Latn-CS"/>
              </w:rPr>
            </w:pPr>
            <w:r w:rsidRPr="005F274A">
              <w:rPr>
                <w:lang w:val="sr-Latn-CS"/>
              </w:rPr>
              <w:t>391.4</w:t>
            </w:r>
          </w:p>
        </w:tc>
        <w:tc>
          <w:tcPr>
            <w:tcW w:w="1434" w:type="dxa"/>
            <w:vAlign w:val="bottom"/>
          </w:tcPr>
          <w:p w:rsidR="00312676" w:rsidRPr="005F274A" w:rsidRDefault="00312676" w:rsidP="00DA306F">
            <w:pPr>
              <w:jc w:val="center"/>
              <w:rPr>
                <w:lang w:val="sr-Latn-CS"/>
              </w:rPr>
            </w:pPr>
            <w:r w:rsidRPr="005F274A">
              <w:rPr>
                <w:lang w:val="sr-Latn-CS"/>
              </w:rPr>
              <w:t>168.7</w:t>
            </w:r>
          </w:p>
        </w:tc>
        <w:tc>
          <w:tcPr>
            <w:tcW w:w="977" w:type="dxa"/>
            <w:vAlign w:val="bottom"/>
          </w:tcPr>
          <w:p w:rsidR="00312676" w:rsidRPr="005F274A" w:rsidRDefault="00312676" w:rsidP="00DA306F">
            <w:pPr>
              <w:jc w:val="center"/>
              <w:rPr>
                <w:lang w:val="sr-Latn-CS"/>
              </w:rPr>
            </w:pPr>
            <w:r w:rsidRPr="005F274A">
              <w:rPr>
                <w:lang w:val="sr-Latn-CS"/>
              </w:rPr>
              <w:t>222.7</w:t>
            </w:r>
          </w:p>
        </w:tc>
        <w:tc>
          <w:tcPr>
            <w:tcW w:w="1278" w:type="dxa"/>
            <w:vAlign w:val="center"/>
          </w:tcPr>
          <w:p w:rsidR="00312676" w:rsidRPr="005F274A" w:rsidRDefault="00312676" w:rsidP="00DA306F">
            <w:pPr>
              <w:jc w:val="center"/>
              <w:rPr>
                <w:lang w:val="sr-Latn-CS"/>
              </w:rPr>
            </w:pPr>
            <w:r w:rsidRPr="005F274A">
              <w:rPr>
                <w:lang w:val="sr-Latn-CS"/>
              </w:rPr>
              <w:t>57%</w:t>
            </w:r>
          </w:p>
        </w:tc>
      </w:tr>
      <w:tr w:rsidR="00312676" w:rsidRPr="005F274A" w:rsidTr="002E6023">
        <w:trPr>
          <w:trHeight w:val="288"/>
          <w:jc w:val="center"/>
        </w:trPr>
        <w:tc>
          <w:tcPr>
            <w:tcW w:w="4678" w:type="dxa"/>
            <w:shd w:val="clear" w:color="auto" w:fill="auto"/>
            <w:vAlign w:val="center"/>
            <w:hideMark/>
          </w:tcPr>
          <w:p w:rsidR="00312676" w:rsidRPr="00EC2E2A" w:rsidRDefault="00312676" w:rsidP="00005DC6">
            <w:pPr>
              <w:numPr>
                <w:ilvl w:val="0"/>
                <w:numId w:val="15"/>
              </w:numPr>
              <w:rPr>
                <w:bCs/>
                <w:lang w:val="ru-RU" w:eastAsia="en-GB"/>
              </w:rPr>
            </w:pPr>
            <w:r w:rsidRPr="00EC2E2A">
              <w:rPr>
                <w:bCs/>
                <w:lang w:val="ru-RU" w:eastAsia="en-GB"/>
              </w:rPr>
              <w:t>Инжењери, стручни сарадници и техничари</w:t>
            </w:r>
          </w:p>
        </w:tc>
        <w:tc>
          <w:tcPr>
            <w:tcW w:w="1131" w:type="dxa"/>
            <w:vAlign w:val="bottom"/>
          </w:tcPr>
          <w:p w:rsidR="00312676" w:rsidRPr="005F274A" w:rsidRDefault="00312676" w:rsidP="00DA306F">
            <w:pPr>
              <w:jc w:val="center"/>
              <w:rPr>
                <w:lang w:val="sr-Latn-CS"/>
              </w:rPr>
            </w:pPr>
            <w:r w:rsidRPr="005F274A">
              <w:rPr>
                <w:lang w:val="sr-Latn-CS"/>
              </w:rPr>
              <w:t>331.8</w:t>
            </w:r>
          </w:p>
        </w:tc>
        <w:tc>
          <w:tcPr>
            <w:tcW w:w="1434" w:type="dxa"/>
            <w:vAlign w:val="bottom"/>
          </w:tcPr>
          <w:p w:rsidR="00312676" w:rsidRPr="005F274A" w:rsidRDefault="00312676" w:rsidP="00DA306F">
            <w:pPr>
              <w:jc w:val="center"/>
              <w:rPr>
                <w:lang w:val="sr-Latn-CS"/>
              </w:rPr>
            </w:pPr>
            <w:r w:rsidRPr="005F274A">
              <w:rPr>
                <w:lang w:val="sr-Latn-CS"/>
              </w:rPr>
              <w:t>155.0</w:t>
            </w:r>
          </w:p>
        </w:tc>
        <w:tc>
          <w:tcPr>
            <w:tcW w:w="977" w:type="dxa"/>
            <w:vAlign w:val="bottom"/>
          </w:tcPr>
          <w:p w:rsidR="00312676" w:rsidRPr="005F274A" w:rsidRDefault="00312676" w:rsidP="00DA306F">
            <w:pPr>
              <w:jc w:val="center"/>
              <w:rPr>
                <w:lang w:val="sr-Latn-CS"/>
              </w:rPr>
            </w:pPr>
            <w:r w:rsidRPr="005F274A">
              <w:rPr>
                <w:lang w:val="sr-Latn-CS"/>
              </w:rPr>
              <w:t>176.9</w:t>
            </w:r>
          </w:p>
        </w:tc>
        <w:tc>
          <w:tcPr>
            <w:tcW w:w="1278" w:type="dxa"/>
            <w:vAlign w:val="center"/>
          </w:tcPr>
          <w:p w:rsidR="00312676" w:rsidRPr="005F274A" w:rsidRDefault="00312676" w:rsidP="00DA306F">
            <w:pPr>
              <w:jc w:val="center"/>
              <w:rPr>
                <w:lang w:val="sr-Latn-CS"/>
              </w:rPr>
            </w:pPr>
            <w:r w:rsidRPr="005F274A">
              <w:rPr>
                <w:lang w:val="sr-Latn-CS"/>
              </w:rPr>
              <w:t>53%</w:t>
            </w:r>
          </w:p>
        </w:tc>
      </w:tr>
      <w:tr w:rsidR="00312676" w:rsidRPr="005F274A" w:rsidTr="002E6023">
        <w:trPr>
          <w:trHeight w:val="288"/>
          <w:jc w:val="center"/>
        </w:trPr>
        <w:tc>
          <w:tcPr>
            <w:tcW w:w="4678" w:type="dxa"/>
            <w:shd w:val="clear" w:color="auto" w:fill="auto"/>
            <w:vAlign w:val="center"/>
            <w:hideMark/>
          </w:tcPr>
          <w:p w:rsidR="00312676" w:rsidRPr="005F274A" w:rsidRDefault="00312676" w:rsidP="00005DC6">
            <w:pPr>
              <w:numPr>
                <w:ilvl w:val="0"/>
                <w:numId w:val="15"/>
              </w:numPr>
              <w:rPr>
                <w:bCs/>
                <w:lang w:eastAsia="en-GB"/>
              </w:rPr>
            </w:pPr>
            <w:r w:rsidRPr="005F274A">
              <w:rPr>
                <w:bCs/>
                <w:lang w:eastAsia="en-GB"/>
              </w:rPr>
              <w:t>Административни службеници</w:t>
            </w:r>
          </w:p>
        </w:tc>
        <w:tc>
          <w:tcPr>
            <w:tcW w:w="1131" w:type="dxa"/>
            <w:vAlign w:val="bottom"/>
          </w:tcPr>
          <w:p w:rsidR="00312676" w:rsidRPr="005F274A" w:rsidRDefault="00312676" w:rsidP="00DA306F">
            <w:pPr>
              <w:jc w:val="center"/>
              <w:rPr>
                <w:lang w:val="sr-Latn-CS"/>
              </w:rPr>
            </w:pPr>
            <w:r w:rsidRPr="005F274A">
              <w:rPr>
                <w:lang w:val="sr-Latn-CS"/>
              </w:rPr>
              <w:t>228.8</w:t>
            </w:r>
          </w:p>
        </w:tc>
        <w:tc>
          <w:tcPr>
            <w:tcW w:w="1434" w:type="dxa"/>
            <w:vAlign w:val="bottom"/>
          </w:tcPr>
          <w:p w:rsidR="00312676" w:rsidRPr="005F274A" w:rsidRDefault="00312676" w:rsidP="00DA306F">
            <w:pPr>
              <w:jc w:val="center"/>
              <w:rPr>
                <w:lang w:val="sr-Latn-CS"/>
              </w:rPr>
            </w:pPr>
            <w:r w:rsidRPr="005F274A">
              <w:rPr>
                <w:lang w:val="sr-Latn-CS"/>
              </w:rPr>
              <w:t>97.2</w:t>
            </w:r>
          </w:p>
        </w:tc>
        <w:tc>
          <w:tcPr>
            <w:tcW w:w="977" w:type="dxa"/>
            <w:vAlign w:val="bottom"/>
          </w:tcPr>
          <w:p w:rsidR="00312676" w:rsidRPr="005F274A" w:rsidRDefault="00312676" w:rsidP="00DA306F">
            <w:pPr>
              <w:jc w:val="center"/>
              <w:rPr>
                <w:lang w:val="sr-Latn-CS"/>
              </w:rPr>
            </w:pPr>
            <w:r w:rsidRPr="005F274A">
              <w:rPr>
                <w:lang w:val="sr-Latn-CS"/>
              </w:rPr>
              <w:t>131.6</w:t>
            </w:r>
          </w:p>
        </w:tc>
        <w:tc>
          <w:tcPr>
            <w:tcW w:w="1278" w:type="dxa"/>
            <w:vAlign w:val="center"/>
          </w:tcPr>
          <w:p w:rsidR="00312676" w:rsidRPr="005F274A" w:rsidRDefault="00312676" w:rsidP="00DA306F">
            <w:pPr>
              <w:jc w:val="center"/>
              <w:rPr>
                <w:lang w:val="sr-Latn-CS"/>
              </w:rPr>
            </w:pPr>
            <w:r w:rsidRPr="005F274A">
              <w:rPr>
                <w:lang w:val="sr-Latn-CS"/>
              </w:rPr>
              <w:t>58%</w:t>
            </w:r>
          </w:p>
        </w:tc>
      </w:tr>
      <w:tr w:rsidR="00312676" w:rsidRPr="005F274A" w:rsidTr="002E6023">
        <w:trPr>
          <w:trHeight w:val="288"/>
          <w:jc w:val="center"/>
        </w:trPr>
        <w:tc>
          <w:tcPr>
            <w:tcW w:w="4678" w:type="dxa"/>
            <w:shd w:val="clear" w:color="auto" w:fill="auto"/>
            <w:vAlign w:val="center"/>
            <w:hideMark/>
          </w:tcPr>
          <w:p w:rsidR="00312676" w:rsidRPr="005F274A" w:rsidRDefault="00312676" w:rsidP="00005DC6">
            <w:pPr>
              <w:numPr>
                <w:ilvl w:val="0"/>
                <w:numId w:val="15"/>
              </w:numPr>
              <w:rPr>
                <w:bCs/>
                <w:lang w:eastAsia="en-GB"/>
              </w:rPr>
            </w:pPr>
            <w:r w:rsidRPr="005F274A">
              <w:rPr>
                <w:bCs/>
                <w:lang w:eastAsia="en-GB"/>
              </w:rPr>
              <w:t>Услужна и трговачка занимања</w:t>
            </w:r>
          </w:p>
        </w:tc>
        <w:tc>
          <w:tcPr>
            <w:tcW w:w="1131" w:type="dxa"/>
            <w:vAlign w:val="bottom"/>
          </w:tcPr>
          <w:p w:rsidR="00312676" w:rsidRPr="005F274A" w:rsidRDefault="00312676" w:rsidP="00DA306F">
            <w:pPr>
              <w:jc w:val="center"/>
              <w:rPr>
                <w:lang w:val="sr-Latn-CS"/>
              </w:rPr>
            </w:pPr>
            <w:r w:rsidRPr="005F274A">
              <w:rPr>
                <w:lang w:val="sr-Latn-CS"/>
              </w:rPr>
              <w:t>446.9</w:t>
            </w:r>
          </w:p>
        </w:tc>
        <w:tc>
          <w:tcPr>
            <w:tcW w:w="1434" w:type="dxa"/>
            <w:vAlign w:val="bottom"/>
          </w:tcPr>
          <w:p w:rsidR="00312676" w:rsidRPr="005F274A" w:rsidRDefault="00312676" w:rsidP="00DA306F">
            <w:pPr>
              <w:jc w:val="center"/>
              <w:rPr>
                <w:lang w:val="sr-Latn-CS"/>
              </w:rPr>
            </w:pPr>
            <w:r w:rsidRPr="005F274A">
              <w:rPr>
                <w:lang w:val="sr-Latn-CS"/>
              </w:rPr>
              <w:t>194.9</w:t>
            </w:r>
          </w:p>
        </w:tc>
        <w:tc>
          <w:tcPr>
            <w:tcW w:w="977" w:type="dxa"/>
            <w:vAlign w:val="bottom"/>
          </w:tcPr>
          <w:p w:rsidR="00312676" w:rsidRPr="005F274A" w:rsidRDefault="00312676" w:rsidP="00DA306F">
            <w:pPr>
              <w:jc w:val="center"/>
              <w:rPr>
                <w:lang w:val="sr-Latn-CS"/>
              </w:rPr>
            </w:pPr>
            <w:r w:rsidRPr="005F274A">
              <w:rPr>
                <w:lang w:val="sr-Latn-CS"/>
              </w:rPr>
              <w:t>252.1</w:t>
            </w:r>
          </w:p>
        </w:tc>
        <w:tc>
          <w:tcPr>
            <w:tcW w:w="1278" w:type="dxa"/>
            <w:vAlign w:val="center"/>
          </w:tcPr>
          <w:p w:rsidR="00312676" w:rsidRPr="005F274A" w:rsidRDefault="00312676" w:rsidP="00DA306F">
            <w:pPr>
              <w:jc w:val="center"/>
              <w:rPr>
                <w:lang w:val="sr-Latn-CS"/>
              </w:rPr>
            </w:pPr>
            <w:r w:rsidRPr="005F274A">
              <w:rPr>
                <w:lang w:val="sr-Latn-CS"/>
              </w:rPr>
              <w:t>56%</w:t>
            </w:r>
          </w:p>
        </w:tc>
      </w:tr>
      <w:tr w:rsidR="00312676" w:rsidRPr="005F274A" w:rsidTr="002E6023">
        <w:trPr>
          <w:trHeight w:val="288"/>
          <w:jc w:val="center"/>
        </w:trPr>
        <w:tc>
          <w:tcPr>
            <w:tcW w:w="4678" w:type="dxa"/>
            <w:shd w:val="clear" w:color="auto" w:fill="auto"/>
            <w:vAlign w:val="center"/>
            <w:hideMark/>
          </w:tcPr>
          <w:p w:rsidR="00312676" w:rsidRPr="00EC2E2A" w:rsidRDefault="00312676" w:rsidP="00005DC6">
            <w:pPr>
              <w:numPr>
                <w:ilvl w:val="0"/>
                <w:numId w:val="15"/>
              </w:numPr>
              <w:rPr>
                <w:bCs/>
                <w:lang w:val="ru-RU" w:eastAsia="en-GB"/>
              </w:rPr>
            </w:pPr>
            <w:r w:rsidRPr="00EC2E2A">
              <w:rPr>
                <w:bCs/>
                <w:lang w:val="ru-RU" w:eastAsia="en-GB"/>
              </w:rPr>
              <w:t>Пољопривредници, шумари, рибари и сродни</w:t>
            </w:r>
          </w:p>
        </w:tc>
        <w:tc>
          <w:tcPr>
            <w:tcW w:w="1131" w:type="dxa"/>
            <w:vAlign w:val="bottom"/>
          </w:tcPr>
          <w:p w:rsidR="00312676" w:rsidRPr="005F274A" w:rsidRDefault="00312676" w:rsidP="00DA306F">
            <w:pPr>
              <w:jc w:val="center"/>
              <w:rPr>
                <w:lang w:val="sr-Latn-CS"/>
              </w:rPr>
            </w:pPr>
            <w:r w:rsidRPr="005F274A">
              <w:rPr>
                <w:lang w:val="sr-Latn-CS"/>
              </w:rPr>
              <w:t>526.8</w:t>
            </w:r>
          </w:p>
        </w:tc>
        <w:tc>
          <w:tcPr>
            <w:tcW w:w="1434" w:type="dxa"/>
            <w:vAlign w:val="bottom"/>
          </w:tcPr>
          <w:p w:rsidR="00312676" w:rsidRPr="005F274A" w:rsidRDefault="00312676" w:rsidP="00DA306F">
            <w:pPr>
              <w:jc w:val="center"/>
              <w:rPr>
                <w:lang w:val="sr-Latn-CS"/>
              </w:rPr>
            </w:pPr>
            <w:r w:rsidRPr="005F274A">
              <w:rPr>
                <w:lang w:val="sr-Latn-CS"/>
              </w:rPr>
              <w:t>304.3</w:t>
            </w:r>
          </w:p>
        </w:tc>
        <w:tc>
          <w:tcPr>
            <w:tcW w:w="977" w:type="dxa"/>
            <w:vAlign w:val="bottom"/>
          </w:tcPr>
          <w:p w:rsidR="00312676" w:rsidRPr="005F274A" w:rsidRDefault="00312676" w:rsidP="00DA306F">
            <w:pPr>
              <w:jc w:val="center"/>
              <w:rPr>
                <w:lang w:val="sr-Latn-CS"/>
              </w:rPr>
            </w:pPr>
            <w:r w:rsidRPr="005F274A">
              <w:rPr>
                <w:lang w:val="sr-Latn-CS"/>
              </w:rPr>
              <w:t>222.5</w:t>
            </w:r>
          </w:p>
        </w:tc>
        <w:tc>
          <w:tcPr>
            <w:tcW w:w="1278" w:type="dxa"/>
            <w:vAlign w:val="center"/>
          </w:tcPr>
          <w:p w:rsidR="00312676" w:rsidRPr="005F274A" w:rsidRDefault="00312676" w:rsidP="00DA306F">
            <w:pPr>
              <w:jc w:val="center"/>
              <w:rPr>
                <w:lang w:val="sr-Latn-CS"/>
              </w:rPr>
            </w:pPr>
            <w:r w:rsidRPr="005F274A">
              <w:rPr>
                <w:lang w:val="sr-Latn-CS"/>
              </w:rPr>
              <w:t>42%</w:t>
            </w:r>
          </w:p>
        </w:tc>
      </w:tr>
      <w:tr w:rsidR="00312676" w:rsidRPr="005F274A" w:rsidTr="002E6023">
        <w:trPr>
          <w:trHeight w:val="288"/>
          <w:jc w:val="center"/>
        </w:trPr>
        <w:tc>
          <w:tcPr>
            <w:tcW w:w="4678" w:type="dxa"/>
            <w:shd w:val="clear" w:color="auto" w:fill="auto"/>
            <w:vAlign w:val="center"/>
            <w:hideMark/>
          </w:tcPr>
          <w:p w:rsidR="00312676" w:rsidRPr="005F274A" w:rsidRDefault="00312676" w:rsidP="00005DC6">
            <w:pPr>
              <w:numPr>
                <w:ilvl w:val="0"/>
                <w:numId w:val="15"/>
              </w:numPr>
              <w:rPr>
                <w:bCs/>
                <w:lang w:eastAsia="en-GB"/>
              </w:rPr>
            </w:pPr>
            <w:r w:rsidRPr="005F274A">
              <w:rPr>
                <w:bCs/>
                <w:lang w:eastAsia="en-GB"/>
              </w:rPr>
              <w:t>Занатлије и сродни</w:t>
            </w:r>
          </w:p>
        </w:tc>
        <w:tc>
          <w:tcPr>
            <w:tcW w:w="1131" w:type="dxa"/>
            <w:vAlign w:val="bottom"/>
          </w:tcPr>
          <w:p w:rsidR="00312676" w:rsidRPr="005F274A" w:rsidRDefault="00312676" w:rsidP="00DA306F">
            <w:pPr>
              <w:jc w:val="center"/>
              <w:rPr>
                <w:lang w:val="sr-Latn-CS"/>
              </w:rPr>
            </w:pPr>
            <w:r w:rsidRPr="005F274A">
              <w:rPr>
                <w:lang w:val="sr-Latn-CS"/>
              </w:rPr>
              <w:t>330.4</w:t>
            </w:r>
          </w:p>
        </w:tc>
        <w:tc>
          <w:tcPr>
            <w:tcW w:w="1434" w:type="dxa"/>
            <w:vAlign w:val="bottom"/>
          </w:tcPr>
          <w:p w:rsidR="00312676" w:rsidRPr="005F274A" w:rsidRDefault="00312676" w:rsidP="00DA306F">
            <w:pPr>
              <w:jc w:val="center"/>
              <w:rPr>
                <w:lang w:val="sr-Latn-CS"/>
              </w:rPr>
            </w:pPr>
            <w:r w:rsidRPr="005F274A">
              <w:rPr>
                <w:lang w:val="sr-Latn-CS"/>
              </w:rPr>
              <w:t>277.0</w:t>
            </w:r>
          </w:p>
        </w:tc>
        <w:tc>
          <w:tcPr>
            <w:tcW w:w="977" w:type="dxa"/>
            <w:vAlign w:val="bottom"/>
          </w:tcPr>
          <w:p w:rsidR="00312676" w:rsidRPr="005F274A" w:rsidRDefault="00312676" w:rsidP="00DA306F">
            <w:pPr>
              <w:jc w:val="center"/>
              <w:rPr>
                <w:lang w:val="sr-Latn-CS"/>
              </w:rPr>
            </w:pPr>
            <w:r w:rsidRPr="005F274A">
              <w:rPr>
                <w:lang w:val="sr-Latn-CS"/>
              </w:rPr>
              <w:t>53.4</w:t>
            </w:r>
          </w:p>
        </w:tc>
        <w:tc>
          <w:tcPr>
            <w:tcW w:w="1278" w:type="dxa"/>
            <w:vAlign w:val="center"/>
          </w:tcPr>
          <w:p w:rsidR="00312676" w:rsidRPr="005F274A" w:rsidRDefault="00312676" w:rsidP="00DA306F">
            <w:pPr>
              <w:jc w:val="center"/>
              <w:rPr>
                <w:lang w:val="sr-Latn-CS"/>
              </w:rPr>
            </w:pPr>
            <w:r w:rsidRPr="005F274A">
              <w:rPr>
                <w:lang w:val="sr-Latn-CS"/>
              </w:rPr>
              <w:t>16%</w:t>
            </w:r>
          </w:p>
        </w:tc>
      </w:tr>
      <w:tr w:rsidR="00312676" w:rsidRPr="005F274A" w:rsidTr="002E6023">
        <w:trPr>
          <w:trHeight w:val="552"/>
          <w:jc w:val="center"/>
        </w:trPr>
        <w:tc>
          <w:tcPr>
            <w:tcW w:w="4678" w:type="dxa"/>
            <w:shd w:val="clear" w:color="auto" w:fill="auto"/>
            <w:vAlign w:val="center"/>
            <w:hideMark/>
          </w:tcPr>
          <w:p w:rsidR="00312676" w:rsidRPr="00EC2E2A" w:rsidRDefault="00312676" w:rsidP="00005DC6">
            <w:pPr>
              <w:numPr>
                <w:ilvl w:val="0"/>
                <w:numId w:val="15"/>
              </w:numPr>
              <w:rPr>
                <w:bCs/>
                <w:lang w:val="ru-RU" w:eastAsia="en-GB"/>
              </w:rPr>
            </w:pPr>
            <w:r w:rsidRPr="00EC2E2A">
              <w:rPr>
                <w:bCs/>
                <w:lang w:val="ru-RU" w:eastAsia="en-GB"/>
              </w:rPr>
              <w:t>Руковаоци машинама и постројењима, монтери и возачи</w:t>
            </w:r>
          </w:p>
        </w:tc>
        <w:tc>
          <w:tcPr>
            <w:tcW w:w="1131" w:type="dxa"/>
            <w:vAlign w:val="bottom"/>
          </w:tcPr>
          <w:p w:rsidR="00312676" w:rsidRPr="005F274A" w:rsidRDefault="00312676" w:rsidP="00DA306F">
            <w:pPr>
              <w:jc w:val="center"/>
              <w:rPr>
                <w:lang w:val="sr-Latn-CS"/>
              </w:rPr>
            </w:pPr>
            <w:r w:rsidRPr="005F274A">
              <w:rPr>
                <w:lang w:val="sr-Latn-CS"/>
              </w:rPr>
              <w:t>295.1</w:t>
            </w:r>
          </w:p>
        </w:tc>
        <w:tc>
          <w:tcPr>
            <w:tcW w:w="1434" w:type="dxa"/>
            <w:vAlign w:val="bottom"/>
          </w:tcPr>
          <w:p w:rsidR="00312676" w:rsidRPr="005F274A" w:rsidRDefault="00312676" w:rsidP="00DA306F">
            <w:pPr>
              <w:jc w:val="center"/>
              <w:rPr>
                <w:lang w:val="sr-Latn-CS"/>
              </w:rPr>
            </w:pPr>
            <w:r w:rsidRPr="005F274A">
              <w:rPr>
                <w:lang w:val="sr-Latn-CS"/>
              </w:rPr>
              <w:t>232.0</w:t>
            </w:r>
          </w:p>
        </w:tc>
        <w:tc>
          <w:tcPr>
            <w:tcW w:w="977" w:type="dxa"/>
            <w:vAlign w:val="bottom"/>
          </w:tcPr>
          <w:p w:rsidR="00312676" w:rsidRPr="005F274A" w:rsidRDefault="00312676" w:rsidP="00DA306F">
            <w:pPr>
              <w:jc w:val="center"/>
              <w:rPr>
                <w:lang w:val="sr-Latn-CS"/>
              </w:rPr>
            </w:pPr>
            <w:r w:rsidRPr="005F274A">
              <w:rPr>
                <w:lang w:val="sr-Latn-CS"/>
              </w:rPr>
              <w:t>63.1</w:t>
            </w:r>
          </w:p>
        </w:tc>
        <w:tc>
          <w:tcPr>
            <w:tcW w:w="1278" w:type="dxa"/>
            <w:vAlign w:val="center"/>
          </w:tcPr>
          <w:p w:rsidR="00312676" w:rsidRPr="005F274A" w:rsidRDefault="00312676" w:rsidP="00DA306F">
            <w:pPr>
              <w:jc w:val="center"/>
              <w:rPr>
                <w:lang w:val="sr-Latn-CS"/>
              </w:rPr>
            </w:pPr>
            <w:r w:rsidRPr="005F274A">
              <w:rPr>
                <w:lang w:val="sr-Latn-CS"/>
              </w:rPr>
              <w:t>21%</w:t>
            </w:r>
          </w:p>
        </w:tc>
      </w:tr>
      <w:tr w:rsidR="00312676" w:rsidRPr="005F274A" w:rsidTr="002E6023">
        <w:trPr>
          <w:trHeight w:val="288"/>
          <w:jc w:val="center"/>
        </w:trPr>
        <w:tc>
          <w:tcPr>
            <w:tcW w:w="4678" w:type="dxa"/>
            <w:shd w:val="clear" w:color="auto" w:fill="auto"/>
            <w:vAlign w:val="center"/>
            <w:hideMark/>
          </w:tcPr>
          <w:p w:rsidR="00312676" w:rsidRPr="005F274A" w:rsidRDefault="00312676" w:rsidP="00005DC6">
            <w:pPr>
              <w:numPr>
                <w:ilvl w:val="0"/>
                <w:numId w:val="15"/>
              </w:numPr>
              <w:rPr>
                <w:bCs/>
                <w:lang w:eastAsia="en-GB"/>
              </w:rPr>
            </w:pPr>
            <w:r w:rsidRPr="005F274A">
              <w:rPr>
                <w:bCs/>
                <w:lang w:eastAsia="en-GB"/>
              </w:rPr>
              <w:t>Једноставна занимања</w:t>
            </w:r>
          </w:p>
        </w:tc>
        <w:tc>
          <w:tcPr>
            <w:tcW w:w="1131" w:type="dxa"/>
            <w:vAlign w:val="bottom"/>
          </w:tcPr>
          <w:p w:rsidR="00312676" w:rsidRPr="005F274A" w:rsidRDefault="00312676" w:rsidP="00DA306F">
            <w:pPr>
              <w:jc w:val="center"/>
              <w:rPr>
                <w:lang w:val="sr-Latn-CS"/>
              </w:rPr>
            </w:pPr>
            <w:r w:rsidRPr="005F274A">
              <w:rPr>
                <w:lang w:val="sr-Latn-CS"/>
              </w:rPr>
              <w:t>280.7</w:t>
            </w:r>
          </w:p>
        </w:tc>
        <w:tc>
          <w:tcPr>
            <w:tcW w:w="1434" w:type="dxa"/>
            <w:vAlign w:val="bottom"/>
          </w:tcPr>
          <w:p w:rsidR="00312676" w:rsidRPr="005F274A" w:rsidRDefault="00312676" w:rsidP="00DA306F">
            <w:pPr>
              <w:jc w:val="center"/>
              <w:rPr>
                <w:lang w:val="sr-Latn-CS"/>
              </w:rPr>
            </w:pPr>
            <w:r w:rsidRPr="005F274A">
              <w:rPr>
                <w:lang w:val="sr-Latn-CS"/>
              </w:rPr>
              <w:t>142.7</w:t>
            </w:r>
          </w:p>
        </w:tc>
        <w:tc>
          <w:tcPr>
            <w:tcW w:w="977" w:type="dxa"/>
            <w:vAlign w:val="bottom"/>
          </w:tcPr>
          <w:p w:rsidR="00312676" w:rsidRPr="005F274A" w:rsidRDefault="00312676" w:rsidP="00DA306F">
            <w:pPr>
              <w:jc w:val="center"/>
              <w:rPr>
                <w:lang w:val="sr-Latn-CS"/>
              </w:rPr>
            </w:pPr>
            <w:r w:rsidRPr="005F274A">
              <w:rPr>
                <w:lang w:val="sr-Latn-CS"/>
              </w:rPr>
              <w:t>138.0</w:t>
            </w:r>
          </w:p>
        </w:tc>
        <w:tc>
          <w:tcPr>
            <w:tcW w:w="1278" w:type="dxa"/>
            <w:vAlign w:val="center"/>
          </w:tcPr>
          <w:p w:rsidR="00312676" w:rsidRPr="005F274A" w:rsidRDefault="00312676" w:rsidP="00DA306F">
            <w:pPr>
              <w:jc w:val="center"/>
              <w:rPr>
                <w:lang w:val="sr-Latn-CS"/>
              </w:rPr>
            </w:pPr>
            <w:r w:rsidRPr="005F274A">
              <w:rPr>
                <w:lang w:val="sr-Latn-CS"/>
              </w:rPr>
              <w:t>49%</w:t>
            </w:r>
          </w:p>
        </w:tc>
      </w:tr>
      <w:tr w:rsidR="00312676" w:rsidRPr="005F274A" w:rsidTr="002E6023">
        <w:trPr>
          <w:trHeight w:val="300"/>
          <w:jc w:val="center"/>
        </w:trPr>
        <w:tc>
          <w:tcPr>
            <w:tcW w:w="4678" w:type="dxa"/>
            <w:shd w:val="clear" w:color="auto" w:fill="auto"/>
            <w:vAlign w:val="center"/>
            <w:hideMark/>
          </w:tcPr>
          <w:p w:rsidR="00312676" w:rsidRPr="005F274A" w:rsidRDefault="00312676" w:rsidP="00005DC6">
            <w:pPr>
              <w:numPr>
                <w:ilvl w:val="0"/>
                <w:numId w:val="15"/>
              </w:numPr>
              <w:rPr>
                <w:bCs/>
                <w:lang w:eastAsia="en-GB"/>
              </w:rPr>
            </w:pPr>
            <w:r w:rsidRPr="005F274A">
              <w:rPr>
                <w:bCs/>
                <w:lang w:eastAsia="en-GB"/>
              </w:rPr>
              <w:t>Војна занимања</w:t>
            </w:r>
          </w:p>
        </w:tc>
        <w:tc>
          <w:tcPr>
            <w:tcW w:w="1131" w:type="dxa"/>
          </w:tcPr>
          <w:p w:rsidR="00312676" w:rsidRPr="005F274A" w:rsidRDefault="00312676" w:rsidP="00DA306F">
            <w:pPr>
              <w:jc w:val="center"/>
              <w:rPr>
                <w:bCs/>
                <w:lang w:eastAsia="en-GB"/>
              </w:rPr>
            </w:pPr>
            <w:r w:rsidRPr="005F274A">
              <w:rPr>
                <w:bCs/>
                <w:lang w:eastAsia="en-GB"/>
              </w:rPr>
              <w:t>16.4</w:t>
            </w:r>
          </w:p>
        </w:tc>
        <w:tc>
          <w:tcPr>
            <w:tcW w:w="1434" w:type="dxa"/>
          </w:tcPr>
          <w:p w:rsidR="00312676" w:rsidRPr="005F274A" w:rsidRDefault="00312676" w:rsidP="00DA306F">
            <w:pPr>
              <w:jc w:val="center"/>
              <w:rPr>
                <w:bCs/>
                <w:lang w:eastAsia="en-GB"/>
              </w:rPr>
            </w:pPr>
            <w:r w:rsidRPr="005F274A">
              <w:rPr>
                <w:bCs/>
                <w:lang w:eastAsia="en-GB"/>
              </w:rPr>
              <w:t>16.3</w:t>
            </w:r>
          </w:p>
        </w:tc>
        <w:tc>
          <w:tcPr>
            <w:tcW w:w="977" w:type="dxa"/>
          </w:tcPr>
          <w:p w:rsidR="00312676" w:rsidRPr="005F274A" w:rsidRDefault="00312676" w:rsidP="00DA306F">
            <w:pPr>
              <w:jc w:val="center"/>
              <w:rPr>
                <w:bCs/>
                <w:lang w:eastAsia="en-GB"/>
              </w:rPr>
            </w:pPr>
            <w:r w:rsidRPr="005F274A">
              <w:rPr>
                <w:bCs/>
                <w:lang w:eastAsia="en-GB"/>
              </w:rPr>
              <w:t>0.1</w:t>
            </w:r>
          </w:p>
        </w:tc>
        <w:tc>
          <w:tcPr>
            <w:tcW w:w="1278" w:type="dxa"/>
            <w:vAlign w:val="center"/>
          </w:tcPr>
          <w:p w:rsidR="00312676" w:rsidRPr="005F274A" w:rsidRDefault="00312676" w:rsidP="00DA306F">
            <w:pPr>
              <w:jc w:val="center"/>
              <w:rPr>
                <w:lang w:val="sr-Latn-CS"/>
              </w:rPr>
            </w:pPr>
            <w:r w:rsidRPr="005F274A">
              <w:rPr>
                <w:lang w:val="sr-Latn-CS"/>
              </w:rPr>
              <w:t>1%</w:t>
            </w:r>
          </w:p>
        </w:tc>
      </w:tr>
      <w:tr w:rsidR="00312676" w:rsidRPr="005F274A" w:rsidTr="002E6023">
        <w:trPr>
          <w:trHeight w:val="300"/>
          <w:jc w:val="center"/>
        </w:trPr>
        <w:tc>
          <w:tcPr>
            <w:tcW w:w="4678" w:type="dxa"/>
            <w:shd w:val="clear" w:color="auto" w:fill="auto"/>
            <w:vAlign w:val="center"/>
          </w:tcPr>
          <w:p w:rsidR="00312676" w:rsidRPr="005F274A" w:rsidRDefault="002E6023" w:rsidP="00005DC6">
            <w:pPr>
              <w:ind w:left="720"/>
              <w:rPr>
                <w:bCs/>
                <w:lang w:eastAsia="en-GB"/>
              </w:rPr>
            </w:pPr>
            <w:r>
              <w:rPr>
                <w:b/>
                <w:bCs/>
                <w:lang w:eastAsia="en-GB"/>
              </w:rPr>
              <w:t>УКУПНО</w:t>
            </w:r>
          </w:p>
        </w:tc>
        <w:tc>
          <w:tcPr>
            <w:tcW w:w="1131" w:type="dxa"/>
            <w:vAlign w:val="bottom"/>
          </w:tcPr>
          <w:p w:rsidR="00312676" w:rsidRPr="005F274A" w:rsidRDefault="00312676" w:rsidP="00DA306F">
            <w:pPr>
              <w:jc w:val="center"/>
              <w:rPr>
                <w:b/>
                <w:lang w:eastAsia="en-GB"/>
              </w:rPr>
            </w:pPr>
            <w:r w:rsidRPr="005F274A">
              <w:rPr>
                <w:b/>
                <w:lang w:val="sr-Latn-CS"/>
              </w:rPr>
              <w:t>2929.3</w:t>
            </w:r>
          </w:p>
        </w:tc>
        <w:tc>
          <w:tcPr>
            <w:tcW w:w="1434" w:type="dxa"/>
            <w:vAlign w:val="bottom"/>
          </w:tcPr>
          <w:p w:rsidR="00312676" w:rsidRPr="005F274A" w:rsidRDefault="00312676" w:rsidP="00DA306F">
            <w:pPr>
              <w:jc w:val="center"/>
              <w:rPr>
                <w:b/>
                <w:lang w:eastAsia="en-GB"/>
              </w:rPr>
            </w:pPr>
            <w:r w:rsidRPr="005F274A">
              <w:rPr>
                <w:b/>
                <w:lang w:val="sr-Latn-CS"/>
              </w:rPr>
              <w:t>1644.5</w:t>
            </w:r>
          </w:p>
        </w:tc>
        <w:tc>
          <w:tcPr>
            <w:tcW w:w="977" w:type="dxa"/>
            <w:vAlign w:val="bottom"/>
          </w:tcPr>
          <w:p w:rsidR="00312676" w:rsidRPr="005F274A" w:rsidRDefault="00312676" w:rsidP="00DA306F">
            <w:pPr>
              <w:jc w:val="center"/>
              <w:rPr>
                <w:b/>
                <w:lang w:eastAsia="en-GB"/>
              </w:rPr>
            </w:pPr>
            <w:r w:rsidRPr="005F274A">
              <w:rPr>
                <w:b/>
                <w:lang w:val="sr-Latn-CS"/>
              </w:rPr>
              <w:t>1284.8</w:t>
            </w:r>
          </w:p>
        </w:tc>
        <w:tc>
          <w:tcPr>
            <w:tcW w:w="1278" w:type="dxa"/>
            <w:vAlign w:val="center"/>
          </w:tcPr>
          <w:p w:rsidR="00312676" w:rsidRPr="005F274A" w:rsidRDefault="00312676" w:rsidP="00DA306F">
            <w:pPr>
              <w:jc w:val="center"/>
              <w:rPr>
                <w:b/>
                <w:lang w:val="sr-Latn-CS"/>
              </w:rPr>
            </w:pPr>
            <w:r w:rsidRPr="005F274A">
              <w:rPr>
                <w:b/>
                <w:lang w:val="sr-Latn-CS"/>
              </w:rPr>
              <w:t>44%</w:t>
            </w:r>
          </w:p>
        </w:tc>
      </w:tr>
    </w:tbl>
    <w:p w:rsidR="00BB3D8E" w:rsidRDefault="002E6023" w:rsidP="002E6023">
      <w:pPr>
        <w:tabs>
          <w:tab w:val="left" w:pos="1104"/>
        </w:tabs>
        <w:spacing w:before="60"/>
        <w:ind w:firstLine="720"/>
        <w:jc w:val="both"/>
        <w:rPr>
          <w:color w:val="000000" w:themeColor="text1"/>
          <w:lang w:val="sr-Cyrl-RS"/>
        </w:rPr>
      </w:pPr>
      <w:r>
        <w:rPr>
          <w:color w:val="000000" w:themeColor="text1"/>
          <w:lang w:val="sr-Cyrl-RS"/>
        </w:rPr>
        <w:t xml:space="preserve">Када је у питању спровођење мера предвиђених </w:t>
      </w:r>
      <w:r w:rsidRPr="00A54B9F">
        <w:rPr>
          <w:i/>
          <w:color w:val="000000" w:themeColor="text1"/>
          <w:lang w:val="sr-Cyrl-RS"/>
        </w:rPr>
        <w:t>Законом о равноправности полова</w:t>
      </w:r>
      <w:r>
        <w:rPr>
          <w:color w:val="000000" w:themeColor="text1"/>
          <w:lang w:val="sr-Cyrl-RS"/>
        </w:rPr>
        <w:t xml:space="preserve"> у области запошљавања</w:t>
      </w:r>
      <w:r>
        <w:rPr>
          <w:color w:val="000000" w:themeColor="text1"/>
          <w:lang w:val="sr-Latn-RS"/>
        </w:rPr>
        <w:t xml:space="preserve"> </w:t>
      </w:r>
      <w:r>
        <w:rPr>
          <w:color w:val="000000" w:themeColor="text1"/>
          <w:lang w:val="sr-Cyrl-RS"/>
        </w:rPr>
        <w:t xml:space="preserve">у 2018. години </w:t>
      </w:r>
      <w:r w:rsidRPr="00F05FD7">
        <w:rPr>
          <w:color w:val="000000" w:themeColor="text1"/>
          <w:lang w:val="sr-Cyrl-RS"/>
        </w:rPr>
        <w:t>Национална служба за запошљавање</w:t>
      </w:r>
      <w:r>
        <w:rPr>
          <w:b/>
          <w:color w:val="000000" w:themeColor="text1"/>
          <w:lang w:val="sr-Cyrl-RS"/>
        </w:rPr>
        <w:t xml:space="preserve"> </w:t>
      </w:r>
      <w:r>
        <w:rPr>
          <w:color w:val="000000" w:themeColor="text1"/>
          <w:lang w:val="sr-Cyrl-RS"/>
        </w:rPr>
        <w:t xml:space="preserve">(у даљем тексту: </w:t>
      </w:r>
      <w:r w:rsidRPr="00176D3D">
        <w:rPr>
          <w:color w:val="000000" w:themeColor="text1"/>
          <w:lang w:val="sr-Cyrl-RS"/>
        </w:rPr>
        <w:t>НЗС</w:t>
      </w:r>
      <w:r>
        <w:rPr>
          <w:b/>
          <w:color w:val="000000" w:themeColor="text1"/>
          <w:lang w:val="sr-Cyrl-RS"/>
        </w:rPr>
        <w:t xml:space="preserve">) </w:t>
      </w:r>
      <w:r w:rsidRPr="00176D3D">
        <w:rPr>
          <w:color w:val="000000" w:themeColor="text1"/>
          <w:lang w:val="sr-Cyrl-RS"/>
        </w:rPr>
        <w:t>је</w:t>
      </w:r>
      <w:r>
        <w:rPr>
          <w:color w:val="000000" w:themeColor="text1"/>
          <w:lang w:val="sr-Cyrl-RS"/>
        </w:rPr>
        <w:t>,</w:t>
      </w:r>
      <w:r w:rsidRPr="00176D3D">
        <w:rPr>
          <w:color w:val="000000" w:themeColor="text1"/>
          <w:lang w:val="sr-Cyrl-RS"/>
        </w:rPr>
        <w:t xml:space="preserve"> </w:t>
      </w:r>
      <w:r>
        <w:rPr>
          <w:color w:val="000000" w:themeColor="text1"/>
          <w:lang w:val="sr-Cyrl-RS"/>
        </w:rPr>
        <w:t xml:space="preserve">полазећи од члана 22. наведеног закона, континуирано спроводила мере ради подстицања запошљавања теже </w:t>
      </w:r>
      <w:r w:rsidRPr="000D4471">
        <w:rPr>
          <w:color w:val="000000" w:themeColor="text1"/>
          <w:lang w:val="sr-Cyrl-RS"/>
        </w:rPr>
        <w:t>запошљивих категорија становништва</w:t>
      </w:r>
      <w:r>
        <w:rPr>
          <w:color w:val="000000" w:themeColor="text1"/>
          <w:lang w:val="sr-Cyrl-RS"/>
        </w:rPr>
        <w:t xml:space="preserve">. </w:t>
      </w:r>
      <w:r w:rsidRPr="00EC2E2A">
        <w:rPr>
          <w:color w:val="000000" w:themeColor="text1"/>
          <w:lang w:val="ru-RU"/>
        </w:rPr>
        <w:t>Износ опредељених средстава за</w:t>
      </w:r>
      <w:r w:rsidRPr="00EE2BF3">
        <w:rPr>
          <w:color w:val="000000" w:themeColor="text1"/>
          <w:lang w:val="ru-RU"/>
        </w:rPr>
        <w:t xml:space="preserve"> </w:t>
      </w:r>
      <w:r>
        <w:rPr>
          <w:color w:val="000000" w:themeColor="text1"/>
          <w:lang w:val="sr-Cyrl-RS"/>
        </w:rPr>
        <w:t>спровођење</w:t>
      </w:r>
      <w:r>
        <w:rPr>
          <w:color w:val="000000" w:themeColor="text1"/>
          <w:lang w:val="ru-RU"/>
        </w:rPr>
        <w:t xml:space="preserve"> мера</w:t>
      </w:r>
      <w:r w:rsidRPr="00EC2E2A">
        <w:rPr>
          <w:color w:val="000000" w:themeColor="text1"/>
          <w:lang w:val="ru-RU"/>
        </w:rPr>
        <w:t xml:space="preserve"> активне политике запошљавања (укључујући и професионалну рехабилитацију и запошљавање</w:t>
      </w:r>
      <w:r>
        <w:rPr>
          <w:color w:val="000000" w:themeColor="text1"/>
          <w:lang w:val="ru-RU"/>
        </w:rPr>
        <w:t xml:space="preserve"> особа са инвалидитетом</w:t>
      </w:r>
      <w:r w:rsidRPr="00EC2E2A">
        <w:rPr>
          <w:color w:val="000000" w:themeColor="text1"/>
          <w:lang w:val="ru-RU"/>
        </w:rPr>
        <w:t xml:space="preserve">), утицао је на реализацију предвиђених програма и мера активне политике запошљавања и на број лица укључених у </w:t>
      </w:r>
      <w:r>
        <w:rPr>
          <w:color w:val="000000" w:themeColor="text1"/>
          <w:lang w:val="sr-Cyrl-RS"/>
        </w:rPr>
        <w:t xml:space="preserve">поменуте </w:t>
      </w:r>
      <w:r w:rsidR="00437590">
        <w:rPr>
          <w:color w:val="000000" w:themeColor="text1"/>
          <w:lang w:val="ru-RU"/>
        </w:rPr>
        <w:t>мере. Такође, од 2018. и 2019. године</w:t>
      </w:r>
      <w:r w:rsidRPr="00EC2E2A">
        <w:rPr>
          <w:color w:val="000000" w:themeColor="text1"/>
          <w:lang w:val="ru-RU"/>
        </w:rPr>
        <w:t xml:space="preserve"> мере активне политике запошљавања финансирају се и из средства директног гранта, тј. директно додељен</w:t>
      </w:r>
      <w:r>
        <w:rPr>
          <w:color w:val="000000" w:themeColor="text1"/>
          <w:lang w:val="sr-Cyrl-RS"/>
        </w:rPr>
        <w:t>их</w:t>
      </w:r>
      <w:r w:rsidRPr="00EC2E2A">
        <w:rPr>
          <w:color w:val="000000" w:themeColor="text1"/>
          <w:lang w:val="ru-RU"/>
        </w:rPr>
        <w:t xml:space="preserve"> средства</w:t>
      </w:r>
      <w:r>
        <w:rPr>
          <w:color w:val="000000" w:themeColor="text1"/>
          <w:lang w:val="sr-Cyrl-RS"/>
        </w:rPr>
        <w:t xml:space="preserve"> </w:t>
      </w:r>
      <w:r w:rsidRPr="000D4471">
        <w:rPr>
          <w:color w:val="000000" w:themeColor="text1"/>
          <w:lang w:val="sr-Cyrl-RS"/>
        </w:rPr>
        <w:t>Н</w:t>
      </w:r>
      <w:r>
        <w:rPr>
          <w:color w:val="000000" w:themeColor="text1"/>
          <w:lang w:val="sr-Cyrl-RS"/>
        </w:rPr>
        <w:t xml:space="preserve">СЗ </w:t>
      </w:r>
      <w:r w:rsidRPr="00EC2E2A">
        <w:rPr>
          <w:color w:val="000000" w:themeColor="text1"/>
          <w:lang w:val="ru-RU"/>
        </w:rPr>
        <w:t xml:space="preserve">из </w:t>
      </w:r>
      <w:r w:rsidRPr="00FD4D5D">
        <w:rPr>
          <w:color w:val="000000" w:themeColor="text1"/>
          <w:lang w:val="sr-Cyrl-RS"/>
        </w:rPr>
        <w:t>IPA 2013</w:t>
      </w:r>
      <w:r>
        <w:rPr>
          <w:color w:val="000000" w:themeColor="text1"/>
          <w:lang w:val="sr-Cyrl-RS"/>
        </w:rPr>
        <w:t xml:space="preserve"> </w:t>
      </w:r>
      <w:r w:rsidRPr="00EC2E2A">
        <w:rPr>
          <w:color w:val="000000" w:themeColor="text1"/>
          <w:lang w:val="ru-RU"/>
        </w:rPr>
        <w:t>програмског циклуса</w:t>
      </w:r>
      <w:r>
        <w:rPr>
          <w:color w:val="000000" w:themeColor="text1"/>
          <w:lang w:val="sr-Cyrl-RS"/>
        </w:rPr>
        <w:t>.</w:t>
      </w:r>
      <w:r w:rsidRPr="00683FEB">
        <w:rPr>
          <w:rFonts w:eastAsiaTheme="minorHAnsi"/>
          <w:lang w:val="sr-Latn-ME"/>
        </w:rPr>
        <w:t xml:space="preserve"> </w:t>
      </w:r>
      <w:r w:rsidRPr="00014138">
        <w:rPr>
          <w:i/>
          <w:color w:val="000000" w:themeColor="text1"/>
          <w:lang w:val="sr-Cyrl-RS"/>
        </w:rPr>
        <w:t>Националном стратегијом запошљавања за период 2011-2020. године</w:t>
      </w:r>
      <w:r w:rsidR="00437590">
        <w:rPr>
          <w:color w:val="000000" w:themeColor="text1"/>
          <w:lang w:val="sr-Cyrl-RS"/>
        </w:rPr>
        <w:t xml:space="preserve">, којима је </w:t>
      </w:r>
      <w:r w:rsidRPr="00F95959">
        <w:rPr>
          <w:color w:val="000000" w:themeColor="text1"/>
          <w:lang w:val="sr-Cyrl-RS"/>
        </w:rPr>
        <w:t>предвиђено промовисање политике једнаких могућности и подстицањ</w:t>
      </w:r>
      <w:r w:rsidR="00437590">
        <w:rPr>
          <w:color w:val="000000" w:themeColor="text1"/>
          <w:lang w:val="sr-Cyrl-RS"/>
        </w:rPr>
        <w:t>а</w:t>
      </w:r>
      <w:r w:rsidRPr="00F95959">
        <w:rPr>
          <w:color w:val="000000" w:themeColor="text1"/>
          <w:lang w:val="sr-Cyrl-RS"/>
        </w:rPr>
        <w:t xml:space="preserve"> запошљавања жена</w:t>
      </w:r>
      <w:r w:rsidR="00437590">
        <w:rPr>
          <w:color w:val="000000" w:themeColor="text1"/>
          <w:lang w:val="sr-Cyrl-RS"/>
        </w:rPr>
        <w:t>,</w:t>
      </w:r>
      <w:r>
        <w:rPr>
          <w:color w:val="000000" w:themeColor="text1"/>
          <w:lang w:val="sr-Cyrl-RS"/>
        </w:rPr>
        <w:t xml:space="preserve"> као осетљиве групе теже запошљивих лица на тржишту рада</w:t>
      </w:r>
      <w:r w:rsidRPr="00F95959">
        <w:rPr>
          <w:color w:val="000000" w:themeColor="text1"/>
          <w:lang w:val="sr-Cyrl-RS"/>
        </w:rPr>
        <w:t>.</w:t>
      </w:r>
      <w:r>
        <w:rPr>
          <w:color w:val="000000" w:themeColor="text1"/>
          <w:lang w:val="sr-Cyrl-RS"/>
        </w:rPr>
        <w:t xml:space="preserve"> </w:t>
      </w:r>
    </w:p>
    <w:p w:rsidR="00683FEB" w:rsidRPr="00683FEB" w:rsidRDefault="00683FEB" w:rsidP="002E6023">
      <w:pPr>
        <w:tabs>
          <w:tab w:val="left" w:pos="1104"/>
        </w:tabs>
        <w:spacing w:before="60"/>
        <w:ind w:firstLine="720"/>
        <w:jc w:val="both"/>
        <w:rPr>
          <w:rFonts w:eastAsiaTheme="minorHAnsi"/>
          <w:lang w:val="sr-Cyrl-RS"/>
        </w:rPr>
      </w:pPr>
      <w:r w:rsidRPr="00683FEB">
        <w:rPr>
          <w:rFonts w:eastAsiaTheme="minorHAnsi"/>
          <w:lang w:val="sr-Latn-ME"/>
        </w:rPr>
        <w:t>Када говоримо о запошљавању и укупном броју лица са евиденције НСЗ која су укључена у мере активне политике запошљавања у 2018. години</w:t>
      </w:r>
      <w:r w:rsidR="000C1D17">
        <w:rPr>
          <w:rFonts w:eastAsiaTheme="minorHAnsi"/>
          <w:lang w:val="sr-Cyrl-RS"/>
        </w:rPr>
        <w:t>,</w:t>
      </w:r>
      <w:r w:rsidRPr="00683FEB">
        <w:rPr>
          <w:rFonts w:eastAsiaTheme="minorHAnsi"/>
          <w:lang w:val="sr-Latn-ME"/>
        </w:rPr>
        <w:t xml:space="preserve"> </w:t>
      </w:r>
      <w:r w:rsidR="00A274B5">
        <w:rPr>
          <w:rFonts w:eastAsiaTheme="minorHAnsi"/>
          <w:lang w:val="sr-Cyrl-RS"/>
        </w:rPr>
        <w:t xml:space="preserve">истичемо да су </w:t>
      </w:r>
      <w:r w:rsidRPr="00683FEB">
        <w:rPr>
          <w:rFonts w:eastAsiaTheme="minorHAnsi"/>
          <w:lang w:val="sr-Latn-ME"/>
        </w:rPr>
        <w:t>од укупно 93.067</w:t>
      </w:r>
      <w:r w:rsidR="00A274B5">
        <w:rPr>
          <w:rFonts w:eastAsiaTheme="minorHAnsi"/>
          <w:lang w:val="sr-Cyrl-RS"/>
        </w:rPr>
        <w:t xml:space="preserve"> незапослених лица</w:t>
      </w:r>
      <w:r w:rsidRPr="00683FEB">
        <w:rPr>
          <w:rFonts w:eastAsiaTheme="minorHAnsi"/>
          <w:lang w:val="sr-Latn-ME"/>
        </w:rPr>
        <w:t xml:space="preserve">, 50.072 </w:t>
      </w:r>
      <w:r w:rsidR="00A274B5">
        <w:rPr>
          <w:rFonts w:eastAsiaTheme="minorHAnsi"/>
          <w:lang w:val="sr-Cyrl-RS"/>
        </w:rPr>
        <w:t xml:space="preserve">биле </w:t>
      </w:r>
      <w:r w:rsidRPr="00683FEB">
        <w:rPr>
          <w:rFonts w:eastAsiaTheme="minorHAnsi"/>
          <w:lang w:val="sr-Latn-ME"/>
        </w:rPr>
        <w:t>жене, од којих је 1</w:t>
      </w:r>
      <w:r w:rsidR="000C1D17">
        <w:rPr>
          <w:rFonts w:eastAsiaTheme="minorHAnsi"/>
          <w:lang w:val="sr-Cyrl-RS"/>
        </w:rPr>
        <w:t>.</w:t>
      </w:r>
      <w:r w:rsidRPr="00683FEB">
        <w:rPr>
          <w:rFonts w:eastAsiaTheme="minorHAnsi"/>
          <w:lang w:val="sr-Latn-ME"/>
        </w:rPr>
        <w:t>427 било Ромкиња, а 2</w:t>
      </w:r>
      <w:r w:rsidRPr="00683FEB">
        <w:rPr>
          <w:rFonts w:eastAsiaTheme="minorHAnsi"/>
          <w:lang w:val="sr-Cyrl-RS"/>
        </w:rPr>
        <w:t>.</w:t>
      </w:r>
      <w:r w:rsidRPr="00683FEB">
        <w:rPr>
          <w:rFonts w:eastAsiaTheme="minorHAnsi"/>
          <w:lang w:val="sr-Latn-ME"/>
        </w:rPr>
        <w:t>990 жена са инвалидитетом.</w:t>
      </w:r>
      <w:r w:rsidR="00793ECE">
        <w:rPr>
          <w:rFonts w:eastAsiaTheme="minorHAnsi"/>
          <w:lang w:val="sr-Cyrl-RS"/>
        </w:rPr>
        <w:t xml:space="preserve"> </w:t>
      </w:r>
      <w:r w:rsidRPr="00683FEB">
        <w:rPr>
          <w:rFonts w:eastAsiaTheme="minorHAnsi"/>
          <w:lang w:val="sr-Cyrl-RS"/>
        </w:rPr>
        <w:t>За примену а</w:t>
      </w:r>
      <w:r w:rsidRPr="00683FEB">
        <w:rPr>
          <w:rFonts w:eastAsiaTheme="minorHAnsi"/>
          <w:lang w:val="sr-Latn-ME"/>
        </w:rPr>
        <w:t>ктивн</w:t>
      </w:r>
      <w:r w:rsidRPr="00683FEB">
        <w:rPr>
          <w:rFonts w:eastAsiaTheme="minorHAnsi"/>
          <w:lang w:val="sr-Cyrl-RS"/>
        </w:rPr>
        <w:t>их</w:t>
      </w:r>
      <w:r w:rsidRPr="00683FEB">
        <w:rPr>
          <w:rFonts w:eastAsiaTheme="minorHAnsi"/>
          <w:lang w:val="sr-Latn-ME"/>
        </w:rPr>
        <w:t xml:space="preserve"> мер</w:t>
      </w:r>
      <w:r w:rsidRPr="00683FEB">
        <w:rPr>
          <w:rFonts w:eastAsiaTheme="minorHAnsi"/>
          <w:lang w:val="sr-Cyrl-RS"/>
        </w:rPr>
        <w:t>а</w:t>
      </w:r>
      <w:r w:rsidRPr="00683FEB">
        <w:rPr>
          <w:rFonts w:eastAsiaTheme="minorHAnsi"/>
          <w:lang w:val="sr-Latn-ME"/>
        </w:rPr>
        <w:t xml:space="preserve"> запошљавања</w:t>
      </w:r>
      <w:r w:rsidRPr="00683FEB">
        <w:rPr>
          <w:rFonts w:eastAsiaTheme="minorHAnsi"/>
          <w:lang w:val="sr-Cyrl-RS"/>
        </w:rPr>
        <w:t xml:space="preserve"> НСЗ</w:t>
      </w:r>
      <w:r w:rsidRPr="00683FEB">
        <w:rPr>
          <w:rFonts w:eastAsiaTheme="minorHAnsi"/>
          <w:lang w:val="sr-Latn-ME"/>
        </w:rPr>
        <w:t xml:space="preserve"> у </w:t>
      </w:r>
      <w:r w:rsidRPr="00683FEB">
        <w:rPr>
          <w:rFonts w:eastAsiaTheme="minorHAnsi"/>
          <w:lang w:val="sr-Cyrl-RS"/>
        </w:rPr>
        <w:t xml:space="preserve">Буџету Републике Србије за </w:t>
      </w:r>
      <w:r w:rsidR="00A274B5">
        <w:rPr>
          <w:rFonts w:eastAsiaTheme="minorHAnsi"/>
          <w:lang w:val="sr-Latn-ME"/>
        </w:rPr>
        <w:t>2018</w:t>
      </w:r>
      <w:r w:rsidRPr="00683FEB">
        <w:rPr>
          <w:rFonts w:eastAsiaTheme="minorHAnsi"/>
          <w:lang w:val="sr-Latn-ME"/>
        </w:rPr>
        <w:t>. годин</w:t>
      </w:r>
      <w:r w:rsidRPr="00683FEB">
        <w:rPr>
          <w:rFonts w:eastAsiaTheme="minorHAnsi"/>
          <w:lang w:val="sr-Cyrl-RS"/>
        </w:rPr>
        <w:t>у издвојено је</w:t>
      </w:r>
      <w:r w:rsidRPr="00683FEB">
        <w:rPr>
          <w:rFonts w:eastAsiaTheme="minorHAnsi"/>
          <w:lang w:val="sr-Latn-ME"/>
        </w:rPr>
        <w:t xml:space="preserve"> 3,65 милијарде динара и додатних 550 милиона за особе с </w:t>
      </w:r>
      <w:r w:rsidR="008849B7">
        <w:rPr>
          <w:rFonts w:eastAsiaTheme="minorHAnsi"/>
          <w:lang w:val="sr-Latn-ME"/>
        </w:rPr>
        <w:t xml:space="preserve">инвалидитетом. Истичемо да је </w:t>
      </w:r>
      <w:r w:rsidR="008849B7">
        <w:rPr>
          <w:rFonts w:eastAsiaTheme="minorHAnsi"/>
          <w:lang w:val="sr-Cyrl-RS"/>
        </w:rPr>
        <w:t>т</w:t>
      </w:r>
      <w:r w:rsidRPr="00683FEB">
        <w:rPr>
          <w:rFonts w:eastAsiaTheme="minorHAnsi"/>
          <w:lang w:val="sr-Latn-ME"/>
        </w:rPr>
        <w:t xml:space="preserve">е године фокус </w:t>
      </w:r>
      <w:r w:rsidR="008849B7">
        <w:rPr>
          <w:rFonts w:eastAsiaTheme="minorHAnsi"/>
          <w:lang w:val="sr-Cyrl-RS"/>
        </w:rPr>
        <w:t xml:space="preserve">био </w:t>
      </w:r>
      <w:r w:rsidRPr="00683FEB">
        <w:rPr>
          <w:rFonts w:eastAsiaTheme="minorHAnsi"/>
          <w:lang w:val="sr-Latn-ME"/>
        </w:rPr>
        <w:t xml:space="preserve">на теже запошљивим категоријама, </w:t>
      </w:r>
      <w:r w:rsidR="00A274B5">
        <w:rPr>
          <w:rFonts w:eastAsiaTheme="minorHAnsi"/>
          <w:lang w:val="sr-Cyrl-RS"/>
        </w:rPr>
        <w:t>које су</w:t>
      </w:r>
      <w:r w:rsidRPr="00683FEB">
        <w:rPr>
          <w:rFonts w:eastAsiaTheme="minorHAnsi"/>
          <w:lang w:val="sr-Latn-ME"/>
        </w:rPr>
        <w:t xml:space="preserve"> приоритетно би</w:t>
      </w:r>
      <w:r w:rsidR="00A274B5">
        <w:rPr>
          <w:rFonts w:eastAsiaTheme="minorHAnsi"/>
          <w:lang w:val="sr-Cyrl-RS"/>
        </w:rPr>
        <w:t>ле</w:t>
      </w:r>
      <w:r w:rsidRPr="00683FEB">
        <w:rPr>
          <w:rFonts w:eastAsiaTheme="minorHAnsi"/>
          <w:lang w:val="sr-Latn-ME"/>
        </w:rPr>
        <w:t xml:space="preserve"> укључене у мере активне политике запошљавања</w:t>
      </w:r>
      <w:r w:rsidR="00A274B5">
        <w:rPr>
          <w:rFonts w:eastAsiaTheme="minorHAnsi"/>
          <w:lang w:val="sr-Cyrl-RS"/>
        </w:rPr>
        <w:t xml:space="preserve"> како</w:t>
      </w:r>
      <w:r w:rsidRPr="00683FEB">
        <w:rPr>
          <w:rFonts w:eastAsiaTheme="minorHAnsi"/>
          <w:lang w:val="sr-Latn-ME"/>
        </w:rPr>
        <w:t xml:space="preserve"> на националном нивоу,</w:t>
      </w:r>
      <w:r w:rsidR="00A274B5">
        <w:rPr>
          <w:rFonts w:eastAsiaTheme="minorHAnsi"/>
          <w:lang w:val="sr-Cyrl-RS"/>
        </w:rPr>
        <w:t xml:space="preserve"> тако</w:t>
      </w:r>
      <w:r w:rsidRPr="00683FEB">
        <w:rPr>
          <w:rFonts w:eastAsiaTheme="minorHAnsi"/>
          <w:lang w:val="sr-Latn-ME"/>
        </w:rPr>
        <w:t xml:space="preserve"> и кроз реализацију локалних акционих планова запошљавања</w:t>
      </w:r>
      <w:r w:rsidR="00A06EEC">
        <w:rPr>
          <w:rFonts w:eastAsiaTheme="minorHAnsi"/>
          <w:lang w:val="sr-Cyrl-RS"/>
        </w:rPr>
        <w:t xml:space="preserve"> (Табела 3)</w:t>
      </w:r>
      <w:r w:rsidR="00A274B5">
        <w:rPr>
          <w:rFonts w:eastAsiaTheme="minorHAnsi"/>
          <w:lang w:val="sr-Cyrl-RS"/>
        </w:rPr>
        <w:t>.</w:t>
      </w:r>
    </w:p>
    <w:p w:rsidR="0045470D" w:rsidRDefault="0045470D" w:rsidP="005B578B">
      <w:pPr>
        <w:spacing w:before="60"/>
        <w:jc w:val="center"/>
        <w:rPr>
          <w:b/>
          <w:lang w:val="sr-Cyrl-CS"/>
        </w:rPr>
      </w:pPr>
    </w:p>
    <w:p w:rsidR="00A06EEC" w:rsidRDefault="00A06EEC" w:rsidP="00A06EEC">
      <w:pPr>
        <w:jc w:val="center"/>
        <w:rPr>
          <w:b/>
          <w:lang w:val="sr-Cyrl-CS"/>
        </w:rPr>
      </w:pPr>
      <w:r>
        <w:rPr>
          <w:b/>
          <w:lang w:val="sr-Cyrl-CS"/>
        </w:rPr>
        <w:lastRenderedPageBreak/>
        <w:t xml:space="preserve">Табела 3: </w:t>
      </w:r>
      <w:r w:rsidRPr="005F274A">
        <w:rPr>
          <w:b/>
          <w:lang w:val="sr-Cyrl-CS"/>
        </w:rPr>
        <w:t>Преглед средстава из буџета РС за мере активне политике запошљавања и Буџетског фонда - за мере професионалне рехабилитације и подстицање запошљавања особа са инвалидитетом</w:t>
      </w:r>
    </w:p>
    <w:p w:rsidR="0045470D" w:rsidRPr="005F274A" w:rsidRDefault="0045470D" w:rsidP="00A06EEC">
      <w:pPr>
        <w:jc w:val="center"/>
        <w:rPr>
          <w:b/>
          <w:lang w:val="sr-Cyrl-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2485"/>
        <w:gridCol w:w="2481"/>
        <w:gridCol w:w="1968"/>
      </w:tblGrid>
      <w:tr w:rsidR="00A06EEC" w:rsidRPr="005F274A" w:rsidTr="00EA41C1">
        <w:trPr>
          <w:trHeight w:val="630"/>
          <w:jc w:val="center"/>
        </w:trPr>
        <w:tc>
          <w:tcPr>
            <w:tcW w:w="1571" w:type="dxa"/>
            <w:shd w:val="clear" w:color="auto" w:fill="00B0F0"/>
            <w:vAlign w:val="center"/>
            <w:hideMark/>
          </w:tcPr>
          <w:p w:rsidR="00A06EEC" w:rsidRPr="005F274A" w:rsidRDefault="00A06EEC" w:rsidP="00005DC6">
            <w:pPr>
              <w:jc w:val="center"/>
              <w:rPr>
                <w:b/>
                <w:bCs/>
                <w:lang w:val="sr-Cyrl-RS" w:eastAsia="en-GB"/>
              </w:rPr>
            </w:pPr>
            <w:r>
              <w:rPr>
                <w:b/>
                <w:bCs/>
                <w:lang w:val="sr-Cyrl-RS" w:eastAsia="en-GB"/>
              </w:rPr>
              <w:t>Година</w:t>
            </w:r>
          </w:p>
        </w:tc>
        <w:tc>
          <w:tcPr>
            <w:tcW w:w="2485" w:type="dxa"/>
            <w:shd w:val="clear" w:color="auto" w:fill="00B0F0"/>
            <w:vAlign w:val="bottom"/>
            <w:hideMark/>
          </w:tcPr>
          <w:p w:rsidR="00A06EEC" w:rsidRPr="00EC2E2A" w:rsidRDefault="00A06EEC" w:rsidP="00A06EEC">
            <w:pPr>
              <w:jc w:val="center"/>
              <w:rPr>
                <w:b/>
                <w:bCs/>
                <w:lang w:val="ru-RU" w:eastAsia="en-GB"/>
              </w:rPr>
            </w:pPr>
            <w:r w:rsidRPr="00EC2E2A">
              <w:rPr>
                <w:b/>
                <w:bCs/>
                <w:lang w:val="ru-RU" w:eastAsia="en-GB"/>
              </w:rPr>
              <w:t xml:space="preserve">Износ опредељених средстава из буџета РС </w:t>
            </w:r>
            <w:r w:rsidRPr="005F274A">
              <w:rPr>
                <w:b/>
                <w:bCs/>
                <w:lang w:val="sr-Cyrl-CS" w:eastAsia="en-GB"/>
              </w:rPr>
              <w:t>(у РСД)</w:t>
            </w:r>
          </w:p>
        </w:tc>
        <w:tc>
          <w:tcPr>
            <w:tcW w:w="2481" w:type="dxa"/>
            <w:shd w:val="clear" w:color="auto" w:fill="00B0F0"/>
            <w:vAlign w:val="bottom"/>
            <w:hideMark/>
          </w:tcPr>
          <w:p w:rsidR="00B935F1" w:rsidRDefault="00A06EEC" w:rsidP="00A06EEC">
            <w:pPr>
              <w:jc w:val="center"/>
              <w:rPr>
                <w:b/>
                <w:bCs/>
                <w:lang w:val="ru-RU" w:eastAsia="en-GB"/>
              </w:rPr>
            </w:pPr>
            <w:r w:rsidRPr="00EC2E2A">
              <w:rPr>
                <w:b/>
                <w:bCs/>
                <w:lang w:val="ru-RU" w:eastAsia="en-GB"/>
              </w:rPr>
              <w:t xml:space="preserve">Износ опредељених средстава из Буџетског фонда </w:t>
            </w:r>
          </w:p>
          <w:p w:rsidR="00A06EEC" w:rsidRPr="00EC2E2A" w:rsidRDefault="00A06EEC" w:rsidP="00A06EEC">
            <w:pPr>
              <w:jc w:val="center"/>
              <w:rPr>
                <w:b/>
                <w:bCs/>
                <w:lang w:val="ru-RU" w:eastAsia="en-GB"/>
              </w:rPr>
            </w:pPr>
            <w:r w:rsidRPr="005F274A">
              <w:rPr>
                <w:b/>
                <w:bCs/>
                <w:lang w:val="sr-Cyrl-CS" w:eastAsia="en-GB"/>
              </w:rPr>
              <w:t>(у РСД)</w:t>
            </w:r>
          </w:p>
        </w:tc>
        <w:tc>
          <w:tcPr>
            <w:tcW w:w="1968" w:type="dxa"/>
            <w:shd w:val="clear" w:color="auto" w:fill="00B0F0"/>
            <w:vAlign w:val="center"/>
            <w:hideMark/>
          </w:tcPr>
          <w:p w:rsidR="00B935F1" w:rsidRDefault="00A06EEC" w:rsidP="00A06EEC">
            <w:pPr>
              <w:jc w:val="center"/>
              <w:rPr>
                <w:b/>
                <w:bCs/>
                <w:lang w:val="sr-Cyrl-CS" w:eastAsia="en-GB"/>
              </w:rPr>
            </w:pPr>
            <w:r w:rsidRPr="005F274A">
              <w:rPr>
                <w:b/>
                <w:bCs/>
                <w:lang w:val="sr-Cyrl-CS" w:eastAsia="en-GB"/>
              </w:rPr>
              <w:t>Укупна средства</w:t>
            </w:r>
          </w:p>
          <w:p w:rsidR="00A06EEC" w:rsidRPr="005F274A" w:rsidRDefault="00B935F1" w:rsidP="00A06EEC">
            <w:pPr>
              <w:jc w:val="center"/>
              <w:rPr>
                <w:b/>
                <w:bCs/>
                <w:lang w:val="sr-Cyrl-CS" w:eastAsia="en-GB"/>
              </w:rPr>
            </w:pPr>
            <w:r w:rsidRPr="005F274A">
              <w:rPr>
                <w:b/>
                <w:bCs/>
                <w:lang w:val="sr-Cyrl-CS" w:eastAsia="en-GB"/>
              </w:rPr>
              <w:t>(у РСД)</w:t>
            </w:r>
          </w:p>
        </w:tc>
      </w:tr>
      <w:tr w:rsidR="00A06EEC" w:rsidRPr="00A06EEC" w:rsidTr="00A06EEC">
        <w:trPr>
          <w:trHeight w:val="315"/>
          <w:jc w:val="center"/>
        </w:trPr>
        <w:tc>
          <w:tcPr>
            <w:tcW w:w="1571" w:type="dxa"/>
            <w:shd w:val="clear" w:color="auto" w:fill="auto"/>
            <w:vAlign w:val="bottom"/>
            <w:hideMark/>
          </w:tcPr>
          <w:p w:rsidR="00A06EEC" w:rsidRPr="005F274A" w:rsidRDefault="00A06EEC" w:rsidP="00005DC6">
            <w:pPr>
              <w:jc w:val="center"/>
              <w:rPr>
                <w:b/>
                <w:bCs/>
                <w:lang w:val="sr-Cyrl-CS" w:eastAsia="en-GB"/>
              </w:rPr>
            </w:pPr>
            <w:r w:rsidRPr="005F274A">
              <w:rPr>
                <w:b/>
                <w:bCs/>
                <w:lang w:eastAsia="en-GB"/>
              </w:rPr>
              <w:t>2010.</w:t>
            </w:r>
            <w:r w:rsidRPr="005F274A">
              <w:rPr>
                <w:b/>
                <w:bCs/>
                <w:lang w:val="sr-Cyrl-CS" w:eastAsia="en-GB"/>
              </w:rPr>
              <w:t>**</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eastAsia="en-GB"/>
              </w:rPr>
              <w:t>3.700.000.000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eastAsia="en-GB"/>
              </w:rPr>
              <w:t>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3.700.000.000</w:t>
            </w:r>
          </w:p>
        </w:tc>
      </w:tr>
      <w:tr w:rsidR="00A06EEC" w:rsidRPr="005F274A" w:rsidTr="00A06EEC">
        <w:trPr>
          <w:trHeight w:val="315"/>
          <w:jc w:val="center"/>
        </w:trPr>
        <w:tc>
          <w:tcPr>
            <w:tcW w:w="1571" w:type="dxa"/>
            <w:shd w:val="clear" w:color="auto" w:fill="auto"/>
            <w:vAlign w:val="bottom"/>
            <w:hideMark/>
          </w:tcPr>
          <w:p w:rsidR="00A06EEC" w:rsidRPr="005F274A" w:rsidRDefault="00A06EEC" w:rsidP="00005DC6">
            <w:pPr>
              <w:jc w:val="center"/>
              <w:rPr>
                <w:b/>
                <w:bCs/>
                <w:lang w:val="sr-Cyrl-CS" w:eastAsia="en-GB"/>
              </w:rPr>
            </w:pPr>
            <w:r w:rsidRPr="005F274A">
              <w:rPr>
                <w:b/>
                <w:bCs/>
                <w:lang w:eastAsia="en-GB"/>
              </w:rPr>
              <w:t>2011.</w:t>
            </w:r>
            <w:r w:rsidRPr="005F274A">
              <w:rPr>
                <w:b/>
                <w:bCs/>
                <w:lang w:val="sr-Cyrl-CS" w:eastAsia="en-GB"/>
              </w:rPr>
              <w:t>*</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eastAsia="en-GB"/>
              </w:rPr>
              <w:t>3.900.000.000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eastAsia="en-GB"/>
              </w:rPr>
              <w:t>800.000.000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4.700.000.000</w:t>
            </w:r>
          </w:p>
        </w:tc>
      </w:tr>
      <w:tr w:rsidR="00A06EEC" w:rsidRPr="005F274A" w:rsidTr="00A06EEC">
        <w:trPr>
          <w:trHeight w:val="315"/>
          <w:jc w:val="center"/>
        </w:trPr>
        <w:tc>
          <w:tcPr>
            <w:tcW w:w="1571" w:type="dxa"/>
            <w:shd w:val="clear" w:color="auto" w:fill="auto"/>
            <w:vAlign w:val="bottom"/>
            <w:hideMark/>
          </w:tcPr>
          <w:p w:rsidR="00A06EEC" w:rsidRPr="005F274A" w:rsidRDefault="00A06EEC" w:rsidP="00005DC6">
            <w:pPr>
              <w:jc w:val="center"/>
              <w:rPr>
                <w:b/>
                <w:bCs/>
                <w:lang w:eastAsia="en-GB"/>
              </w:rPr>
            </w:pPr>
            <w:r w:rsidRPr="005F274A">
              <w:rPr>
                <w:b/>
                <w:bCs/>
                <w:lang w:eastAsia="en-GB"/>
              </w:rPr>
              <w:t>2012.</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eastAsia="en-GB"/>
              </w:rPr>
              <w:t>3.400.000.000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eastAsia="en-GB"/>
              </w:rPr>
              <w:t>750.000.000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4.150.000.000</w:t>
            </w:r>
          </w:p>
        </w:tc>
      </w:tr>
      <w:tr w:rsidR="00A06EEC" w:rsidRPr="005F274A" w:rsidTr="00A06EEC">
        <w:trPr>
          <w:trHeight w:val="315"/>
          <w:jc w:val="center"/>
        </w:trPr>
        <w:tc>
          <w:tcPr>
            <w:tcW w:w="1571" w:type="dxa"/>
            <w:shd w:val="clear" w:color="auto" w:fill="auto"/>
            <w:vAlign w:val="bottom"/>
            <w:hideMark/>
          </w:tcPr>
          <w:p w:rsidR="00A06EEC" w:rsidRPr="005F274A" w:rsidRDefault="00A06EEC" w:rsidP="00005DC6">
            <w:pPr>
              <w:jc w:val="center"/>
              <w:rPr>
                <w:b/>
                <w:bCs/>
                <w:lang w:eastAsia="en-GB"/>
              </w:rPr>
            </w:pPr>
            <w:r w:rsidRPr="005F274A">
              <w:rPr>
                <w:b/>
                <w:bCs/>
                <w:lang w:eastAsia="en-GB"/>
              </w:rPr>
              <w:t>2013.</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eastAsia="en-GB"/>
              </w:rPr>
              <w:t>1.180.000.000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eastAsia="en-GB"/>
              </w:rPr>
              <w:t>700.000.000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1.880.000.000</w:t>
            </w:r>
          </w:p>
        </w:tc>
      </w:tr>
      <w:tr w:rsidR="00A06EEC" w:rsidRPr="005F274A" w:rsidTr="00A06EEC">
        <w:trPr>
          <w:trHeight w:val="330"/>
          <w:jc w:val="center"/>
        </w:trPr>
        <w:tc>
          <w:tcPr>
            <w:tcW w:w="1571" w:type="dxa"/>
            <w:shd w:val="clear" w:color="auto" w:fill="auto"/>
            <w:vAlign w:val="bottom"/>
            <w:hideMark/>
          </w:tcPr>
          <w:p w:rsidR="00A06EEC" w:rsidRPr="005F274A" w:rsidRDefault="00A06EEC" w:rsidP="00005DC6">
            <w:pPr>
              <w:jc w:val="center"/>
              <w:rPr>
                <w:b/>
                <w:bCs/>
                <w:lang w:eastAsia="en-GB"/>
              </w:rPr>
            </w:pPr>
            <w:r w:rsidRPr="005F274A">
              <w:rPr>
                <w:b/>
                <w:bCs/>
                <w:lang w:val="sr-Cyrl-CS" w:eastAsia="en-GB"/>
              </w:rPr>
              <w:t>2014.</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val="sr-Cyrl-CS" w:eastAsia="en-GB"/>
              </w:rPr>
              <w:t>600.000.000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val="sr-Cyrl-CS" w:eastAsia="en-GB"/>
              </w:rPr>
              <w:t>519.000.000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1.119.000.000</w:t>
            </w:r>
          </w:p>
        </w:tc>
      </w:tr>
      <w:tr w:rsidR="00A06EEC" w:rsidRPr="005F274A" w:rsidTr="00A06EEC">
        <w:trPr>
          <w:trHeight w:val="330"/>
          <w:jc w:val="center"/>
        </w:trPr>
        <w:tc>
          <w:tcPr>
            <w:tcW w:w="1571" w:type="dxa"/>
            <w:shd w:val="clear" w:color="auto" w:fill="auto"/>
            <w:vAlign w:val="bottom"/>
            <w:hideMark/>
          </w:tcPr>
          <w:p w:rsidR="00A06EEC" w:rsidRPr="005F274A" w:rsidRDefault="00A06EEC" w:rsidP="00005DC6">
            <w:pPr>
              <w:jc w:val="center"/>
              <w:rPr>
                <w:b/>
                <w:bCs/>
                <w:lang w:eastAsia="en-GB"/>
              </w:rPr>
            </w:pPr>
            <w:r w:rsidRPr="005F274A">
              <w:rPr>
                <w:b/>
                <w:bCs/>
                <w:lang w:val="sr-Cyrl-CS" w:eastAsia="en-GB"/>
              </w:rPr>
              <w:t>2015.</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val="sr-Cyrl-CS" w:eastAsia="en-GB"/>
              </w:rPr>
              <w:t>2.800.000.000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val="sr-Cyrl-CS" w:eastAsia="en-GB"/>
              </w:rPr>
              <w:t>500.000.000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3.300.000.000</w:t>
            </w:r>
          </w:p>
        </w:tc>
      </w:tr>
      <w:tr w:rsidR="00A06EEC" w:rsidRPr="005F274A" w:rsidTr="00A06EEC">
        <w:trPr>
          <w:trHeight w:val="360"/>
          <w:jc w:val="center"/>
        </w:trPr>
        <w:tc>
          <w:tcPr>
            <w:tcW w:w="1571" w:type="dxa"/>
            <w:shd w:val="clear" w:color="auto" w:fill="auto"/>
            <w:vAlign w:val="bottom"/>
            <w:hideMark/>
          </w:tcPr>
          <w:p w:rsidR="00A06EEC" w:rsidRPr="005F274A" w:rsidRDefault="00A06EEC" w:rsidP="00005DC6">
            <w:pPr>
              <w:jc w:val="center"/>
              <w:rPr>
                <w:b/>
                <w:bCs/>
                <w:lang w:eastAsia="en-GB"/>
              </w:rPr>
            </w:pPr>
            <w:r w:rsidRPr="005F274A">
              <w:rPr>
                <w:b/>
                <w:bCs/>
                <w:lang w:val="sr-Cyrl-CS" w:eastAsia="en-GB"/>
              </w:rPr>
              <w:t>2016.</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val="sr-Cyrl-CS" w:eastAsia="en-GB"/>
              </w:rPr>
              <w:t>2.800.000.000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val="sr-Cyrl-CS" w:eastAsia="en-GB"/>
              </w:rPr>
              <w:t>550.000.000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3.350.000.000</w:t>
            </w:r>
          </w:p>
        </w:tc>
      </w:tr>
      <w:tr w:rsidR="00A06EEC" w:rsidRPr="005F274A" w:rsidTr="00A06EEC">
        <w:trPr>
          <w:trHeight w:val="360"/>
          <w:jc w:val="center"/>
        </w:trPr>
        <w:tc>
          <w:tcPr>
            <w:tcW w:w="1571" w:type="dxa"/>
            <w:shd w:val="clear" w:color="auto" w:fill="auto"/>
            <w:vAlign w:val="bottom"/>
            <w:hideMark/>
          </w:tcPr>
          <w:p w:rsidR="00A06EEC" w:rsidRPr="005F274A" w:rsidRDefault="00A06EEC" w:rsidP="00005DC6">
            <w:pPr>
              <w:jc w:val="center"/>
              <w:rPr>
                <w:b/>
                <w:bCs/>
                <w:lang w:val="sr-Cyrl-CS" w:eastAsia="en-GB"/>
              </w:rPr>
            </w:pPr>
            <w:r w:rsidRPr="005F274A">
              <w:rPr>
                <w:b/>
                <w:bCs/>
                <w:lang w:val="sr-Cyrl-CS" w:eastAsia="en-GB"/>
              </w:rPr>
              <w:t>2017.</w:t>
            </w:r>
          </w:p>
        </w:tc>
        <w:tc>
          <w:tcPr>
            <w:tcW w:w="2485" w:type="dxa"/>
            <w:shd w:val="clear" w:color="auto" w:fill="auto"/>
            <w:vAlign w:val="bottom"/>
            <w:hideMark/>
          </w:tcPr>
          <w:p w:rsidR="00A06EEC" w:rsidRPr="005F274A" w:rsidRDefault="00A06EEC" w:rsidP="0045470D">
            <w:pPr>
              <w:jc w:val="center"/>
              <w:rPr>
                <w:b/>
                <w:lang w:eastAsia="en-GB"/>
              </w:rPr>
            </w:pPr>
            <w:r w:rsidRPr="005F274A">
              <w:rPr>
                <w:b/>
                <w:lang w:val="sr-Cyrl-CS" w:eastAsia="en-GB"/>
              </w:rPr>
              <w:t>2.800.000.000</w:t>
            </w:r>
          </w:p>
        </w:tc>
        <w:tc>
          <w:tcPr>
            <w:tcW w:w="2481" w:type="dxa"/>
            <w:shd w:val="clear" w:color="auto" w:fill="auto"/>
            <w:vAlign w:val="bottom"/>
            <w:hideMark/>
          </w:tcPr>
          <w:p w:rsidR="00A06EEC" w:rsidRPr="005F274A" w:rsidRDefault="00A06EEC" w:rsidP="0045470D">
            <w:pPr>
              <w:jc w:val="center"/>
              <w:rPr>
                <w:b/>
                <w:lang w:eastAsia="en-GB"/>
              </w:rPr>
            </w:pPr>
            <w:r w:rsidRPr="005F274A">
              <w:rPr>
                <w:b/>
                <w:lang w:val="sr-Cyrl-CS" w:eastAsia="en-GB"/>
              </w:rPr>
              <w:t>550.000.000</w:t>
            </w:r>
          </w:p>
        </w:tc>
        <w:tc>
          <w:tcPr>
            <w:tcW w:w="1968" w:type="dxa"/>
            <w:shd w:val="clear" w:color="auto" w:fill="auto"/>
            <w:vAlign w:val="bottom"/>
            <w:hideMark/>
          </w:tcPr>
          <w:p w:rsidR="00A06EEC" w:rsidRPr="005F274A" w:rsidRDefault="00A06EEC" w:rsidP="0045470D">
            <w:pPr>
              <w:jc w:val="center"/>
              <w:rPr>
                <w:b/>
                <w:lang w:eastAsia="en-GB"/>
              </w:rPr>
            </w:pPr>
            <w:r w:rsidRPr="005F274A">
              <w:rPr>
                <w:b/>
                <w:lang w:eastAsia="en-GB"/>
              </w:rPr>
              <w:t>3.350.000.000</w:t>
            </w:r>
          </w:p>
        </w:tc>
      </w:tr>
      <w:tr w:rsidR="00A06EEC" w:rsidRPr="005F274A" w:rsidTr="00A06EEC">
        <w:trPr>
          <w:trHeight w:val="255"/>
          <w:jc w:val="center"/>
        </w:trPr>
        <w:tc>
          <w:tcPr>
            <w:tcW w:w="1571" w:type="dxa"/>
            <w:shd w:val="clear" w:color="auto" w:fill="auto"/>
            <w:noWrap/>
            <w:vAlign w:val="bottom"/>
            <w:hideMark/>
          </w:tcPr>
          <w:p w:rsidR="00A06EEC" w:rsidRPr="005F274A" w:rsidRDefault="00A06EEC" w:rsidP="00005DC6">
            <w:pPr>
              <w:jc w:val="center"/>
              <w:rPr>
                <w:b/>
                <w:bCs/>
                <w:lang w:val="sr-Cyrl-CS" w:eastAsia="en-GB"/>
              </w:rPr>
            </w:pPr>
            <w:r w:rsidRPr="005F274A">
              <w:rPr>
                <w:b/>
                <w:bCs/>
                <w:lang w:val="sr-Cyrl-CS" w:eastAsia="en-GB"/>
              </w:rPr>
              <w:t>2018.</w:t>
            </w:r>
          </w:p>
        </w:tc>
        <w:tc>
          <w:tcPr>
            <w:tcW w:w="2485" w:type="dxa"/>
            <w:shd w:val="clear" w:color="auto" w:fill="auto"/>
            <w:noWrap/>
            <w:vAlign w:val="bottom"/>
            <w:hideMark/>
          </w:tcPr>
          <w:p w:rsidR="00A06EEC" w:rsidRPr="005F274A" w:rsidRDefault="00A06EEC" w:rsidP="0045470D">
            <w:pPr>
              <w:jc w:val="center"/>
              <w:rPr>
                <w:b/>
                <w:lang w:val="sr-Cyrl-CS" w:eastAsia="en-GB"/>
              </w:rPr>
            </w:pPr>
            <w:r w:rsidRPr="005F274A">
              <w:rPr>
                <w:b/>
                <w:lang w:val="sr-Cyrl-CS" w:eastAsia="en-GB"/>
              </w:rPr>
              <w:t>3.650.000.000</w:t>
            </w:r>
          </w:p>
        </w:tc>
        <w:tc>
          <w:tcPr>
            <w:tcW w:w="2481" w:type="dxa"/>
            <w:shd w:val="clear" w:color="auto" w:fill="auto"/>
            <w:noWrap/>
            <w:vAlign w:val="bottom"/>
            <w:hideMark/>
          </w:tcPr>
          <w:p w:rsidR="00A06EEC" w:rsidRPr="005F274A" w:rsidRDefault="00A06EEC" w:rsidP="0045470D">
            <w:pPr>
              <w:jc w:val="center"/>
              <w:rPr>
                <w:b/>
                <w:lang w:val="sr-Cyrl-CS" w:eastAsia="en-GB"/>
              </w:rPr>
            </w:pPr>
            <w:r w:rsidRPr="005F274A">
              <w:rPr>
                <w:b/>
                <w:lang w:val="sr-Cyrl-CS" w:eastAsia="en-GB"/>
              </w:rPr>
              <w:t>550.000.000</w:t>
            </w:r>
          </w:p>
        </w:tc>
        <w:tc>
          <w:tcPr>
            <w:tcW w:w="1968" w:type="dxa"/>
            <w:shd w:val="clear" w:color="auto" w:fill="auto"/>
            <w:noWrap/>
            <w:vAlign w:val="bottom"/>
            <w:hideMark/>
          </w:tcPr>
          <w:p w:rsidR="00A06EEC" w:rsidRPr="005F274A" w:rsidRDefault="00A06EEC" w:rsidP="0045470D">
            <w:pPr>
              <w:jc w:val="center"/>
              <w:rPr>
                <w:b/>
                <w:lang w:val="sr-Cyrl-CS" w:eastAsia="en-GB"/>
              </w:rPr>
            </w:pPr>
            <w:r w:rsidRPr="005F274A">
              <w:rPr>
                <w:b/>
                <w:lang w:val="sr-Cyrl-CS" w:eastAsia="en-GB"/>
              </w:rPr>
              <w:t>4.200.000.000</w:t>
            </w:r>
          </w:p>
        </w:tc>
      </w:tr>
      <w:tr w:rsidR="00A06EEC" w:rsidRPr="005F274A" w:rsidTr="00A06EEC">
        <w:trPr>
          <w:trHeight w:val="255"/>
          <w:jc w:val="center"/>
        </w:trPr>
        <w:tc>
          <w:tcPr>
            <w:tcW w:w="1571" w:type="dxa"/>
            <w:shd w:val="clear" w:color="auto" w:fill="auto"/>
            <w:noWrap/>
            <w:vAlign w:val="bottom"/>
          </w:tcPr>
          <w:p w:rsidR="00A06EEC" w:rsidRPr="005F274A" w:rsidRDefault="00A06EEC" w:rsidP="00005DC6">
            <w:pPr>
              <w:jc w:val="center"/>
              <w:rPr>
                <w:b/>
                <w:bCs/>
                <w:lang w:val="sr-Latn-RS" w:eastAsia="en-GB"/>
              </w:rPr>
            </w:pPr>
            <w:r w:rsidRPr="005F274A">
              <w:rPr>
                <w:b/>
                <w:bCs/>
                <w:lang w:val="sr-Latn-RS" w:eastAsia="en-GB"/>
              </w:rPr>
              <w:t>2019.</w:t>
            </w:r>
          </w:p>
        </w:tc>
        <w:tc>
          <w:tcPr>
            <w:tcW w:w="2485" w:type="dxa"/>
            <w:shd w:val="clear" w:color="auto" w:fill="auto"/>
            <w:noWrap/>
            <w:vAlign w:val="bottom"/>
          </w:tcPr>
          <w:p w:rsidR="00A06EEC" w:rsidRPr="005F274A" w:rsidRDefault="00A06EEC" w:rsidP="0045470D">
            <w:pPr>
              <w:jc w:val="center"/>
              <w:rPr>
                <w:b/>
                <w:lang w:val="sr-Cyrl-CS" w:eastAsia="en-GB"/>
              </w:rPr>
            </w:pPr>
            <w:r w:rsidRPr="005F274A">
              <w:rPr>
                <w:b/>
                <w:lang w:val="sr-Latn-RS" w:eastAsia="en-GB"/>
              </w:rPr>
              <w:t>4</w:t>
            </w:r>
            <w:r w:rsidRPr="005F274A">
              <w:rPr>
                <w:b/>
                <w:lang w:val="sr-Cyrl-CS" w:eastAsia="en-GB"/>
              </w:rPr>
              <w:t>.</w:t>
            </w:r>
            <w:r w:rsidRPr="005F274A">
              <w:rPr>
                <w:b/>
                <w:lang w:val="sr-Latn-RS" w:eastAsia="en-GB"/>
              </w:rPr>
              <w:t>00</w:t>
            </w:r>
            <w:r w:rsidRPr="005F274A">
              <w:rPr>
                <w:b/>
                <w:lang w:val="sr-Cyrl-CS" w:eastAsia="en-GB"/>
              </w:rPr>
              <w:t>0.000.000</w:t>
            </w:r>
          </w:p>
        </w:tc>
        <w:tc>
          <w:tcPr>
            <w:tcW w:w="2481" w:type="dxa"/>
            <w:shd w:val="clear" w:color="auto" w:fill="auto"/>
            <w:noWrap/>
            <w:vAlign w:val="bottom"/>
          </w:tcPr>
          <w:p w:rsidR="00A06EEC" w:rsidRPr="005F274A" w:rsidRDefault="00A06EEC" w:rsidP="0045470D">
            <w:pPr>
              <w:jc w:val="center"/>
              <w:rPr>
                <w:b/>
                <w:lang w:val="sr-Cyrl-CS" w:eastAsia="en-GB"/>
              </w:rPr>
            </w:pPr>
            <w:r w:rsidRPr="005F274A">
              <w:rPr>
                <w:b/>
                <w:lang w:val="sr-Cyrl-CS" w:eastAsia="en-GB"/>
              </w:rPr>
              <w:t>550.000.000</w:t>
            </w:r>
          </w:p>
        </w:tc>
        <w:tc>
          <w:tcPr>
            <w:tcW w:w="1968" w:type="dxa"/>
            <w:shd w:val="clear" w:color="auto" w:fill="auto"/>
            <w:noWrap/>
            <w:vAlign w:val="bottom"/>
          </w:tcPr>
          <w:p w:rsidR="00A06EEC" w:rsidRPr="005F274A" w:rsidRDefault="00A06EEC" w:rsidP="0045470D">
            <w:pPr>
              <w:jc w:val="center"/>
              <w:rPr>
                <w:b/>
                <w:lang w:val="sr-Cyrl-CS" w:eastAsia="en-GB"/>
              </w:rPr>
            </w:pPr>
            <w:r w:rsidRPr="005F274A">
              <w:rPr>
                <w:b/>
                <w:lang w:val="sr-Cyrl-CS" w:eastAsia="en-GB"/>
              </w:rPr>
              <w:t>4.</w:t>
            </w:r>
            <w:r w:rsidRPr="005F274A">
              <w:rPr>
                <w:b/>
                <w:lang w:val="sr-Latn-RS" w:eastAsia="en-GB"/>
              </w:rPr>
              <w:t>55</w:t>
            </w:r>
            <w:r w:rsidRPr="005F274A">
              <w:rPr>
                <w:b/>
                <w:lang w:val="sr-Cyrl-CS" w:eastAsia="en-GB"/>
              </w:rPr>
              <w:t>0.000.000</w:t>
            </w:r>
          </w:p>
        </w:tc>
      </w:tr>
    </w:tbl>
    <w:p w:rsidR="00A06EEC" w:rsidRPr="005F274A" w:rsidRDefault="00A06EEC" w:rsidP="00A06EEC">
      <w:pPr>
        <w:ind w:firstLine="720"/>
        <w:jc w:val="both"/>
        <w:rPr>
          <w:lang w:val="ru-RU"/>
        </w:rPr>
      </w:pPr>
    </w:p>
    <w:p w:rsidR="00A06EEC" w:rsidRPr="005F274A" w:rsidRDefault="00A06EEC" w:rsidP="00A06EEC">
      <w:pPr>
        <w:jc w:val="both"/>
        <w:rPr>
          <w:i/>
          <w:sz w:val="22"/>
          <w:szCs w:val="22"/>
          <w:lang w:val="sr-Latn-CS"/>
        </w:rPr>
      </w:pPr>
      <w:r w:rsidRPr="005F274A">
        <w:rPr>
          <w:i/>
          <w:sz w:val="20"/>
          <w:szCs w:val="20"/>
          <w:lang w:val="ru-RU"/>
        </w:rPr>
        <w:t>**</w:t>
      </w:r>
      <w:r w:rsidRPr="0045470D">
        <w:rPr>
          <w:i/>
          <w:sz w:val="22"/>
          <w:szCs w:val="22"/>
          <w:lang w:val="ru-RU"/>
        </w:rPr>
        <w:t>Т</w:t>
      </w:r>
      <w:r w:rsidRPr="005F274A">
        <w:rPr>
          <w:i/>
          <w:sz w:val="22"/>
          <w:szCs w:val="22"/>
          <w:lang w:val="ru-RU"/>
        </w:rPr>
        <w:t>ок</w:t>
      </w:r>
      <w:r w:rsidRPr="0045470D">
        <w:rPr>
          <w:i/>
          <w:sz w:val="22"/>
          <w:szCs w:val="22"/>
          <w:lang w:val="ru-RU"/>
        </w:rPr>
        <w:t>ом</w:t>
      </w:r>
      <w:r w:rsidRPr="005F274A">
        <w:rPr>
          <w:i/>
          <w:sz w:val="22"/>
          <w:szCs w:val="22"/>
          <w:lang w:val="ru-RU"/>
        </w:rPr>
        <w:t xml:space="preserve"> 2010. године основан је Буџетски фонд за професионалну рехабилитацију и подстицање зап</w:t>
      </w:r>
      <w:r w:rsidRPr="0045470D">
        <w:rPr>
          <w:i/>
          <w:sz w:val="22"/>
          <w:szCs w:val="22"/>
          <w:lang w:val="ru-RU"/>
        </w:rPr>
        <w:t>ошљавања особа са инвалидитетом</w:t>
      </w:r>
      <w:r w:rsidRPr="005F274A">
        <w:rPr>
          <w:i/>
          <w:sz w:val="22"/>
          <w:szCs w:val="22"/>
          <w:lang w:val="ru-RU"/>
        </w:rPr>
        <w:t xml:space="preserve"> на неодређено време, којим управља министарство надлежно за послове запошљавања. Приход овог фонда чине средства обезбеђена уплатом пенала од стране послодаваца који не испуне обавезу запошљавања особа са инвалидитетом и средства од уплате на име учешћа у финансирању зарада особа са инвалидитетом запослених у предузећу за професионалну рехабилитацију и запошљавање особа са инвалидитетом, социјалном предузећу или организацији. </w:t>
      </w:r>
    </w:p>
    <w:p w:rsidR="00A06EEC" w:rsidRPr="005F274A" w:rsidRDefault="00A06EEC" w:rsidP="00A06EEC">
      <w:pPr>
        <w:jc w:val="both"/>
        <w:rPr>
          <w:i/>
          <w:sz w:val="22"/>
          <w:szCs w:val="22"/>
          <w:lang w:val="sr-Cyrl-CS"/>
        </w:rPr>
      </w:pPr>
      <w:r w:rsidRPr="005F274A">
        <w:rPr>
          <w:i/>
          <w:sz w:val="22"/>
          <w:szCs w:val="22"/>
          <w:lang w:val="sr-Cyrl-CS"/>
        </w:rPr>
        <w:t>* У 2011. години износ од 3.900.000.000 РСД за мере АПЗ је увећан и додатним средствима у износу од 1.650.000.000 РСД из уштеда од доприноса за осигурање за случај незапослености</w:t>
      </w:r>
      <w:r w:rsidR="00B935F1">
        <w:rPr>
          <w:i/>
          <w:sz w:val="22"/>
          <w:szCs w:val="22"/>
          <w:lang w:val="sr-Cyrl-CS"/>
        </w:rPr>
        <w:t>.</w:t>
      </w:r>
    </w:p>
    <w:p w:rsidR="00554D9D" w:rsidRDefault="00731FF2" w:rsidP="005B578B">
      <w:pPr>
        <w:pStyle w:val="BodyText2"/>
        <w:tabs>
          <w:tab w:val="left" w:pos="0"/>
        </w:tabs>
        <w:spacing w:before="60"/>
        <w:ind w:firstLine="709"/>
        <w:rPr>
          <w:lang w:val="sr-Cyrl-RS"/>
        </w:rPr>
      </w:pPr>
      <w:r>
        <w:rPr>
          <w:color w:val="000000" w:themeColor="text1"/>
          <w:lang w:val="sr-Cyrl-RS"/>
        </w:rPr>
        <w:t>С</w:t>
      </w:r>
      <w:r w:rsidR="00176D3D" w:rsidRPr="000D4471">
        <w:rPr>
          <w:color w:val="000000" w:themeColor="text1"/>
          <w:lang w:val="sr-Cyrl-RS"/>
        </w:rPr>
        <w:t>редином фебруара</w:t>
      </w:r>
      <w:r>
        <w:rPr>
          <w:color w:val="000000" w:themeColor="text1"/>
          <w:lang w:val="sr-Cyrl-RS"/>
        </w:rPr>
        <w:t xml:space="preserve"> 2018. године</w:t>
      </w:r>
      <w:r w:rsidR="00176D3D" w:rsidRPr="000D4471">
        <w:rPr>
          <w:color w:val="000000" w:themeColor="text1"/>
          <w:lang w:val="sr-Cyrl-RS"/>
        </w:rPr>
        <w:t xml:space="preserve"> </w:t>
      </w:r>
      <w:r>
        <w:rPr>
          <w:color w:val="000000" w:themeColor="text1"/>
          <w:lang w:val="sr-Cyrl-RS"/>
        </w:rPr>
        <w:t xml:space="preserve">НСЗ је објавила </w:t>
      </w:r>
      <w:r w:rsidR="00176D3D" w:rsidRPr="000D4471">
        <w:rPr>
          <w:color w:val="000000" w:themeColor="text1"/>
          <w:lang w:val="sr-Cyrl-RS"/>
        </w:rPr>
        <w:t>јавн</w:t>
      </w:r>
      <w:r>
        <w:rPr>
          <w:color w:val="000000" w:themeColor="text1"/>
          <w:lang w:val="sr-Cyrl-RS"/>
        </w:rPr>
        <w:t>и</w:t>
      </w:r>
      <w:r w:rsidR="00176D3D" w:rsidRPr="000D4471">
        <w:rPr>
          <w:color w:val="000000" w:themeColor="text1"/>
          <w:lang w:val="sr-Cyrl-RS"/>
        </w:rPr>
        <w:t xml:space="preserve"> позив намењен незапосленим лицима и послодавцима. </w:t>
      </w:r>
      <w:r>
        <w:rPr>
          <w:color w:val="000000" w:themeColor="text1"/>
          <w:lang w:val="sr-Cyrl-RS"/>
        </w:rPr>
        <w:t>У том позиву</w:t>
      </w:r>
      <w:r w:rsidR="00176D3D" w:rsidRPr="000D4471">
        <w:rPr>
          <w:color w:val="000000" w:themeColor="text1"/>
          <w:lang w:val="sr-Cyrl-RS"/>
        </w:rPr>
        <w:t xml:space="preserve"> заинтересовани за покретање сопственог бизниса</w:t>
      </w:r>
      <w:r>
        <w:rPr>
          <w:color w:val="000000" w:themeColor="text1"/>
          <w:lang w:val="sr-Cyrl-RS"/>
        </w:rPr>
        <w:t>, без обзира на пол, позвани</w:t>
      </w:r>
      <w:r w:rsidR="00176D3D" w:rsidRPr="000D4471">
        <w:rPr>
          <w:color w:val="000000" w:themeColor="text1"/>
          <w:lang w:val="sr-Cyrl-RS"/>
        </w:rPr>
        <w:t xml:space="preserve"> </w:t>
      </w:r>
      <w:r w:rsidR="008849B7">
        <w:rPr>
          <w:color w:val="000000" w:themeColor="text1"/>
          <w:lang w:val="sr-Cyrl-RS"/>
        </w:rPr>
        <w:t xml:space="preserve">су </w:t>
      </w:r>
      <w:r w:rsidR="00176D3D" w:rsidRPr="000D4471">
        <w:rPr>
          <w:color w:val="000000" w:themeColor="text1"/>
          <w:lang w:val="sr-Cyrl-RS"/>
        </w:rPr>
        <w:t xml:space="preserve">да конкуришу за бесповратна средства која могу добити кроз програме самозапошљавања, </w:t>
      </w:r>
      <w:r>
        <w:rPr>
          <w:color w:val="000000" w:themeColor="text1"/>
          <w:lang w:val="sr-Cyrl-RS"/>
        </w:rPr>
        <w:t xml:space="preserve">а </w:t>
      </w:r>
      <w:r w:rsidR="00176D3D" w:rsidRPr="000D4471">
        <w:rPr>
          <w:color w:val="000000" w:themeColor="text1"/>
          <w:lang w:val="sr-Cyrl-RS"/>
        </w:rPr>
        <w:t>послодавци да конкуришу за програме новог запошљавања, за програме јавних радова, стручне праксе, запошљавања лица са инвалидитетом, за обуке за познатог послода</w:t>
      </w:r>
      <w:r>
        <w:rPr>
          <w:color w:val="000000" w:themeColor="text1"/>
          <w:lang w:val="sr-Cyrl-RS"/>
        </w:rPr>
        <w:t>вца и обуке за тржиште рада,</w:t>
      </w:r>
      <w:r w:rsidR="00176D3D" w:rsidRPr="000D4471">
        <w:rPr>
          <w:color w:val="000000" w:themeColor="text1"/>
          <w:lang w:val="sr-Cyrl-RS"/>
        </w:rPr>
        <w:t xml:space="preserve"> уз финансијску подршку из буџета</w:t>
      </w:r>
      <w:r w:rsidR="00176D3D">
        <w:rPr>
          <w:color w:val="000000" w:themeColor="text1"/>
          <w:lang w:val="sr-Cyrl-RS"/>
        </w:rPr>
        <w:t xml:space="preserve">. Ови </w:t>
      </w:r>
      <w:r>
        <w:rPr>
          <w:color w:val="000000" w:themeColor="text1"/>
          <w:lang w:val="sr-Cyrl-RS"/>
        </w:rPr>
        <w:t>П</w:t>
      </w:r>
      <w:r w:rsidR="00176D3D">
        <w:rPr>
          <w:color w:val="000000" w:themeColor="text1"/>
          <w:lang w:val="sr-Cyrl-RS"/>
        </w:rPr>
        <w:t>рограми</w:t>
      </w:r>
      <w:r>
        <w:rPr>
          <w:color w:val="000000" w:themeColor="text1"/>
          <w:lang w:val="sr-Cyrl-RS"/>
        </w:rPr>
        <w:t xml:space="preserve">  финансијске подршке</w:t>
      </w:r>
      <w:r w:rsidR="00176D3D">
        <w:rPr>
          <w:color w:val="000000" w:themeColor="text1"/>
          <w:lang w:val="sr-Cyrl-RS"/>
        </w:rPr>
        <w:t xml:space="preserve"> намењени су н</w:t>
      </w:r>
      <w:r w:rsidR="00176D3D" w:rsidRPr="000D4471">
        <w:rPr>
          <w:color w:val="000000" w:themeColor="text1"/>
          <w:lang w:val="sr-Cyrl-RS"/>
        </w:rPr>
        <w:t>езапослени</w:t>
      </w:r>
      <w:r w:rsidR="00176D3D">
        <w:rPr>
          <w:color w:val="000000" w:themeColor="text1"/>
          <w:lang w:val="sr-Cyrl-RS"/>
        </w:rPr>
        <w:t>м лицима,</w:t>
      </w:r>
      <w:r>
        <w:rPr>
          <w:color w:val="000000" w:themeColor="text1"/>
          <w:lang w:val="sr-Cyrl-RS"/>
        </w:rPr>
        <w:t xml:space="preserve"> а посебно:</w:t>
      </w:r>
      <w:r w:rsidR="00176D3D">
        <w:rPr>
          <w:color w:val="000000" w:themeColor="text1"/>
          <w:lang w:val="sr-Cyrl-RS"/>
        </w:rPr>
        <w:t xml:space="preserve"> женама,</w:t>
      </w:r>
      <w:r w:rsidR="00176D3D" w:rsidRPr="000D4471">
        <w:rPr>
          <w:color w:val="000000" w:themeColor="text1"/>
          <w:lang w:val="sr-Cyrl-RS"/>
        </w:rPr>
        <w:t xml:space="preserve"> млади</w:t>
      </w:r>
      <w:r w:rsidR="00176D3D">
        <w:rPr>
          <w:color w:val="000000" w:themeColor="text1"/>
          <w:lang w:val="sr-Cyrl-RS"/>
        </w:rPr>
        <w:t>ма</w:t>
      </w:r>
      <w:r w:rsidR="00176D3D" w:rsidRPr="000D4471">
        <w:rPr>
          <w:color w:val="000000" w:themeColor="text1"/>
          <w:lang w:val="sr-Cyrl-RS"/>
        </w:rPr>
        <w:t>, дугорочно незапо</w:t>
      </w:r>
      <w:r w:rsidR="00176D3D">
        <w:rPr>
          <w:color w:val="000000" w:themeColor="text1"/>
          <w:lang w:val="sr-Cyrl-RS"/>
        </w:rPr>
        <w:t>сленима</w:t>
      </w:r>
      <w:r w:rsidR="00176D3D" w:rsidRPr="000D4471">
        <w:rPr>
          <w:color w:val="000000" w:themeColor="text1"/>
          <w:lang w:val="sr-Cyrl-RS"/>
        </w:rPr>
        <w:t>, незапослени</w:t>
      </w:r>
      <w:r>
        <w:rPr>
          <w:color w:val="000000" w:themeColor="text1"/>
          <w:lang w:val="sr-Cyrl-RS"/>
        </w:rPr>
        <w:t>м лицима без квалификација и сл</w:t>
      </w:r>
      <w:r w:rsidR="00176D3D">
        <w:rPr>
          <w:color w:val="000000" w:themeColor="text1"/>
          <w:lang w:val="sr-Cyrl-RS"/>
        </w:rPr>
        <w:t>.</w:t>
      </w:r>
      <w:r w:rsidR="00554D9D">
        <w:rPr>
          <w:color w:val="000000" w:themeColor="text1"/>
          <w:lang w:val="sr-Cyrl-RS"/>
        </w:rPr>
        <w:t xml:space="preserve"> (</w:t>
      </w:r>
      <w:r w:rsidR="009A788C">
        <w:rPr>
          <w:color w:val="000000" w:themeColor="text1"/>
          <w:lang w:val="sr-Cyrl-RS"/>
        </w:rPr>
        <w:t>Т</w:t>
      </w:r>
      <w:r w:rsidR="00554D9D">
        <w:rPr>
          <w:lang w:val="sr-Cyrl-RS"/>
        </w:rPr>
        <w:t>абела</w:t>
      </w:r>
      <w:r w:rsidR="00A06EEC">
        <w:rPr>
          <w:lang w:val="sr-Cyrl-RS"/>
        </w:rPr>
        <w:t xml:space="preserve"> 4</w:t>
      </w:r>
      <w:r w:rsidR="009A788C">
        <w:rPr>
          <w:lang w:val="sr-Cyrl-RS"/>
        </w:rPr>
        <w:t>)</w:t>
      </w:r>
      <w:r w:rsidR="00554D9D">
        <w:rPr>
          <w:lang w:val="sr-Cyrl-RS"/>
        </w:rPr>
        <w:t>.</w:t>
      </w:r>
    </w:p>
    <w:p w:rsidR="00BB3D8E" w:rsidRDefault="00BB3D8E" w:rsidP="00BB3D8E">
      <w:pPr>
        <w:pStyle w:val="BodyText2"/>
        <w:tabs>
          <w:tab w:val="left" w:pos="0"/>
        </w:tabs>
        <w:spacing w:before="60"/>
        <w:ind w:firstLine="709"/>
        <w:rPr>
          <w:color w:val="000000" w:themeColor="text1"/>
          <w:lang w:val="sr-Cyrl-RS"/>
        </w:rPr>
      </w:pPr>
      <w:r>
        <w:rPr>
          <w:color w:val="000000" w:themeColor="text1"/>
          <w:lang w:val="sr-Cyrl-RS"/>
        </w:rPr>
        <w:t>Такође, НЗС је спроводила и кампање промоције јавних радова чији је циљ радно ангажовање</w:t>
      </w:r>
      <w:r w:rsidRPr="00FD4D5D">
        <w:rPr>
          <w:color w:val="000000" w:themeColor="text1"/>
          <w:lang w:val="sr-Cyrl-RS"/>
        </w:rPr>
        <w:t xml:space="preserve">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ради остваривања одређеног друштвеног интереса</w:t>
      </w:r>
      <w:r>
        <w:rPr>
          <w:color w:val="000000" w:themeColor="text1"/>
          <w:lang w:val="sr-Cyrl-RS"/>
        </w:rPr>
        <w:t>.</w:t>
      </w:r>
    </w:p>
    <w:p w:rsidR="00BB3D8E" w:rsidRDefault="00BB3D8E" w:rsidP="00BB3D8E">
      <w:pPr>
        <w:pStyle w:val="BodyText2"/>
        <w:tabs>
          <w:tab w:val="left" w:pos="0"/>
        </w:tabs>
        <w:spacing w:before="60" w:after="120"/>
        <w:ind w:firstLine="709"/>
        <w:rPr>
          <w:color w:val="000000" w:themeColor="text1"/>
          <w:lang w:val="sr-Cyrl-RS"/>
        </w:rPr>
      </w:pPr>
      <w:r>
        <w:rPr>
          <w:color w:val="000000" w:themeColor="text1"/>
          <w:lang w:val="sr-Cyrl-RS"/>
        </w:rPr>
        <w:t>Осим наведеног, од значаја би било и поменути да се</w:t>
      </w:r>
      <w:r w:rsidRPr="000D4471">
        <w:rPr>
          <w:color w:val="000000" w:themeColor="text1"/>
          <w:lang w:val="sr-Cyrl-RS"/>
        </w:rPr>
        <w:t xml:space="preserve"> </w:t>
      </w:r>
      <w:r>
        <w:rPr>
          <w:color w:val="000000" w:themeColor="text1"/>
          <w:lang w:val="sr-Cyrl-RS"/>
        </w:rPr>
        <w:t>г</w:t>
      </w:r>
      <w:r w:rsidRPr="00FD4D5D">
        <w:rPr>
          <w:color w:val="000000" w:themeColor="text1"/>
          <w:lang w:val="sr-Cyrl-RS"/>
        </w:rPr>
        <w:t>одишњим програмом утврђују програми и мере додатног образовања и обуке који се реализују у текућој години, односно програми и мере којима лица стичу нова знања, вештине и радно искуство. Ов</w:t>
      </w:r>
      <w:r>
        <w:rPr>
          <w:color w:val="000000" w:themeColor="text1"/>
          <w:lang w:val="sr-Cyrl-RS"/>
        </w:rPr>
        <w:t>и</w:t>
      </w:r>
      <w:r w:rsidRPr="00FD4D5D">
        <w:rPr>
          <w:color w:val="000000" w:themeColor="text1"/>
          <w:lang w:val="sr-Cyrl-RS"/>
        </w:rPr>
        <w:t xml:space="preserve"> програм</w:t>
      </w:r>
      <w:r>
        <w:rPr>
          <w:color w:val="000000" w:themeColor="text1"/>
          <w:lang w:val="sr-Cyrl-RS"/>
        </w:rPr>
        <w:t>и</w:t>
      </w:r>
      <w:r w:rsidRPr="00FD4D5D">
        <w:rPr>
          <w:color w:val="000000" w:themeColor="text1"/>
          <w:lang w:val="sr-Cyrl-RS"/>
        </w:rPr>
        <w:t xml:space="preserve"> заснива</w:t>
      </w:r>
      <w:r>
        <w:rPr>
          <w:color w:val="000000" w:themeColor="text1"/>
          <w:lang w:val="sr-Cyrl-RS"/>
        </w:rPr>
        <w:t>ју</w:t>
      </w:r>
      <w:r w:rsidRPr="00FD4D5D">
        <w:rPr>
          <w:color w:val="000000" w:themeColor="text1"/>
          <w:lang w:val="sr-Cyrl-RS"/>
        </w:rPr>
        <w:t xml:space="preserve">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w:t>
      </w:r>
      <w:r>
        <w:rPr>
          <w:color w:val="000000" w:themeColor="text1"/>
          <w:lang w:val="sr-Cyrl-RS"/>
        </w:rPr>
        <w:t>,</w:t>
      </w:r>
      <w:r w:rsidRPr="00FD4D5D">
        <w:rPr>
          <w:color w:val="000000" w:themeColor="text1"/>
          <w:lang w:val="sr-Cyrl-RS"/>
        </w:rPr>
        <w:t xml:space="preserve"> реализује се додатн</w:t>
      </w:r>
      <w:r>
        <w:rPr>
          <w:color w:val="000000" w:themeColor="text1"/>
          <w:lang w:val="sr-Cyrl-RS"/>
        </w:rPr>
        <w:t>о</w:t>
      </w:r>
      <w:r w:rsidRPr="00FD4D5D">
        <w:rPr>
          <w:color w:val="000000" w:themeColor="text1"/>
          <w:lang w:val="sr-Cyrl-RS"/>
        </w:rPr>
        <w:t xml:space="preserve"> образовање и обуке за</w:t>
      </w:r>
      <w:r>
        <w:rPr>
          <w:color w:val="000000" w:themeColor="text1"/>
          <w:lang w:val="sr-Cyrl-RS"/>
        </w:rPr>
        <w:t xml:space="preserve"> незапослена лица за</w:t>
      </w:r>
      <w:r w:rsidRPr="00FD4D5D">
        <w:rPr>
          <w:color w:val="000000" w:themeColor="text1"/>
          <w:lang w:val="sr-Cyrl-RS"/>
        </w:rPr>
        <w:t xml:space="preserve"> она подручја рада у којима постоји дефицит знања и вештина</w:t>
      </w:r>
      <w:r>
        <w:rPr>
          <w:color w:val="000000" w:themeColor="text1"/>
          <w:lang w:val="sr-Cyrl-RS"/>
        </w:rPr>
        <w:t>.</w:t>
      </w:r>
    </w:p>
    <w:p w:rsidR="0045470D" w:rsidRDefault="0045470D" w:rsidP="00C70F5E">
      <w:pPr>
        <w:pStyle w:val="BodyText2"/>
        <w:spacing w:after="120"/>
        <w:jc w:val="center"/>
        <w:rPr>
          <w:b/>
          <w:color w:val="000000" w:themeColor="text1"/>
          <w:lang w:val="sr-Cyrl-RS"/>
        </w:rPr>
      </w:pPr>
    </w:p>
    <w:p w:rsidR="00F70BF5" w:rsidRDefault="00F70BF5" w:rsidP="00A30C3C">
      <w:pPr>
        <w:pStyle w:val="BodyText2"/>
        <w:spacing w:after="120"/>
        <w:jc w:val="center"/>
        <w:rPr>
          <w:b/>
          <w:color w:val="000000" w:themeColor="text1"/>
          <w:lang w:val="sr-Cyrl-RS"/>
        </w:rPr>
      </w:pPr>
    </w:p>
    <w:p w:rsidR="00176D3D" w:rsidRDefault="00A06EEC" w:rsidP="00A30C3C">
      <w:pPr>
        <w:pStyle w:val="BodyText2"/>
        <w:spacing w:after="120"/>
        <w:jc w:val="center"/>
        <w:rPr>
          <w:b/>
          <w:color w:val="000000" w:themeColor="text1"/>
          <w:lang w:val="sr-Cyrl-RS"/>
        </w:rPr>
      </w:pPr>
      <w:r>
        <w:rPr>
          <w:b/>
          <w:color w:val="000000" w:themeColor="text1"/>
          <w:lang w:val="sr-Cyrl-RS"/>
        </w:rPr>
        <w:t>Табела 4</w:t>
      </w:r>
      <w:r w:rsidR="00554D9D" w:rsidRPr="009A788C">
        <w:rPr>
          <w:b/>
          <w:color w:val="000000" w:themeColor="text1"/>
          <w:lang w:val="sr-Cyrl-RS"/>
        </w:rPr>
        <w:t xml:space="preserve">: Лица укључена у мeрe активнe политикe запошљавања и рeзултати у </w:t>
      </w:r>
      <w:r w:rsidR="005404C4">
        <w:rPr>
          <w:b/>
          <w:color w:val="000000" w:themeColor="text1"/>
          <w:lang w:val="sr-Latn-RS"/>
        </w:rPr>
        <w:t xml:space="preserve">2017. </w:t>
      </w:r>
      <w:r w:rsidR="005404C4">
        <w:rPr>
          <w:b/>
          <w:color w:val="000000" w:themeColor="text1"/>
          <w:lang w:val="sr-Cyrl-RS"/>
        </w:rPr>
        <w:t>години</w:t>
      </w:r>
      <w:r w:rsidR="005404C4">
        <w:rPr>
          <w:b/>
          <w:color w:val="000000" w:themeColor="text1"/>
          <w:lang w:val="sr-Latn-RS"/>
        </w:rPr>
        <w:t xml:space="preserve"> </w:t>
      </w:r>
      <w:r w:rsidR="005404C4">
        <w:rPr>
          <w:b/>
          <w:color w:val="000000" w:themeColor="text1"/>
          <w:lang w:val="sr-Cyrl-RS"/>
        </w:rPr>
        <w:t xml:space="preserve">у </w:t>
      </w:r>
      <w:r w:rsidR="00554D9D" w:rsidRPr="009A788C">
        <w:rPr>
          <w:b/>
          <w:color w:val="000000" w:themeColor="text1"/>
          <w:lang w:val="sr-Cyrl-RS"/>
        </w:rPr>
        <w:t>поглeду запошљавања</w:t>
      </w:r>
      <w:r w:rsidR="009A788C" w:rsidRPr="009A788C">
        <w:rPr>
          <w:b/>
          <w:color w:val="000000" w:themeColor="text1"/>
          <w:lang w:val="sr-Cyrl-RS"/>
        </w:rPr>
        <w:t xml:space="preserve"> жена као теже запошљиве категорије лица</w:t>
      </w:r>
    </w:p>
    <w:tbl>
      <w:tblPr>
        <w:tblW w:w="10229" w:type="dxa"/>
        <w:tblLook w:val="04A0" w:firstRow="1" w:lastRow="0" w:firstColumn="1" w:lastColumn="0" w:noHBand="0" w:noVBand="1"/>
      </w:tblPr>
      <w:tblGrid>
        <w:gridCol w:w="3109"/>
        <w:gridCol w:w="978"/>
        <w:gridCol w:w="865"/>
        <w:gridCol w:w="992"/>
        <w:gridCol w:w="756"/>
        <w:gridCol w:w="978"/>
        <w:gridCol w:w="817"/>
        <w:gridCol w:w="978"/>
        <w:gridCol w:w="756"/>
      </w:tblGrid>
      <w:tr w:rsidR="00176D3D" w:rsidRPr="00013BAF" w:rsidTr="00EA41C1">
        <w:trPr>
          <w:trHeight w:val="480"/>
        </w:trPr>
        <w:tc>
          <w:tcPr>
            <w:tcW w:w="3109" w:type="dxa"/>
            <w:tcBorders>
              <w:top w:val="single" w:sz="8" w:space="0" w:color="auto"/>
              <w:left w:val="single" w:sz="8" w:space="0" w:color="auto"/>
              <w:bottom w:val="nil"/>
              <w:right w:val="single" w:sz="8" w:space="0" w:color="auto"/>
            </w:tcBorders>
            <w:shd w:val="clear" w:color="auto" w:fill="00B0F0"/>
            <w:noWrap/>
            <w:vAlign w:val="bottom"/>
            <w:hideMark/>
          </w:tcPr>
          <w:p w:rsidR="00176D3D" w:rsidRPr="00013BAF" w:rsidRDefault="00176D3D" w:rsidP="00037272">
            <w:pPr>
              <w:rPr>
                <w:color w:val="000000"/>
                <w:sz w:val="22"/>
                <w:szCs w:val="22"/>
                <w:lang w:val="sr-Cyrl-RS"/>
              </w:rPr>
            </w:pPr>
          </w:p>
        </w:tc>
        <w:tc>
          <w:tcPr>
            <w:tcW w:w="1843" w:type="dxa"/>
            <w:gridSpan w:val="2"/>
            <w:tcBorders>
              <w:top w:val="single" w:sz="8" w:space="0" w:color="auto"/>
              <w:left w:val="nil"/>
              <w:bottom w:val="single" w:sz="8" w:space="0" w:color="auto"/>
              <w:right w:val="single" w:sz="8" w:space="0" w:color="auto"/>
            </w:tcBorders>
            <w:shd w:val="clear" w:color="auto" w:fill="00B0F0"/>
            <w:vAlign w:val="center"/>
            <w:hideMark/>
          </w:tcPr>
          <w:p w:rsidR="00176D3D" w:rsidRPr="00EC2E2A" w:rsidRDefault="00176D3D" w:rsidP="00037272">
            <w:pPr>
              <w:jc w:val="center"/>
              <w:rPr>
                <w:b/>
                <w:bCs/>
                <w:color w:val="000000"/>
                <w:sz w:val="22"/>
                <w:szCs w:val="22"/>
                <w:lang w:val="ru-RU"/>
              </w:rPr>
            </w:pPr>
            <w:r w:rsidRPr="00EC2E2A">
              <w:rPr>
                <w:b/>
                <w:bCs/>
                <w:color w:val="000000"/>
                <w:sz w:val="22"/>
                <w:szCs w:val="22"/>
                <w:lang w:val="ru-RU"/>
              </w:rPr>
              <w:t>Лица из кат</w:t>
            </w:r>
            <w:r w:rsidRPr="00013BAF">
              <w:rPr>
                <w:b/>
                <w:bCs/>
                <w:color w:val="000000"/>
                <w:sz w:val="22"/>
                <w:szCs w:val="22"/>
                <w:lang w:val="en-US"/>
              </w:rPr>
              <w:t>e</w:t>
            </w:r>
            <w:r w:rsidRPr="00EC2E2A">
              <w:rPr>
                <w:b/>
                <w:bCs/>
                <w:color w:val="000000"/>
                <w:sz w:val="22"/>
                <w:szCs w:val="22"/>
                <w:lang w:val="ru-RU"/>
              </w:rPr>
              <w:t>горија т</w:t>
            </w:r>
            <w:r w:rsidRPr="00013BAF">
              <w:rPr>
                <w:b/>
                <w:bCs/>
                <w:color w:val="000000"/>
                <w:sz w:val="22"/>
                <w:szCs w:val="22"/>
                <w:lang w:val="en-US"/>
              </w:rPr>
              <w:t>e</w:t>
            </w:r>
            <w:r w:rsidRPr="00EC2E2A">
              <w:rPr>
                <w:b/>
                <w:bCs/>
                <w:color w:val="000000"/>
                <w:sz w:val="22"/>
                <w:szCs w:val="22"/>
                <w:lang w:val="ru-RU"/>
              </w:rPr>
              <w:t>ж</w:t>
            </w:r>
            <w:r w:rsidRPr="00013BAF">
              <w:rPr>
                <w:b/>
                <w:bCs/>
                <w:color w:val="000000"/>
                <w:sz w:val="22"/>
                <w:szCs w:val="22"/>
                <w:lang w:val="en-US"/>
              </w:rPr>
              <w:t>e</w:t>
            </w:r>
            <w:r w:rsidRPr="00EC2E2A">
              <w:rPr>
                <w:b/>
                <w:bCs/>
                <w:color w:val="000000"/>
                <w:sz w:val="22"/>
                <w:szCs w:val="22"/>
                <w:lang w:val="ru-RU"/>
              </w:rPr>
              <w:t xml:space="preserve"> запошљивих</w:t>
            </w:r>
          </w:p>
        </w:tc>
        <w:tc>
          <w:tcPr>
            <w:tcW w:w="1748" w:type="dxa"/>
            <w:gridSpan w:val="2"/>
            <w:tcBorders>
              <w:top w:val="single" w:sz="8" w:space="0" w:color="auto"/>
              <w:left w:val="single" w:sz="8" w:space="0" w:color="auto"/>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Млади до 30 година</w:t>
            </w:r>
          </w:p>
        </w:tc>
        <w:tc>
          <w:tcPr>
            <w:tcW w:w="1795" w:type="dxa"/>
            <w:gridSpan w:val="2"/>
            <w:tcBorders>
              <w:top w:val="single" w:sz="8" w:space="0" w:color="auto"/>
              <w:left w:val="single" w:sz="8" w:space="0" w:color="auto"/>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Лица старости од 30-50 година</w:t>
            </w:r>
          </w:p>
        </w:tc>
        <w:tc>
          <w:tcPr>
            <w:tcW w:w="1734"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Старији од 50 година</w:t>
            </w:r>
          </w:p>
        </w:tc>
      </w:tr>
      <w:tr w:rsidR="00176D3D" w:rsidRPr="00013BAF" w:rsidTr="00EA41C1">
        <w:trPr>
          <w:trHeight w:val="270"/>
        </w:trPr>
        <w:tc>
          <w:tcPr>
            <w:tcW w:w="3109" w:type="dxa"/>
            <w:vMerge w:val="restart"/>
            <w:tcBorders>
              <w:top w:val="nil"/>
              <w:left w:val="single" w:sz="8" w:space="0" w:color="auto"/>
              <w:bottom w:val="nil"/>
              <w:right w:val="single" w:sz="8" w:space="0" w:color="auto"/>
            </w:tcBorders>
            <w:shd w:val="clear" w:color="auto" w:fill="00B0F0"/>
            <w:noWrap/>
            <w:vAlign w:val="center"/>
            <w:hideMark/>
          </w:tcPr>
          <w:p w:rsidR="00176D3D" w:rsidRPr="00013BAF" w:rsidRDefault="00176D3D" w:rsidP="00037272">
            <w:pPr>
              <w:rPr>
                <w:b/>
                <w:bCs/>
                <w:color w:val="000000"/>
                <w:sz w:val="22"/>
                <w:szCs w:val="22"/>
                <w:lang w:val="sr-Cyrl-RS"/>
              </w:rPr>
            </w:pPr>
            <w:r>
              <w:rPr>
                <w:b/>
                <w:bCs/>
                <w:color w:val="000000"/>
                <w:sz w:val="22"/>
                <w:szCs w:val="22"/>
                <w:lang w:val="sr-Cyrl-RS"/>
              </w:rPr>
              <w:t xml:space="preserve">Табела 2: </w:t>
            </w:r>
            <w:r w:rsidRPr="00013BAF">
              <w:rPr>
                <w:b/>
                <w:bCs/>
                <w:color w:val="000000"/>
                <w:sz w:val="22"/>
                <w:szCs w:val="22"/>
                <w:lang w:val="sr-Cyrl-RS"/>
              </w:rPr>
              <w:t>Мере активне политике запошљавања</w:t>
            </w:r>
          </w:p>
        </w:tc>
        <w:tc>
          <w:tcPr>
            <w:tcW w:w="1843"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Default="00176D3D" w:rsidP="00037272">
            <w:pPr>
              <w:jc w:val="center"/>
              <w:rPr>
                <w:b/>
                <w:bCs/>
                <w:color w:val="000000"/>
                <w:sz w:val="22"/>
                <w:szCs w:val="22"/>
                <w:lang w:val="en-US"/>
              </w:rPr>
            </w:pPr>
            <w:r w:rsidRPr="00013BAF">
              <w:rPr>
                <w:b/>
                <w:bCs/>
                <w:color w:val="000000"/>
                <w:sz w:val="22"/>
                <w:szCs w:val="22"/>
                <w:lang w:val="en-US"/>
              </w:rPr>
              <w:t>Број укључeних лица</w:t>
            </w:r>
          </w:p>
          <w:p w:rsidR="00176D3D" w:rsidRPr="00013BAF" w:rsidRDefault="00176D3D" w:rsidP="00037272">
            <w:pPr>
              <w:jc w:val="center"/>
              <w:rPr>
                <w:b/>
                <w:bCs/>
                <w:color w:val="000000"/>
                <w:sz w:val="22"/>
                <w:szCs w:val="22"/>
                <w:lang w:val="en-US"/>
              </w:rPr>
            </w:pPr>
          </w:p>
        </w:tc>
        <w:tc>
          <w:tcPr>
            <w:tcW w:w="1748"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Број укључeних лица</w:t>
            </w:r>
          </w:p>
        </w:tc>
        <w:tc>
          <w:tcPr>
            <w:tcW w:w="1795"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Број укључeних лица</w:t>
            </w:r>
          </w:p>
        </w:tc>
        <w:tc>
          <w:tcPr>
            <w:tcW w:w="1734"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Број укључeних лица</w:t>
            </w:r>
          </w:p>
        </w:tc>
      </w:tr>
      <w:tr w:rsidR="00176D3D" w:rsidRPr="00013BAF" w:rsidTr="00EA41C1">
        <w:trPr>
          <w:trHeight w:val="270"/>
        </w:trPr>
        <w:tc>
          <w:tcPr>
            <w:tcW w:w="3109" w:type="dxa"/>
            <w:vMerge/>
            <w:tcBorders>
              <w:top w:val="nil"/>
              <w:left w:val="single" w:sz="8" w:space="0" w:color="auto"/>
              <w:bottom w:val="nil"/>
              <w:right w:val="single" w:sz="8" w:space="0" w:color="auto"/>
            </w:tcBorders>
            <w:shd w:val="clear" w:color="auto" w:fill="00B0F0"/>
            <w:vAlign w:val="center"/>
            <w:hideMark/>
          </w:tcPr>
          <w:p w:rsidR="00176D3D" w:rsidRPr="00013BAF" w:rsidRDefault="00176D3D" w:rsidP="00037272">
            <w:pPr>
              <w:rPr>
                <w:b/>
                <w:bCs/>
                <w:color w:val="000000"/>
                <w:sz w:val="22"/>
                <w:szCs w:val="22"/>
                <w:lang w:val="en-US"/>
              </w:rPr>
            </w:pPr>
          </w:p>
        </w:tc>
        <w:tc>
          <w:tcPr>
            <w:tcW w:w="97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Укупно</w:t>
            </w:r>
          </w:p>
        </w:tc>
        <w:tc>
          <w:tcPr>
            <w:tcW w:w="865"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Жене</w:t>
            </w:r>
          </w:p>
        </w:tc>
        <w:tc>
          <w:tcPr>
            <w:tcW w:w="992"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Укупно</w:t>
            </w:r>
          </w:p>
        </w:tc>
        <w:tc>
          <w:tcPr>
            <w:tcW w:w="756"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Жене</w:t>
            </w:r>
          </w:p>
        </w:tc>
        <w:tc>
          <w:tcPr>
            <w:tcW w:w="97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Укупно</w:t>
            </w:r>
          </w:p>
        </w:tc>
        <w:tc>
          <w:tcPr>
            <w:tcW w:w="817"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Жене</w:t>
            </w:r>
          </w:p>
        </w:tc>
        <w:tc>
          <w:tcPr>
            <w:tcW w:w="97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Укупно</w:t>
            </w:r>
          </w:p>
        </w:tc>
        <w:tc>
          <w:tcPr>
            <w:tcW w:w="756"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sr-Cyrl-RS"/>
              </w:rPr>
            </w:pPr>
            <w:r w:rsidRPr="00013BAF">
              <w:rPr>
                <w:b/>
                <w:bCs/>
                <w:color w:val="000000"/>
                <w:sz w:val="22"/>
                <w:szCs w:val="22"/>
                <w:lang w:val="sr-Cyrl-RS"/>
              </w:rPr>
              <w:t>Жене</w:t>
            </w:r>
          </w:p>
        </w:tc>
      </w:tr>
      <w:tr w:rsidR="00176D3D" w:rsidRPr="00013BAF" w:rsidTr="00EA41C1">
        <w:trPr>
          <w:trHeight w:val="270"/>
        </w:trPr>
        <w:tc>
          <w:tcPr>
            <w:tcW w:w="3109" w:type="dxa"/>
            <w:tcBorders>
              <w:top w:val="nil"/>
              <w:left w:val="single" w:sz="8" w:space="0" w:color="auto"/>
              <w:bottom w:val="single" w:sz="8" w:space="0" w:color="auto"/>
              <w:right w:val="single" w:sz="8" w:space="0" w:color="auto"/>
            </w:tcBorders>
            <w:shd w:val="clear" w:color="auto" w:fill="00B0F0"/>
            <w:noWrap/>
            <w:vAlign w:val="bottom"/>
            <w:hideMark/>
          </w:tcPr>
          <w:p w:rsidR="00176D3D" w:rsidRPr="00013BAF" w:rsidRDefault="00176D3D" w:rsidP="00037272">
            <w:pPr>
              <w:rPr>
                <w:color w:val="000000"/>
                <w:sz w:val="22"/>
                <w:szCs w:val="22"/>
                <w:lang w:val="en-US"/>
              </w:rPr>
            </w:pPr>
          </w:p>
        </w:tc>
        <w:tc>
          <w:tcPr>
            <w:tcW w:w="97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10</w:t>
            </w:r>
          </w:p>
        </w:tc>
        <w:tc>
          <w:tcPr>
            <w:tcW w:w="865"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11</w:t>
            </w:r>
          </w:p>
        </w:tc>
        <w:tc>
          <w:tcPr>
            <w:tcW w:w="992"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13</w:t>
            </w:r>
          </w:p>
        </w:tc>
        <w:tc>
          <w:tcPr>
            <w:tcW w:w="756"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14</w:t>
            </w:r>
          </w:p>
        </w:tc>
        <w:tc>
          <w:tcPr>
            <w:tcW w:w="97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16</w:t>
            </w:r>
          </w:p>
        </w:tc>
        <w:tc>
          <w:tcPr>
            <w:tcW w:w="817"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17</w:t>
            </w:r>
          </w:p>
        </w:tc>
        <w:tc>
          <w:tcPr>
            <w:tcW w:w="97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18</w:t>
            </w:r>
          </w:p>
        </w:tc>
        <w:tc>
          <w:tcPr>
            <w:tcW w:w="756"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19</w:t>
            </w:r>
          </w:p>
        </w:tc>
      </w:tr>
      <w:tr w:rsidR="00176D3D" w:rsidRPr="00013BAF" w:rsidTr="00A30C3C">
        <w:trPr>
          <w:trHeight w:val="574"/>
        </w:trPr>
        <w:tc>
          <w:tcPr>
            <w:tcW w:w="3109" w:type="dxa"/>
            <w:tcBorders>
              <w:top w:val="nil"/>
              <w:left w:val="single" w:sz="8" w:space="0" w:color="auto"/>
              <w:bottom w:val="single" w:sz="8" w:space="0" w:color="auto"/>
              <w:right w:val="single" w:sz="8" w:space="0" w:color="auto"/>
            </w:tcBorders>
            <w:shd w:val="clear" w:color="auto" w:fill="auto"/>
            <w:noWrap/>
            <w:hideMark/>
          </w:tcPr>
          <w:p w:rsidR="00176D3D" w:rsidRPr="00013BAF" w:rsidRDefault="00176D3D" w:rsidP="00037272">
            <w:pPr>
              <w:rPr>
                <w:b/>
                <w:bCs/>
                <w:color w:val="000000"/>
                <w:sz w:val="22"/>
                <w:szCs w:val="22"/>
                <w:lang w:val="en-US"/>
              </w:rPr>
            </w:pPr>
            <w:r w:rsidRPr="00013BAF">
              <w:rPr>
                <w:b/>
                <w:bCs/>
                <w:color w:val="000000"/>
                <w:sz w:val="22"/>
                <w:szCs w:val="22"/>
                <w:lang w:val="en-US"/>
              </w:rPr>
              <w:t>Субвeнција за запошљавањe нeзапослeних лица из катeгоријe тeжe запошљивих</w:t>
            </w:r>
          </w:p>
        </w:tc>
        <w:tc>
          <w:tcPr>
            <w:tcW w:w="97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3.534</w:t>
            </w:r>
          </w:p>
        </w:tc>
        <w:tc>
          <w:tcPr>
            <w:tcW w:w="865"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1.843</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1.119</w:t>
            </w:r>
          </w:p>
        </w:tc>
        <w:tc>
          <w:tcPr>
            <w:tcW w:w="756"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551</w:t>
            </w:r>
          </w:p>
        </w:tc>
        <w:tc>
          <w:tcPr>
            <w:tcW w:w="97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1.169</w:t>
            </w:r>
          </w:p>
        </w:tc>
        <w:tc>
          <w:tcPr>
            <w:tcW w:w="817"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725</w:t>
            </w:r>
          </w:p>
        </w:tc>
        <w:tc>
          <w:tcPr>
            <w:tcW w:w="97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1.262</w:t>
            </w:r>
          </w:p>
        </w:tc>
        <w:tc>
          <w:tcPr>
            <w:tcW w:w="756"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567</w:t>
            </w:r>
          </w:p>
        </w:tc>
      </w:tr>
      <w:tr w:rsidR="00176D3D" w:rsidRPr="00013BAF" w:rsidTr="00A30C3C">
        <w:trPr>
          <w:trHeight w:val="530"/>
        </w:trPr>
        <w:tc>
          <w:tcPr>
            <w:tcW w:w="3109" w:type="dxa"/>
            <w:tcBorders>
              <w:top w:val="nil"/>
              <w:left w:val="single" w:sz="8" w:space="0" w:color="auto"/>
              <w:bottom w:val="single" w:sz="8" w:space="0" w:color="auto"/>
              <w:right w:val="single" w:sz="8" w:space="0" w:color="auto"/>
            </w:tcBorders>
            <w:shd w:val="clear" w:color="auto" w:fill="auto"/>
            <w:noWrap/>
            <w:hideMark/>
          </w:tcPr>
          <w:p w:rsidR="00176D3D" w:rsidRPr="00013BAF" w:rsidRDefault="00176D3D" w:rsidP="00037272">
            <w:pPr>
              <w:rPr>
                <w:b/>
                <w:bCs/>
                <w:color w:val="000000"/>
                <w:sz w:val="22"/>
                <w:szCs w:val="22"/>
                <w:lang w:val="en-US"/>
              </w:rPr>
            </w:pPr>
            <w:r w:rsidRPr="00013BAF">
              <w:rPr>
                <w:b/>
                <w:bCs/>
                <w:color w:val="000000"/>
                <w:sz w:val="22"/>
                <w:szCs w:val="22"/>
                <w:lang w:val="en-US"/>
              </w:rPr>
              <w:t>Субвeнција за самозапошљавањe</w:t>
            </w:r>
          </w:p>
        </w:tc>
        <w:tc>
          <w:tcPr>
            <w:tcW w:w="97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3.834</w:t>
            </w:r>
          </w:p>
        </w:tc>
        <w:tc>
          <w:tcPr>
            <w:tcW w:w="865"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2.004</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831</w:t>
            </w:r>
          </w:p>
        </w:tc>
        <w:tc>
          <w:tcPr>
            <w:tcW w:w="756"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404</w:t>
            </w:r>
          </w:p>
        </w:tc>
        <w:tc>
          <w:tcPr>
            <w:tcW w:w="97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2.114</w:t>
            </w:r>
          </w:p>
        </w:tc>
        <w:tc>
          <w:tcPr>
            <w:tcW w:w="817"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1.129</w:t>
            </w:r>
          </w:p>
        </w:tc>
        <w:tc>
          <w:tcPr>
            <w:tcW w:w="97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1.099</w:t>
            </w:r>
          </w:p>
        </w:tc>
        <w:tc>
          <w:tcPr>
            <w:tcW w:w="756"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471</w:t>
            </w:r>
          </w:p>
        </w:tc>
      </w:tr>
      <w:tr w:rsidR="00176D3D" w:rsidRPr="00013BAF" w:rsidTr="00A30C3C">
        <w:trPr>
          <w:trHeight w:val="513"/>
        </w:trPr>
        <w:tc>
          <w:tcPr>
            <w:tcW w:w="3109" w:type="dxa"/>
            <w:tcBorders>
              <w:top w:val="nil"/>
              <w:left w:val="single" w:sz="8" w:space="0" w:color="auto"/>
              <w:bottom w:val="single" w:sz="4" w:space="0" w:color="auto"/>
              <w:right w:val="single" w:sz="8" w:space="0" w:color="auto"/>
            </w:tcBorders>
            <w:shd w:val="clear" w:color="auto" w:fill="auto"/>
            <w:noWrap/>
            <w:hideMark/>
          </w:tcPr>
          <w:p w:rsidR="00176D3D" w:rsidRPr="00EC2E2A" w:rsidRDefault="00176D3D" w:rsidP="00037272">
            <w:pPr>
              <w:rPr>
                <w:b/>
                <w:bCs/>
                <w:color w:val="000000"/>
                <w:sz w:val="22"/>
                <w:szCs w:val="22"/>
                <w:lang w:val="ru-RU"/>
              </w:rPr>
            </w:pPr>
            <w:r w:rsidRPr="00013BAF">
              <w:rPr>
                <w:b/>
                <w:bCs/>
                <w:color w:val="000000"/>
                <w:sz w:val="22"/>
                <w:szCs w:val="22"/>
                <w:lang w:val="sr-Cyrl-RS"/>
              </w:rPr>
              <w:t>С</w:t>
            </w:r>
            <w:r w:rsidRPr="00EC2E2A">
              <w:rPr>
                <w:b/>
                <w:bCs/>
                <w:color w:val="000000"/>
                <w:sz w:val="22"/>
                <w:szCs w:val="22"/>
                <w:lang w:val="ru-RU"/>
              </w:rPr>
              <w:t>убв</w:t>
            </w:r>
            <w:r w:rsidRPr="00013BAF">
              <w:rPr>
                <w:b/>
                <w:bCs/>
                <w:color w:val="000000"/>
                <w:sz w:val="22"/>
                <w:szCs w:val="22"/>
                <w:lang w:val="en-US"/>
              </w:rPr>
              <w:t>e</w:t>
            </w:r>
            <w:r w:rsidRPr="00EC2E2A">
              <w:rPr>
                <w:b/>
                <w:bCs/>
                <w:color w:val="000000"/>
                <w:sz w:val="22"/>
                <w:szCs w:val="22"/>
                <w:lang w:val="ru-RU"/>
              </w:rPr>
              <w:t>нција зарад</w:t>
            </w:r>
            <w:r w:rsidRPr="00013BAF">
              <w:rPr>
                <w:b/>
                <w:bCs/>
                <w:color w:val="000000"/>
                <w:sz w:val="22"/>
                <w:szCs w:val="22"/>
                <w:lang w:val="en-US"/>
              </w:rPr>
              <w:t>e</w:t>
            </w:r>
            <w:r w:rsidRPr="00EC2E2A">
              <w:rPr>
                <w:b/>
                <w:bCs/>
                <w:color w:val="000000"/>
                <w:sz w:val="22"/>
                <w:szCs w:val="22"/>
                <w:lang w:val="ru-RU"/>
              </w:rPr>
              <w:t xml:space="preserve"> за ОСИ б</w:t>
            </w:r>
            <w:r w:rsidRPr="00013BAF">
              <w:rPr>
                <w:b/>
                <w:bCs/>
                <w:color w:val="000000"/>
                <w:sz w:val="22"/>
                <w:szCs w:val="22"/>
                <w:lang w:val="en-US"/>
              </w:rPr>
              <w:t>e</w:t>
            </w:r>
            <w:r w:rsidRPr="00EC2E2A">
              <w:rPr>
                <w:b/>
                <w:bCs/>
                <w:color w:val="000000"/>
                <w:sz w:val="22"/>
                <w:szCs w:val="22"/>
                <w:lang w:val="ru-RU"/>
              </w:rPr>
              <w:t>з радног искуства</w:t>
            </w:r>
          </w:p>
        </w:tc>
        <w:tc>
          <w:tcPr>
            <w:tcW w:w="978"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396</w:t>
            </w:r>
          </w:p>
        </w:tc>
        <w:tc>
          <w:tcPr>
            <w:tcW w:w="865"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178</w:t>
            </w:r>
          </w:p>
        </w:tc>
        <w:tc>
          <w:tcPr>
            <w:tcW w:w="992"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94</w:t>
            </w:r>
          </w:p>
        </w:tc>
        <w:tc>
          <w:tcPr>
            <w:tcW w:w="756"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34</w:t>
            </w:r>
          </w:p>
        </w:tc>
        <w:tc>
          <w:tcPr>
            <w:tcW w:w="978"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163</w:t>
            </w:r>
          </w:p>
        </w:tc>
        <w:tc>
          <w:tcPr>
            <w:tcW w:w="817"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78</w:t>
            </w:r>
          </w:p>
        </w:tc>
        <w:tc>
          <w:tcPr>
            <w:tcW w:w="978"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139</w:t>
            </w:r>
          </w:p>
        </w:tc>
        <w:tc>
          <w:tcPr>
            <w:tcW w:w="756" w:type="dxa"/>
            <w:tcBorders>
              <w:top w:val="nil"/>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66</w:t>
            </w:r>
          </w:p>
        </w:tc>
      </w:tr>
      <w:tr w:rsidR="00176D3D" w:rsidRPr="00013BAF" w:rsidTr="00A30C3C">
        <w:trPr>
          <w:trHeight w:val="1001"/>
        </w:trPr>
        <w:tc>
          <w:tcPr>
            <w:tcW w:w="3109" w:type="dxa"/>
            <w:tcBorders>
              <w:top w:val="single" w:sz="4" w:space="0" w:color="auto"/>
              <w:left w:val="single" w:sz="4" w:space="0" w:color="auto"/>
              <w:bottom w:val="single" w:sz="8" w:space="0" w:color="auto"/>
              <w:right w:val="single" w:sz="8" w:space="0" w:color="auto"/>
            </w:tcBorders>
            <w:shd w:val="clear" w:color="auto" w:fill="auto"/>
            <w:noWrap/>
            <w:hideMark/>
          </w:tcPr>
          <w:p w:rsidR="00176D3D" w:rsidRPr="00EC2E2A" w:rsidRDefault="00176D3D" w:rsidP="00037272">
            <w:pPr>
              <w:rPr>
                <w:b/>
                <w:bCs/>
                <w:color w:val="000000"/>
                <w:sz w:val="22"/>
                <w:szCs w:val="22"/>
                <w:lang w:val="ru-RU"/>
              </w:rPr>
            </w:pPr>
            <w:r w:rsidRPr="00EC2E2A">
              <w:rPr>
                <w:b/>
                <w:bCs/>
                <w:color w:val="000000"/>
                <w:sz w:val="22"/>
                <w:szCs w:val="22"/>
                <w:lang w:val="ru-RU"/>
              </w:rPr>
              <w:t>Р</w:t>
            </w:r>
            <w:r w:rsidRPr="00013BAF">
              <w:rPr>
                <w:b/>
                <w:bCs/>
                <w:color w:val="000000"/>
                <w:sz w:val="22"/>
                <w:szCs w:val="22"/>
                <w:lang w:val="en-US"/>
              </w:rPr>
              <w:t>e</w:t>
            </w:r>
            <w:r w:rsidRPr="00EC2E2A">
              <w:rPr>
                <w:b/>
                <w:bCs/>
                <w:color w:val="000000"/>
                <w:sz w:val="22"/>
                <w:szCs w:val="22"/>
                <w:lang w:val="ru-RU"/>
              </w:rPr>
              <w:t>фундација трошкова подршк</w:t>
            </w:r>
            <w:r w:rsidRPr="00013BAF">
              <w:rPr>
                <w:b/>
                <w:bCs/>
                <w:color w:val="000000"/>
                <w:sz w:val="22"/>
                <w:szCs w:val="22"/>
                <w:lang w:val="en-US"/>
              </w:rPr>
              <w:t>e</w:t>
            </w:r>
            <w:r w:rsidRPr="00EC2E2A">
              <w:rPr>
                <w:b/>
                <w:bCs/>
                <w:color w:val="000000"/>
                <w:sz w:val="22"/>
                <w:szCs w:val="22"/>
                <w:lang w:val="ru-RU"/>
              </w:rPr>
              <w:t xml:space="preserve"> ОСИ кој</w:t>
            </w:r>
            <w:r w:rsidRPr="00013BAF">
              <w:rPr>
                <w:b/>
                <w:bCs/>
                <w:color w:val="000000"/>
                <w:sz w:val="22"/>
                <w:szCs w:val="22"/>
                <w:lang w:val="en-US"/>
              </w:rPr>
              <w:t>e</w:t>
            </w:r>
            <w:r w:rsidRPr="00EC2E2A">
              <w:rPr>
                <w:b/>
                <w:bCs/>
                <w:color w:val="000000"/>
                <w:sz w:val="22"/>
                <w:szCs w:val="22"/>
                <w:lang w:val="ru-RU"/>
              </w:rPr>
              <w:t xml:space="preserve"> с</w:t>
            </w:r>
            <w:r w:rsidRPr="00013BAF">
              <w:rPr>
                <w:b/>
                <w:bCs/>
                <w:color w:val="000000"/>
                <w:sz w:val="22"/>
                <w:szCs w:val="22"/>
                <w:lang w:val="en-US"/>
              </w:rPr>
              <w:t>e</w:t>
            </w:r>
            <w:r w:rsidRPr="00EC2E2A">
              <w:rPr>
                <w:b/>
                <w:bCs/>
                <w:color w:val="000000"/>
                <w:sz w:val="22"/>
                <w:szCs w:val="22"/>
                <w:lang w:val="ru-RU"/>
              </w:rPr>
              <w:t xml:space="preserve"> запошљавају под пос</w:t>
            </w:r>
            <w:r w:rsidRPr="00013BAF">
              <w:rPr>
                <w:b/>
                <w:bCs/>
                <w:color w:val="000000"/>
                <w:sz w:val="22"/>
                <w:szCs w:val="22"/>
                <w:lang w:val="en-US"/>
              </w:rPr>
              <w:t>e</w:t>
            </w:r>
            <w:r w:rsidRPr="00EC2E2A">
              <w:rPr>
                <w:b/>
                <w:bCs/>
                <w:color w:val="000000"/>
                <w:sz w:val="22"/>
                <w:szCs w:val="22"/>
                <w:lang w:val="ru-RU"/>
              </w:rPr>
              <w:t>бним условима</w:t>
            </w:r>
          </w:p>
        </w:tc>
        <w:tc>
          <w:tcPr>
            <w:tcW w:w="978"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33</w:t>
            </w:r>
          </w:p>
        </w:tc>
        <w:tc>
          <w:tcPr>
            <w:tcW w:w="865"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17</w:t>
            </w:r>
          </w:p>
        </w:tc>
        <w:tc>
          <w:tcPr>
            <w:tcW w:w="992"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w:t>
            </w:r>
          </w:p>
        </w:tc>
        <w:tc>
          <w:tcPr>
            <w:tcW w:w="756"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w:t>
            </w:r>
          </w:p>
        </w:tc>
        <w:tc>
          <w:tcPr>
            <w:tcW w:w="978"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17</w:t>
            </w:r>
          </w:p>
        </w:tc>
        <w:tc>
          <w:tcPr>
            <w:tcW w:w="817"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10</w:t>
            </w:r>
          </w:p>
        </w:tc>
        <w:tc>
          <w:tcPr>
            <w:tcW w:w="978" w:type="dxa"/>
            <w:tcBorders>
              <w:top w:val="single" w:sz="4"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w:t>
            </w:r>
          </w:p>
        </w:tc>
        <w:tc>
          <w:tcPr>
            <w:tcW w:w="756" w:type="dxa"/>
            <w:tcBorders>
              <w:top w:val="single" w:sz="4" w:space="0" w:color="auto"/>
              <w:left w:val="nil"/>
              <w:bottom w:val="single" w:sz="8" w:space="0" w:color="auto"/>
              <w:right w:val="single" w:sz="4"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w:t>
            </w:r>
          </w:p>
        </w:tc>
      </w:tr>
      <w:tr w:rsidR="00176D3D" w:rsidRPr="00013BAF" w:rsidTr="00B458D9">
        <w:trPr>
          <w:trHeight w:val="440"/>
        </w:trPr>
        <w:tc>
          <w:tcPr>
            <w:tcW w:w="3109" w:type="dxa"/>
            <w:tcBorders>
              <w:top w:val="single" w:sz="8" w:space="0" w:color="auto"/>
              <w:left w:val="single" w:sz="4" w:space="0" w:color="auto"/>
              <w:bottom w:val="single" w:sz="8" w:space="0" w:color="auto"/>
              <w:right w:val="single" w:sz="8" w:space="0" w:color="auto"/>
            </w:tcBorders>
            <w:shd w:val="clear" w:color="auto" w:fill="auto"/>
            <w:noWrap/>
            <w:hideMark/>
          </w:tcPr>
          <w:p w:rsidR="00176D3D" w:rsidRPr="00EC2E2A" w:rsidRDefault="00176D3D" w:rsidP="00B458D9">
            <w:pPr>
              <w:rPr>
                <w:b/>
                <w:bCs/>
                <w:color w:val="000000"/>
                <w:sz w:val="22"/>
                <w:szCs w:val="22"/>
                <w:lang w:val="ru-RU"/>
              </w:rPr>
            </w:pPr>
            <w:r w:rsidRPr="00EC2E2A">
              <w:rPr>
                <w:b/>
                <w:bCs/>
                <w:color w:val="000000"/>
                <w:sz w:val="22"/>
                <w:szCs w:val="22"/>
                <w:lang w:val="ru-RU"/>
              </w:rPr>
              <w:t>Субв</w:t>
            </w:r>
            <w:r w:rsidRPr="00013BAF">
              <w:rPr>
                <w:b/>
                <w:bCs/>
                <w:color w:val="000000"/>
                <w:sz w:val="22"/>
                <w:szCs w:val="22"/>
                <w:lang w:val="en-US"/>
              </w:rPr>
              <w:t>e</w:t>
            </w:r>
            <w:r w:rsidRPr="00EC2E2A">
              <w:rPr>
                <w:b/>
                <w:bCs/>
                <w:color w:val="000000"/>
                <w:sz w:val="22"/>
                <w:szCs w:val="22"/>
                <w:lang w:val="ru-RU"/>
              </w:rPr>
              <w:t xml:space="preserve">нција за </w:t>
            </w:r>
            <w:r w:rsidR="00B458D9">
              <w:rPr>
                <w:b/>
                <w:bCs/>
                <w:color w:val="000000"/>
                <w:sz w:val="22"/>
                <w:szCs w:val="22"/>
                <w:lang w:val="sr-Cyrl-RS"/>
              </w:rPr>
              <w:t>с</w:t>
            </w:r>
            <w:r w:rsidRPr="00EC2E2A">
              <w:rPr>
                <w:b/>
                <w:bCs/>
                <w:color w:val="000000"/>
                <w:sz w:val="22"/>
                <w:szCs w:val="22"/>
                <w:lang w:val="ru-RU"/>
              </w:rPr>
              <w:t>амозапош</w:t>
            </w:r>
            <w:r w:rsidR="00B458D9">
              <w:rPr>
                <w:b/>
                <w:bCs/>
                <w:color w:val="000000"/>
                <w:sz w:val="22"/>
                <w:szCs w:val="22"/>
                <w:lang w:val="sr-Cyrl-RS"/>
              </w:rPr>
              <w:t>-</w:t>
            </w:r>
            <w:r w:rsidRPr="00EC2E2A">
              <w:rPr>
                <w:b/>
                <w:bCs/>
                <w:color w:val="000000"/>
                <w:sz w:val="22"/>
                <w:szCs w:val="22"/>
                <w:lang w:val="ru-RU"/>
              </w:rPr>
              <w:t>љавањ</w:t>
            </w:r>
            <w:r w:rsidRPr="00013BAF">
              <w:rPr>
                <w:b/>
                <w:bCs/>
                <w:color w:val="000000"/>
                <w:sz w:val="22"/>
                <w:szCs w:val="22"/>
                <w:lang w:val="en-US"/>
              </w:rPr>
              <w:t>e</w:t>
            </w:r>
            <w:r w:rsidRPr="00EC2E2A">
              <w:rPr>
                <w:b/>
                <w:bCs/>
                <w:color w:val="000000"/>
                <w:sz w:val="22"/>
                <w:szCs w:val="22"/>
                <w:lang w:val="ru-RU"/>
              </w:rPr>
              <w:t xml:space="preserve"> - ИПА 2013</w:t>
            </w:r>
          </w:p>
        </w:tc>
        <w:tc>
          <w:tcPr>
            <w:tcW w:w="978"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746</w:t>
            </w:r>
          </w:p>
        </w:tc>
        <w:tc>
          <w:tcPr>
            <w:tcW w:w="865"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293</w:t>
            </w:r>
          </w:p>
        </w:tc>
        <w:tc>
          <w:tcPr>
            <w:tcW w:w="992"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515</w:t>
            </w:r>
          </w:p>
        </w:tc>
        <w:tc>
          <w:tcPr>
            <w:tcW w:w="756"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198</w:t>
            </w:r>
          </w:p>
        </w:tc>
        <w:tc>
          <w:tcPr>
            <w:tcW w:w="978"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158</w:t>
            </w:r>
          </w:p>
        </w:tc>
        <w:tc>
          <w:tcPr>
            <w:tcW w:w="817"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70</w:t>
            </w:r>
          </w:p>
        </w:tc>
        <w:tc>
          <w:tcPr>
            <w:tcW w:w="978" w:type="dxa"/>
            <w:tcBorders>
              <w:top w:val="single" w:sz="8" w:space="0" w:color="auto"/>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79</w:t>
            </w:r>
          </w:p>
        </w:tc>
        <w:tc>
          <w:tcPr>
            <w:tcW w:w="756" w:type="dxa"/>
            <w:tcBorders>
              <w:top w:val="single" w:sz="8" w:space="0" w:color="auto"/>
              <w:left w:val="nil"/>
              <w:bottom w:val="single" w:sz="8" w:space="0" w:color="auto"/>
              <w:right w:val="single" w:sz="4"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25</w:t>
            </w:r>
          </w:p>
        </w:tc>
      </w:tr>
      <w:tr w:rsidR="00176D3D" w:rsidRPr="00013BAF" w:rsidTr="00A30C3C">
        <w:trPr>
          <w:trHeight w:val="750"/>
        </w:trPr>
        <w:tc>
          <w:tcPr>
            <w:tcW w:w="3109" w:type="dxa"/>
            <w:tcBorders>
              <w:top w:val="single" w:sz="8" w:space="0" w:color="auto"/>
              <w:left w:val="single" w:sz="4" w:space="0" w:color="auto"/>
              <w:bottom w:val="single" w:sz="4" w:space="0" w:color="auto"/>
              <w:right w:val="single" w:sz="8" w:space="0" w:color="auto"/>
            </w:tcBorders>
            <w:shd w:val="clear" w:color="auto" w:fill="auto"/>
            <w:noWrap/>
            <w:hideMark/>
          </w:tcPr>
          <w:p w:rsidR="00176D3D" w:rsidRPr="00EC2E2A" w:rsidRDefault="00176D3D" w:rsidP="00BE6404">
            <w:pPr>
              <w:jc w:val="both"/>
              <w:rPr>
                <w:b/>
                <w:bCs/>
                <w:color w:val="000000"/>
                <w:sz w:val="22"/>
                <w:szCs w:val="22"/>
                <w:lang w:val="ru-RU"/>
              </w:rPr>
            </w:pPr>
            <w:r w:rsidRPr="00EC2E2A">
              <w:rPr>
                <w:b/>
                <w:bCs/>
                <w:color w:val="000000"/>
                <w:sz w:val="22"/>
                <w:szCs w:val="22"/>
                <w:lang w:val="ru-RU"/>
              </w:rPr>
              <w:t>Субв</w:t>
            </w:r>
            <w:r w:rsidRPr="00013BAF">
              <w:rPr>
                <w:b/>
                <w:bCs/>
                <w:color w:val="000000"/>
                <w:sz w:val="22"/>
                <w:szCs w:val="22"/>
                <w:lang w:val="en-US"/>
              </w:rPr>
              <w:t>e</w:t>
            </w:r>
            <w:r w:rsidRPr="00EC2E2A">
              <w:rPr>
                <w:b/>
                <w:bCs/>
                <w:color w:val="000000"/>
                <w:sz w:val="22"/>
                <w:szCs w:val="22"/>
                <w:lang w:val="ru-RU"/>
              </w:rPr>
              <w:t>нција за запошљавањ</w:t>
            </w:r>
            <w:r w:rsidRPr="00013BAF">
              <w:rPr>
                <w:b/>
                <w:bCs/>
                <w:color w:val="000000"/>
                <w:sz w:val="22"/>
                <w:szCs w:val="22"/>
                <w:lang w:val="en-US"/>
              </w:rPr>
              <w:t>e</w:t>
            </w:r>
            <w:r w:rsidRPr="00EC2E2A">
              <w:rPr>
                <w:b/>
                <w:bCs/>
                <w:color w:val="000000"/>
                <w:sz w:val="22"/>
                <w:szCs w:val="22"/>
                <w:lang w:val="ru-RU"/>
              </w:rPr>
              <w:t xml:space="preserve"> н</w:t>
            </w:r>
            <w:r w:rsidRPr="00013BAF">
              <w:rPr>
                <w:b/>
                <w:bCs/>
                <w:color w:val="000000"/>
                <w:sz w:val="22"/>
                <w:szCs w:val="22"/>
                <w:lang w:val="en-US"/>
              </w:rPr>
              <w:t>e</w:t>
            </w:r>
            <w:r w:rsidRPr="00EC2E2A">
              <w:rPr>
                <w:b/>
                <w:bCs/>
                <w:color w:val="000000"/>
                <w:sz w:val="22"/>
                <w:szCs w:val="22"/>
                <w:lang w:val="ru-RU"/>
              </w:rPr>
              <w:t>запосл</w:t>
            </w:r>
            <w:r w:rsidRPr="00013BAF">
              <w:rPr>
                <w:b/>
                <w:bCs/>
                <w:color w:val="000000"/>
                <w:sz w:val="22"/>
                <w:szCs w:val="22"/>
                <w:lang w:val="en-US"/>
              </w:rPr>
              <w:t>e</w:t>
            </w:r>
            <w:r w:rsidRPr="00EC2E2A">
              <w:rPr>
                <w:b/>
                <w:bCs/>
                <w:color w:val="000000"/>
                <w:sz w:val="22"/>
                <w:szCs w:val="22"/>
                <w:lang w:val="ru-RU"/>
              </w:rPr>
              <w:t>них лица из кат</w:t>
            </w:r>
            <w:r w:rsidRPr="00013BAF">
              <w:rPr>
                <w:b/>
                <w:bCs/>
                <w:color w:val="000000"/>
                <w:sz w:val="22"/>
                <w:szCs w:val="22"/>
                <w:lang w:val="en-US"/>
              </w:rPr>
              <w:t>e</w:t>
            </w:r>
            <w:r w:rsidRPr="00EC2E2A">
              <w:rPr>
                <w:b/>
                <w:bCs/>
                <w:color w:val="000000"/>
                <w:sz w:val="22"/>
                <w:szCs w:val="22"/>
                <w:lang w:val="ru-RU"/>
              </w:rPr>
              <w:t>гориј</w:t>
            </w:r>
            <w:r w:rsidRPr="00013BAF">
              <w:rPr>
                <w:b/>
                <w:bCs/>
                <w:color w:val="000000"/>
                <w:sz w:val="22"/>
                <w:szCs w:val="22"/>
                <w:lang w:val="en-US"/>
              </w:rPr>
              <w:t>e</w:t>
            </w:r>
            <w:r w:rsidRPr="00EC2E2A">
              <w:rPr>
                <w:b/>
                <w:bCs/>
                <w:color w:val="000000"/>
                <w:sz w:val="22"/>
                <w:szCs w:val="22"/>
                <w:lang w:val="ru-RU"/>
              </w:rPr>
              <w:t xml:space="preserve"> т</w:t>
            </w:r>
            <w:r w:rsidRPr="00013BAF">
              <w:rPr>
                <w:b/>
                <w:bCs/>
                <w:color w:val="000000"/>
                <w:sz w:val="22"/>
                <w:szCs w:val="22"/>
                <w:lang w:val="en-US"/>
              </w:rPr>
              <w:t>e</w:t>
            </w:r>
            <w:r w:rsidRPr="00EC2E2A">
              <w:rPr>
                <w:b/>
                <w:bCs/>
                <w:color w:val="000000"/>
                <w:sz w:val="22"/>
                <w:szCs w:val="22"/>
                <w:lang w:val="ru-RU"/>
              </w:rPr>
              <w:t>ж</w:t>
            </w:r>
            <w:r w:rsidRPr="00013BAF">
              <w:rPr>
                <w:b/>
                <w:bCs/>
                <w:color w:val="000000"/>
                <w:sz w:val="22"/>
                <w:szCs w:val="22"/>
                <w:lang w:val="en-US"/>
              </w:rPr>
              <w:t>e</w:t>
            </w:r>
            <w:r w:rsidRPr="00EC2E2A">
              <w:rPr>
                <w:b/>
                <w:bCs/>
                <w:color w:val="000000"/>
                <w:sz w:val="22"/>
                <w:szCs w:val="22"/>
                <w:lang w:val="ru-RU"/>
              </w:rPr>
              <w:t xml:space="preserve"> запошљивих на новоотвор</w:t>
            </w:r>
            <w:r w:rsidRPr="00013BAF">
              <w:rPr>
                <w:b/>
                <w:bCs/>
                <w:color w:val="000000"/>
                <w:sz w:val="22"/>
                <w:szCs w:val="22"/>
                <w:lang w:val="en-US"/>
              </w:rPr>
              <w:t>e</w:t>
            </w:r>
            <w:r w:rsidRPr="00EC2E2A">
              <w:rPr>
                <w:b/>
                <w:bCs/>
                <w:color w:val="000000"/>
                <w:sz w:val="22"/>
                <w:szCs w:val="22"/>
                <w:lang w:val="ru-RU"/>
              </w:rPr>
              <w:t>ним радним м</w:t>
            </w:r>
            <w:r w:rsidRPr="00013BAF">
              <w:rPr>
                <w:b/>
                <w:bCs/>
                <w:color w:val="000000"/>
                <w:sz w:val="22"/>
                <w:szCs w:val="22"/>
                <w:lang w:val="en-US"/>
              </w:rPr>
              <w:t>e</w:t>
            </w:r>
            <w:r w:rsidRPr="00EC2E2A">
              <w:rPr>
                <w:b/>
                <w:bCs/>
                <w:color w:val="000000"/>
                <w:sz w:val="22"/>
                <w:szCs w:val="22"/>
                <w:lang w:val="ru-RU"/>
              </w:rPr>
              <w:t>стима - ИПА 2013</w:t>
            </w:r>
          </w:p>
        </w:tc>
        <w:tc>
          <w:tcPr>
            <w:tcW w:w="978"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962</w:t>
            </w:r>
          </w:p>
        </w:tc>
        <w:tc>
          <w:tcPr>
            <w:tcW w:w="865"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544</w:t>
            </w:r>
          </w:p>
        </w:tc>
        <w:tc>
          <w:tcPr>
            <w:tcW w:w="992"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222</w:t>
            </w:r>
          </w:p>
        </w:tc>
        <w:tc>
          <w:tcPr>
            <w:tcW w:w="756"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129</w:t>
            </w:r>
          </w:p>
        </w:tc>
        <w:tc>
          <w:tcPr>
            <w:tcW w:w="978"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409</w:t>
            </w:r>
          </w:p>
        </w:tc>
        <w:tc>
          <w:tcPr>
            <w:tcW w:w="817"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263</w:t>
            </w:r>
          </w:p>
        </w:tc>
        <w:tc>
          <w:tcPr>
            <w:tcW w:w="978" w:type="dxa"/>
            <w:tcBorders>
              <w:top w:val="single" w:sz="8" w:space="0" w:color="auto"/>
              <w:left w:val="nil"/>
              <w:bottom w:val="single" w:sz="4"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333</w:t>
            </w:r>
          </w:p>
        </w:tc>
        <w:tc>
          <w:tcPr>
            <w:tcW w:w="756" w:type="dxa"/>
            <w:tcBorders>
              <w:top w:val="single" w:sz="8" w:space="0" w:color="auto"/>
              <w:left w:val="nil"/>
              <w:bottom w:val="single" w:sz="4" w:space="0" w:color="auto"/>
              <w:right w:val="single" w:sz="4"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152</w:t>
            </w:r>
          </w:p>
        </w:tc>
      </w:tr>
    </w:tbl>
    <w:p w:rsidR="0045470D" w:rsidRDefault="0045470D" w:rsidP="009A788C">
      <w:pPr>
        <w:pStyle w:val="BodyText2"/>
        <w:ind w:firstLine="720"/>
        <w:rPr>
          <w:color w:val="000000" w:themeColor="text1"/>
          <w:lang w:val="sr-Cyrl-RS"/>
        </w:rPr>
      </w:pPr>
    </w:p>
    <w:p w:rsidR="0045470D" w:rsidRPr="00784FC7" w:rsidRDefault="0045470D" w:rsidP="00784FC7">
      <w:pPr>
        <w:ind w:firstLine="710"/>
        <w:jc w:val="both"/>
        <w:rPr>
          <w:rFonts w:eastAsia="Calibri"/>
          <w:lang w:val="sr-Cyrl-CS"/>
        </w:rPr>
      </w:pPr>
      <w:r w:rsidRPr="005F274A">
        <w:rPr>
          <w:rFonts w:eastAsia="Calibri"/>
          <w:lang w:val="sr-Cyrl-CS"/>
        </w:rPr>
        <w:t xml:space="preserve">И поред чињенице да је </w:t>
      </w:r>
      <w:r w:rsidRPr="005F274A">
        <w:rPr>
          <w:rFonts w:eastAsia="Calibri"/>
          <w:i/>
          <w:lang w:val="sr-Cyrl-RS"/>
        </w:rPr>
        <w:t>Националном стратегијом запошљавања за период 2011-2020. године</w:t>
      </w:r>
      <w:r w:rsidRPr="005F274A">
        <w:rPr>
          <w:rFonts w:eastAsia="Calibri"/>
          <w:lang w:val="sr-Cyrl-CS"/>
        </w:rPr>
        <w:t xml:space="preserve"> утврђена неопходност континуираног повећања средстава за мере активне политике запошљавања, претходни период карактерисале су осцилације у висини расположивих средстава за мере активне политике запошљавања. </w:t>
      </w:r>
      <w:r w:rsidRPr="005F274A">
        <w:rPr>
          <w:lang w:val="sr-Cyrl-CS"/>
        </w:rPr>
        <w:t>Износ опредељених средстава за мере активне политике запошљавања, утицао је</w:t>
      </w:r>
      <w:r w:rsidR="00784FC7">
        <w:rPr>
          <w:lang w:val="sr-Cyrl-CS"/>
        </w:rPr>
        <w:t xml:space="preserve"> и</w:t>
      </w:r>
      <w:r w:rsidRPr="005F274A">
        <w:rPr>
          <w:lang w:val="sr-Cyrl-CS"/>
        </w:rPr>
        <w:t xml:space="preserve"> на реализацију предвиђених програма и мера активне политике запошљавања и на број лица укључених у</w:t>
      </w:r>
      <w:r w:rsidR="00784FC7">
        <w:rPr>
          <w:lang w:val="sr-Cyrl-CS"/>
        </w:rPr>
        <w:t xml:space="preserve"> те</w:t>
      </w:r>
      <w:r w:rsidRPr="005F274A">
        <w:rPr>
          <w:lang w:val="sr-Cyrl-CS"/>
        </w:rPr>
        <w:t xml:space="preserve"> мере. </w:t>
      </w:r>
      <w:r w:rsidR="00784FC7">
        <w:rPr>
          <w:rFonts w:eastAsia="Calibri"/>
          <w:lang w:val="sr-Cyrl-CS"/>
        </w:rPr>
        <w:t xml:space="preserve">Стога су </w:t>
      </w:r>
      <w:r w:rsidRPr="005F274A">
        <w:rPr>
          <w:rFonts w:eastAsia="Calibri"/>
          <w:lang w:val="sr-Cyrl-CS"/>
        </w:rPr>
        <w:t>2018. и 2019. години повећана средства за реализацију планираних програма и мера активне политике запошљавања, из средстава доприноса за обавезно осигурање за случај незапослености у</w:t>
      </w:r>
      <w:r w:rsidRPr="0045470D">
        <w:rPr>
          <w:rFonts w:eastAsia="Calibri"/>
          <w:lang w:val="sr-Cyrl-CS"/>
        </w:rPr>
        <w:t xml:space="preserve"> оквиру Финансијског плана НСЗ </w:t>
      </w:r>
      <w:r w:rsidRPr="005F274A">
        <w:rPr>
          <w:rFonts w:eastAsia="Calibri"/>
          <w:lang w:val="sr-Cyrl-CS"/>
        </w:rPr>
        <w:t>(директно додељена средства).</w:t>
      </w:r>
      <w:r w:rsidR="00784FC7">
        <w:rPr>
          <w:rFonts w:eastAsia="Calibri"/>
          <w:lang w:val="sr-Cyrl-CS"/>
        </w:rPr>
        <w:t xml:space="preserve"> </w:t>
      </w:r>
      <w:r>
        <w:rPr>
          <w:color w:val="000000" w:themeColor="text1"/>
          <w:lang w:val="sr-Cyrl-RS"/>
        </w:rPr>
        <w:t xml:space="preserve">У вези са наведеним, треба истаћи да је </w:t>
      </w:r>
      <w:r w:rsidRPr="00FD4D5D">
        <w:rPr>
          <w:color w:val="000000" w:themeColor="text1"/>
          <w:lang w:val="sr-Cyrl-RS"/>
        </w:rPr>
        <w:t>Н</w:t>
      </w:r>
      <w:r>
        <w:rPr>
          <w:color w:val="000000" w:themeColor="text1"/>
          <w:lang w:val="sr-Cyrl-RS"/>
        </w:rPr>
        <w:t>СЗ отпочела</w:t>
      </w:r>
      <w:r w:rsidRPr="00FD4D5D">
        <w:rPr>
          <w:color w:val="000000" w:themeColor="text1"/>
          <w:lang w:val="sr-Cyrl-RS"/>
        </w:rPr>
        <w:t xml:space="preserve"> са реализацијом пројекта „Подршка програму запошљавања НСЗ“- директног гранта додељеног из фонда EU – IPA 2013</w:t>
      </w:r>
      <w:r>
        <w:rPr>
          <w:color w:val="000000" w:themeColor="text1"/>
          <w:lang w:val="sr-Cyrl-RS"/>
        </w:rPr>
        <w:t xml:space="preserve">, објавом јавних позива 11. априла </w:t>
      </w:r>
      <w:r w:rsidRPr="00FD4D5D">
        <w:rPr>
          <w:color w:val="000000" w:themeColor="text1"/>
          <w:lang w:val="sr-Cyrl-RS"/>
        </w:rPr>
        <w:t xml:space="preserve">2018. године за финансирање три активности: </w:t>
      </w:r>
      <w:r w:rsidR="00B935F1">
        <w:rPr>
          <w:color w:val="000000" w:themeColor="text1"/>
          <w:lang w:val="sr-Cyrl-RS"/>
        </w:rPr>
        <w:t xml:space="preserve">(1) </w:t>
      </w:r>
      <w:r w:rsidRPr="00FD4D5D">
        <w:rPr>
          <w:color w:val="000000" w:themeColor="text1"/>
          <w:lang w:val="sr-Cyrl-RS"/>
        </w:rPr>
        <w:t xml:space="preserve">обуке на захтев послодавца, </w:t>
      </w:r>
      <w:r w:rsidR="00B935F1">
        <w:rPr>
          <w:color w:val="000000" w:themeColor="text1"/>
          <w:lang w:val="sr-Cyrl-RS"/>
        </w:rPr>
        <w:t xml:space="preserve">(2) </w:t>
      </w:r>
      <w:r w:rsidRPr="00FD4D5D">
        <w:rPr>
          <w:color w:val="000000" w:themeColor="text1"/>
          <w:lang w:val="sr-Cyrl-RS"/>
        </w:rPr>
        <w:t xml:space="preserve">субвенције за отварање нових радних места и </w:t>
      </w:r>
      <w:r w:rsidR="00B935F1">
        <w:rPr>
          <w:color w:val="000000" w:themeColor="text1"/>
          <w:lang w:val="sr-Cyrl-RS"/>
        </w:rPr>
        <w:t xml:space="preserve">(3) </w:t>
      </w:r>
      <w:r w:rsidRPr="00FD4D5D">
        <w:rPr>
          <w:color w:val="000000" w:themeColor="text1"/>
          <w:lang w:val="sr-Cyrl-RS"/>
        </w:rPr>
        <w:t>субвенције за самозапошљавање</w:t>
      </w:r>
      <w:r>
        <w:rPr>
          <w:color w:val="000000" w:themeColor="text1"/>
          <w:lang w:val="sr-Cyrl-RS"/>
        </w:rPr>
        <w:t xml:space="preserve"> (Табела 5).</w:t>
      </w:r>
    </w:p>
    <w:p w:rsidR="0045470D" w:rsidRDefault="0045470D" w:rsidP="009A788C">
      <w:pPr>
        <w:pStyle w:val="BodyText2"/>
        <w:ind w:firstLine="720"/>
        <w:rPr>
          <w:color w:val="000000" w:themeColor="text1"/>
          <w:lang w:val="sr-Cyrl-RS"/>
        </w:rPr>
      </w:pPr>
    </w:p>
    <w:p w:rsidR="00F70BF5" w:rsidRDefault="00F70BF5" w:rsidP="00A30C3C">
      <w:pPr>
        <w:pStyle w:val="BodyText2"/>
        <w:spacing w:after="120"/>
        <w:jc w:val="center"/>
        <w:rPr>
          <w:b/>
          <w:color w:val="000000" w:themeColor="text1"/>
          <w:lang w:val="sr-Cyrl-RS"/>
        </w:rPr>
      </w:pPr>
    </w:p>
    <w:p w:rsidR="009A788C" w:rsidRDefault="009A788C" w:rsidP="00A30C3C">
      <w:pPr>
        <w:pStyle w:val="BodyText2"/>
        <w:spacing w:after="120"/>
        <w:jc w:val="center"/>
        <w:rPr>
          <w:b/>
          <w:color w:val="000000" w:themeColor="text1"/>
          <w:lang w:val="sr-Cyrl-RS"/>
        </w:rPr>
      </w:pPr>
      <w:r w:rsidRPr="009A788C">
        <w:rPr>
          <w:b/>
          <w:color w:val="000000" w:themeColor="text1"/>
          <w:lang w:val="sr-Cyrl-RS"/>
        </w:rPr>
        <w:lastRenderedPageBreak/>
        <w:t>Табела</w:t>
      </w:r>
      <w:r w:rsidR="00A06EEC">
        <w:rPr>
          <w:b/>
          <w:color w:val="000000" w:themeColor="text1"/>
          <w:lang w:val="sr-Cyrl-RS"/>
        </w:rPr>
        <w:t xml:space="preserve"> 5</w:t>
      </w:r>
      <w:r w:rsidRPr="009A788C">
        <w:rPr>
          <w:b/>
          <w:color w:val="000000" w:themeColor="text1"/>
          <w:lang w:val="sr-Cyrl-RS"/>
        </w:rPr>
        <w:t xml:space="preserve">: Лица укључена у мeрe активнe политикe запошљавања </w:t>
      </w:r>
      <w:r w:rsidR="005404C4" w:rsidRPr="009A788C">
        <w:rPr>
          <w:b/>
          <w:color w:val="000000" w:themeColor="text1"/>
          <w:lang w:val="sr-Cyrl-RS"/>
        </w:rPr>
        <w:t xml:space="preserve">у </w:t>
      </w:r>
      <w:r w:rsidR="005404C4">
        <w:rPr>
          <w:b/>
          <w:color w:val="000000" w:themeColor="text1"/>
          <w:lang w:val="sr-Latn-RS"/>
        </w:rPr>
        <w:t xml:space="preserve">2017. </w:t>
      </w:r>
      <w:r w:rsidR="005404C4">
        <w:rPr>
          <w:b/>
          <w:color w:val="000000" w:themeColor="text1"/>
          <w:lang w:val="sr-Cyrl-RS"/>
        </w:rPr>
        <w:t>години</w:t>
      </w:r>
      <w:r w:rsidR="005404C4">
        <w:rPr>
          <w:b/>
          <w:color w:val="000000" w:themeColor="text1"/>
          <w:lang w:val="sr-Latn-RS"/>
        </w:rPr>
        <w:t xml:space="preserve"> </w:t>
      </w:r>
      <w:r>
        <w:rPr>
          <w:b/>
          <w:color w:val="000000" w:themeColor="text1"/>
          <w:lang w:val="sr-Cyrl-RS"/>
        </w:rPr>
        <w:t xml:space="preserve">уз субвенције за запошљавање </w:t>
      </w:r>
      <w:r w:rsidRPr="009A788C">
        <w:rPr>
          <w:b/>
          <w:color w:val="000000" w:themeColor="text1"/>
          <w:lang w:val="sr-Cyrl-RS"/>
        </w:rPr>
        <w:t>теже запошљив</w:t>
      </w:r>
      <w:r>
        <w:rPr>
          <w:b/>
          <w:color w:val="000000" w:themeColor="text1"/>
          <w:lang w:val="sr-Cyrl-RS"/>
        </w:rPr>
        <w:t>их</w:t>
      </w:r>
      <w:r w:rsidRPr="009A788C">
        <w:rPr>
          <w:b/>
          <w:color w:val="000000" w:themeColor="text1"/>
          <w:lang w:val="sr-Cyrl-RS"/>
        </w:rPr>
        <w:t xml:space="preserve"> категориј</w:t>
      </w:r>
      <w:r>
        <w:rPr>
          <w:b/>
          <w:color w:val="000000" w:themeColor="text1"/>
          <w:lang w:val="sr-Cyrl-RS"/>
        </w:rPr>
        <w:t>а</w:t>
      </w:r>
      <w:r w:rsidRPr="009A788C">
        <w:rPr>
          <w:b/>
          <w:color w:val="000000" w:themeColor="text1"/>
          <w:lang w:val="sr-Cyrl-RS"/>
        </w:rPr>
        <w:t xml:space="preserve"> лица</w:t>
      </w:r>
    </w:p>
    <w:tbl>
      <w:tblPr>
        <w:tblW w:w="10206" w:type="dxa"/>
        <w:tblInd w:w="-10" w:type="dxa"/>
        <w:tblLayout w:type="fixed"/>
        <w:tblLook w:val="04A0" w:firstRow="1" w:lastRow="0" w:firstColumn="1" w:lastColumn="0" w:noHBand="0" w:noVBand="1"/>
      </w:tblPr>
      <w:tblGrid>
        <w:gridCol w:w="3261"/>
        <w:gridCol w:w="992"/>
        <w:gridCol w:w="709"/>
        <w:gridCol w:w="992"/>
        <w:gridCol w:w="850"/>
        <w:gridCol w:w="993"/>
        <w:gridCol w:w="708"/>
        <w:gridCol w:w="851"/>
        <w:gridCol w:w="850"/>
      </w:tblGrid>
      <w:tr w:rsidR="00176D3D" w:rsidRPr="006F3994" w:rsidTr="00B935F1">
        <w:trPr>
          <w:trHeight w:val="480"/>
        </w:trPr>
        <w:tc>
          <w:tcPr>
            <w:tcW w:w="3261" w:type="dxa"/>
            <w:tcBorders>
              <w:top w:val="single" w:sz="8" w:space="0" w:color="auto"/>
              <w:left w:val="single" w:sz="8" w:space="0" w:color="auto"/>
              <w:bottom w:val="nil"/>
              <w:right w:val="single" w:sz="8" w:space="0" w:color="auto"/>
            </w:tcBorders>
            <w:shd w:val="clear" w:color="auto" w:fill="00B0F0"/>
            <w:noWrap/>
            <w:vAlign w:val="bottom"/>
            <w:hideMark/>
          </w:tcPr>
          <w:p w:rsidR="00176D3D" w:rsidRPr="00EC2E2A" w:rsidRDefault="00176D3D" w:rsidP="009A788C">
            <w:pPr>
              <w:rPr>
                <w:color w:val="000000"/>
                <w:sz w:val="22"/>
                <w:szCs w:val="22"/>
                <w:lang w:val="ru-RU"/>
              </w:rPr>
            </w:pPr>
            <w:r>
              <w:rPr>
                <w:b/>
                <w:bCs/>
                <w:color w:val="000000"/>
                <w:sz w:val="22"/>
                <w:szCs w:val="22"/>
                <w:lang w:val="sr-Cyrl-RS"/>
              </w:rPr>
              <w:t xml:space="preserve">Табела 2: </w:t>
            </w:r>
            <w:r w:rsidRPr="00013BAF">
              <w:rPr>
                <w:b/>
                <w:bCs/>
                <w:color w:val="000000"/>
                <w:sz w:val="22"/>
                <w:szCs w:val="22"/>
                <w:lang w:val="sr-Cyrl-RS"/>
              </w:rPr>
              <w:t>Мере активне политике запошљавања</w:t>
            </w:r>
          </w:p>
        </w:tc>
        <w:tc>
          <w:tcPr>
            <w:tcW w:w="1701" w:type="dxa"/>
            <w:gridSpan w:val="2"/>
            <w:tcBorders>
              <w:top w:val="single" w:sz="8" w:space="0" w:color="auto"/>
              <w:left w:val="single" w:sz="8" w:space="0" w:color="auto"/>
              <w:bottom w:val="single" w:sz="8" w:space="0" w:color="auto"/>
              <w:right w:val="single" w:sz="8" w:space="0" w:color="auto"/>
            </w:tcBorders>
            <w:shd w:val="clear" w:color="auto" w:fill="00B0F0"/>
            <w:vAlign w:val="center"/>
            <w:hideMark/>
          </w:tcPr>
          <w:p w:rsidR="00176D3D" w:rsidRPr="00013BAF" w:rsidRDefault="00176D3D" w:rsidP="00037272">
            <w:pPr>
              <w:jc w:val="center"/>
              <w:rPr>
                <w:b/>
                <w:bCs/>
                <w:color w:val="000000"/>
                <w:sz w:val="22"/>
                <w:szCs w:val="22"/>
                <w:lang w:val="sr-Cyrl-RS"/>
              </w:rPr>
            </w:pPr>
            <w:r>
              <w:rPr>
                <w:b/>
                <w:bCs/>
                <w:color w:val="000000"/>
                <w:sz w:val="22"/>
                <w:szCs w:val="22"/>
                <w:lang w:val="sr-Cyrl-RS"/>
              </w:rPr>
              <w:t>Лица без стручних квалификација</w:t>
            </w:r>
          </w:p>
        </w:tc>
        <w:tc>
          <w:tcPr>
            <w:tcW w:w="1842" w:type="dxa"/>
            <w:gridSpan w:val="2"/>
            <w:tcBorders>
              <w:top w:val="single" w:sz="8" w:space="0" w:color="auto"/>
              <w:left w:val="single" w:sz="8" w:space="0" w:color="auto"/>
              <w:bottom w:val="single" w:sz="8" w:space="0" w:color="auto"/>
              <w:right w:val="single" w:sz="8" w:space="0" w:color="auto"/>
            </w:tcBorders>
            <w:shd w:val="clear" w:color="auto" w:fill="00B0F0"/>
            <w:vAlign w:val="center"/>
            <w:hideMark/>
          </w:tcPr>
          <w:p w:rsidR="00176D3D" w:rsidRPr="00013BAF" w:rsidRDefault="00176D3D" w:rsidP="00037272">
            <w:pPr>
              <w:jc w:val="center"/>
              <w:rPr>
                <w:b/>
                <w:bCs/>
                <w:color w:val="000000"/>
                <w:sz w:val="22"/>
                <w:szCs w:val="22"/>
                <w:lang w:val="sr-Cyrl-RS"/>
              </w:rPr>
            </w:pPr>
            <w:r>
              <w:rPr>
                <w:b/>
                <w:bCs/>
                <w:color w:val="000000"/>
                <w:sz w:val="22"/>
                <w:szCs w:val="22"/>
                <w:lang w:val="sr-Cyrl-RS"/>
              </w:rPr>
              <w:t>Лица са средњом стручном спремом</w:t>
            </w:r>
          </w:p>
        </w:tc>
        <w:tc>
          <w:tcPr>
            <w:tcW w:w="1701" w:type="dxa"/>
            <w:gridSpan w:val="2"/>
            <w:tcBorders>
              <w:top w:val="single" w:sz="8" w:space="0" w:color="auto"/>
              <w:left w:val="nil"/>
              <w:bottom w:val="single" w:sz="8" w:space="0" w:color="auto"/>
              <w:right w:val="single" w:sz="8" w:space="0" w:color="auto"/>
            </w:tcBorders>
            <w:shd w:val="clear" w:color="auto" w:fill="00B0F0"/>
            <w:vAlign w:val="center"/>
            <w:hideMark/>
          </w:tcPr>
          <w:p w:rsidR="00176D3D" w:rsidRPr="00013BAF" w:rsidRDefault="00176D3D" w:rsidP="00037272">
            <w:pPr>
              <w:jc w:val="center"/>
              <w:rPr>
                <w:b/>
                <w:bCs/>
                <w:color w:val="000000"/>
                <w:sz w:val="22"/>
                <w:szCs w:val="22"/>
                <w:lang w:val="sr-Cyrl-RS"/>
              </w:rPr>
            </w:pPr>
            <w:r>
              <w:rPr>
                <w:b/>
                <w:bCs/>
                <w:color w:val="000000"/>
                <w:sz w:val="22"/>
                <w:szCs w:val="22"/>
                <w:lang w:val="sr-Cyrl-RS"/>
              </w:rPr>
              <w:t>Лица са вишим или високим трогодишњим образовањем</w:t>
            </w:r>
          </w:p>
        </w:tc>
        <w:tc>
          <w:tcPr>
            <w:tcW w:w="1701" w:type="dxa"/>
            <w:gridSpan w:val="2"/>
            <w:tcBorders>
              <w:top w:val="single" w:sz="8" w:space="0" w:color="auto"/>
              <w:left w:val="nil"/>
              <w:bottom w:val="single" w:sz="8" w:space="0" w:color="auto"/>
              <w:right w:val="single" w:sz="8" w:space="0" w:color="auto"/>
            </w:tcBorders>
            <w:shd w:val="clear" w:color="auto" w:fill="00B0F0"/>
            <w:vAlign w:val="center"/>
            <w:hideMark/>
          </w:tcPr>
          <w:p w:rsidR="00176D3D" w:rsidRPr="00EC2E2A" w:rsidRDefault="00176D3D" w:rsidP="00037272">
            <w:pPr>
              <w:jc w:val="center"/>
              <w:rPr>
                <w:b/>
                <w:bCs/>
                <w:color w:val="000000"/>
                <w:sz w:val="22"/>
                <w:szCs w:val="22"/>
                <w:lang w:val="ru-RU"/>
              </w:rPr>
            </w:pPr>
            <w:r>
              <w:rPr>
                <w:b/>
                <w:bCs/>
                <w:color w:val="000000"/>
                <w:sz w:val="22"/>
                <w:szCs w:val="22"/>
                <w:lang w:val="sr-Cyrl-RS"/>
              </w:rPr>
              <w:t>Лица са</w:t>
            </w:r>
            <w:r w:rsidR="00B935F1">
              <w:rPr>
                <w:b/>
                <w:bCs/>
                <w:color w:val="000000"/>
                <w:sz w:val="22"/>
                <w:szCs w:val="22"/>
                <w:lang w:val="sr-Cyrl-RS"/>
              </w:rPr>
              <w:t xml:space="preserve"> намање високим четворогодишњим</w:t>
            </w:r>
            <w:r>
              <w:rPr>
                <w:b/>
                <w:bCs/>
                <w:color w:val="000000"/>
                <w:sz w:val="22"/>
                <w:szCs w:val="22"/>
                <w:lang w:val="sr-Cyrl-RS"/>
              </w:rPr>
              <w:t xml:space="preserve"> образовањем</w:t>
            </w:r>
          </w:p>
        </w:tc>
      </w:tr>
      <w:tr w:rsidR="00176D3D" w:rsidRPr="00013BAF" w:rsidTr="00B935F1">
        <w:trPr>
          <w:trHeight w:val="680"/>
        </w:trPr>
        <w:tc>
          <w:tcPr>
            <w:tcW w:w="3261" w:type="dxa"/>
            <w:vMerge w:val="restart"/>
            <w:tcBorders>
              <w:top w:val="nil"/>
              <w:left w:val="single" w:sz="8" w:space="0" w:color="auto"/>
              <w:bottom w:val="nil"/>
              <w:right w:val="single" w:sz="8" w:space="0" w:color="auto"/>
            </w:tcBorders>
            <w:shd w:val="clear" w:color="auto" w:fill="00B0F0"/>
            <w:noWrap/>
            <w:vAlign w:val="center"/>
            <w:hideMark/>
          </w:tcPr>
          <w:p w:rsidR="00176D3D" w:rsidRPr="00EC2E2A" w:rsidRDefault="00176D3D" w:rsidP="00037272">
            <w:pPr>
              <w:jc w:val="center"/>
              <w:rPr>
                <w:b/>
                <w:bCs/>
                <w:color w:val="000000"/>
                <w:sz w:val="22"/>
                <w:szCs w:val="22"/>
                <w:lang w:val="ru-RU"/>
              </w:rPr>
            </w:pPr>
          </w:p>
        </w:tc>
        <w:tc>
          <w:tcPr>
            <w:tcW w:w="1701"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A30C3C">
            <w:pPr>
              <w:jc w:val="center"/>
              <w:rPr>
                <w:b/>
                <w:bCs/>
                <w:color w:val="000000"/>
                <w:sz w:val="22"/>
                <w:szCs w:val="22"/>
                <w:lang w:val="en-US"/>
              </w:rPr>
            </w:pPr>
            <w:r w:rsidRPr="00013BAF">
              <w:rPr>
                <w:b/>
                <w:bCs/>
                <w:color w:val="000000"/>
                <w:sz w:val="22"/>
                <w:szCs w:val="22"/>
                <w:lang w:val="en-US"/>
              </w:rPr>
              <w:t>Број укључeних лица</w:t>
            </w:r>
          </w:p>
        </w:tc>
        <w:tc>
          <w:tcPr>
            <w:tcW w:w="1842"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A30C3C">
            <w:pPr>
              <w:jc w:val="center"/>
              <w:rPr>
                <w:b/>
                <w:bCs/>
                <w:color w:val="000000"/>
                <w:sz w:val="22"/>
                <w:szCs w:val="22"/>
                <w:lang w:val="en-US"/>
              </w:rPr>
            </w:pPr>
            <w:r w:rsidRPr="00013BAF">
              <w:rPr>
                <w:b/>
                <w:bCs/>
                <w:color w:val="000000"/>
                <w:sz w:val="22"/>
                <w:szCs w:val="22"/>
                <w:lang w:val="en-US"/>
              </w:rPr>
              <w:t>Број укључeних лица</w:t>
            </w:r>
          </w:p>
        </w:tc>
        <w:tc>
          <w:tcPr>
            <w:tcW w:w="1701"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A30C3C">
            <w:pPr>
              <w:jc w:val="center"/>
              <w:rPr>
                <w:b/>
                <w:bCs/>
                <w:color w:val="000000"/>
                <w:sz w:val="22"/>
                <w:szCs w:val="22"/>
                <w:lang w:val="en-US"/>
              </w:rPr>
            </w:pPr>
            <w:r w:rsidRPr="00013BAF">
              <w:rPr>
                <w:b/>
                <w:bCs/>
                <w:color w:val="000000"/>
                <w:sz w:val="22"/>
                <w:szCs w:val="22"/>
                <w:lang w:val="en-US"/>
              </w:rPr>
              <w:t>Број укључeних лица</w:t>
            </w:r>
          </w:p>
        </w:tc>
        <w:tc>
          <w:tcPr>
            <w:tcW w:w="1701" w:type="dxa"/>
            <w:gridSpan w:val="2"/>
            <w:tcBorders>
              <w:top w:val="single" w:sz="8" w:space="0" w:color="auto"/>
              <w:left w:val="nil"/>
              <w:bottom w:val="single" w:sz="8" w:space="0" w:color="auto"/>
              <w:right w:val="single" w:sz="8" w:space="0" w:color="auto"/>
            </w:tcBorders>
            <w:shd w:val="clear" w:color="auto" w:fill="00B0F0"/>
            <w:noWrap/>
            <w:vAlign w:val="center"/>
            <w:hideMark/>
          </w:tcPr>
          <w:p w:rsidR="00176D3D" w:rsidRPr="00013BAF" w:rsidRDefault="00176D3D" w:rsidP="00A30C3C">
            <w:pPr>
              <w:jc w:val="center"/>
              <w:rPr>
                <w:b/>
                <w:bCs/>
                <w:color w:val="000000"/>
                <w:sz w:val="22"/>
                <w:szCs w:val="22"/>
                <w:lang w:val="en-US"/>
              </w:rPr>
            </w:pPr>
            <w:r w:rsidRPr="00013BAF">
              <w:rPr>
                <w:b/>
                <w:bCs/>
                <w:color w:val="000000"/>
                <w:sz w:val="22"/>
                <w:szCs w:val="22"/>
                <w:lang w:val="en-US"/>
              </w:rPr>
              <w:t>Број укључeних лица</w:t>
            </w:r>
          </w:p>
        </w:tc>
      </w:tr>
      <w:tr w:rsidR="00176D3D" w:rsidRPr="00013BAF" w:rsidTr="00B935F1">
        <w:trPr>
          <w:trHeight w:val="368"/>
        </w:trPr>
        <w:tc>
          <w:tcPr>
            <w:tcW w:w="3261" w:type="dxa"/>
            <w:vMerge/>
            <w:tcBorders>
              <w:top w:val="nil"/>
              <w:left w:val="single" w:sz="8" w:space="0" w:color="auto"/>
              <w:bottom w:val="nil"/>
              <w:right w:val="single" w:sz="8" w:space="0" w:color="auto"/>
            </w:tcBorders>
            <w:shd w:val="clear" w:color="auto" w:fill="00B0F0"/>
            <w:vAlign w:val="center"/>
            <w:hideMark/>
          </w:tcPr>
          <w:p w:rsidR="00176D3D" w:rsidRPr="00013BAF" w:rsidRDefault="00176D3D" w:rsidP="00037272">
            <w:pPr>
              <w:rPr>
                <w:b/>
                <w:bCs/>
                <w:color w:val="000000"/>
                <w:sz w:val="22"/>
                <w:szCs w:val="22"/>
                <w:lang w:val="en-US"/>
              </w:rPr>
            </w:pPr>
          </w:p>
        </w:tc>
        <w:tc>
          <w:tcPr>
            <w:tcW w:w="992"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en-US"/>
              </w:rPr>
              <w:t>Укупно</w:t>
            </w:r>
          </w:p>
        </w:tc>
        <w:tc>
          <w:tcPr>
            <w:tcW w:w="709"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sr-Cyrl-RS"/>
              </w:rPr>
              <w:t>Жене</w:t>
            </w:r>
          </w:p>
        </w:tc>
        <w:tc>
          <w:tcPr>
            <w:tcW w:w="992"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en-US"/>
              </w:rPr>
              <w:t>Укупно</w:t>
            </w:r>
          </w:p>
        </w:tc>
        <w:tc>
          <w:tcPr>
            <w:tcW w:w="850"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sr-Cyrl-RS"/>
              </w:rPr>
              <w:t>Жене</w:t>
            </w:r>
          </w:p>
        </w:tc>
        <w:tc>
          <w:tcPr>
            <w:tcW w:w="993"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en-US"/>
              </w:rPr>
              <w:t>Укупно</w:t>
            </w:r>
          </w:p>
        </w:tc>
        <w:tc>
          <w:tcPr>
            <w:tcW w:w="70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sr-Cyrl-RS"/>
              </w:rPr>
              <w:t>Жене</w:t>
            </w:r>
          </w:p>
        </w:tc>
        <w:tc>
          <w:tcPr>
            <w:tcW w:w="851"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en-US"/>
              </w:rPr>
              <w:t>Укупно</w:t>
            </w:r>
          </w:p>
        </w:tc>
        <w:tc>
          <w:tcPr>
            <w:tcW w:w="850"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0"/>
                <w:szCs w:val="20"/>
                <w:lang w:val="en-US"/>
              </w:rPr>
            </w:pPr>
            <w:r w:rsidRPr="00013BAF">
              <w:rPr>
                <w:b/>
                <w:bCs/>
                <w:color w:val="000000"/>
                <w:sz w:val="20"/>
                <w:szCs w:val="20"/>
                <w:lang w:val="sr-Cyrl-RS"/>
              </w:rPr>
              <w:t>Жене</w:t>
            </w:r>
          </w:p>
        </w:tc>
      </w:tr>
      <w:tr w:rsidR="00176D3D" w:rsidRPr="00013BAF" w:rsidTr="00B935F1">
        <w:trPr>
          <w:trHeight w:val="270"/>
        </w:trPr>
        <w:tc>
          <w:tcPr>
            <w:tcW w:w="3261" w:type="dxa"/>
            <w:tcBorders>
              <w:top w:val="nil"/>
              <w:left w:val="single" w:sz="8" w:space="0" w:color="auto"/>
              <w:bottom w:val="single" w:sz="8" w:space="0" w:color="auto"/>
              <w:right w:val="single" w:sz="8" w:space="0" w:color="auto"/>
            </w:tcBorders>
            <w:shd w:val="clear" w:color="auto" w:fill="00B0F0"/>
            <w:noWrap/>
            <w:vAlign w:val="bottom"/>
            <w:hideMark/>
          </w:tcPr>
          <w:p w:rsidR="00176D3D" w:rsidRPr="00013BAF" w:rsidRDefault="00176D3D" w:rsidP="00037272">
            <w:pPr>
              <w:rPr>
                <w:color w:val="000000"/>
                <w:sz w:val="22"/>
                <w:szCs w:val="22"/>
                <w:lang w:val="en-US"/>
              </w:rPr>
            </w:pPr>
            <w:r w:rsidRPr="00013BAF">
              <w:rPr>
                <w:color w:val="000000"/>
                <w:sz w:val="22"/>
                <w:szCs w:val="22"/>
                <w:lang w:val="en-US"/>
              </w:rPr>
              <w:t> </w:t>
            </w:r>
          </w:p>
        </w:tc>
        <w:tc>
          <w:tcPr>
            <w:tcW w:w="992"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24</w:t>
            </w:r>
          </w:p>
        </w:tc>
        <w:tc>
          <w:tcPr>
            <w:tcW w:w="709"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25</w:t>
            </w:r>
          </w:p>
        </w:tc>
        <w:tc>
          <w:tcPr>
            <w:tcW w:w="992"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27</w:t>
            </w:r>
          </w:p>
        </w:tc>
        <w:tc>
          <w:tcPr>
            <w:tcW w:w="850"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28</w:t>
            </w:r>
          </w:p>
        </w:tc>
        <w:tc>
          <w:tcPr>
            <w:tcW w:w="993"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29</w:t>
            </w:r>
          </w:p>
        </w:tc>
        <w:tc>
          <w:tcPr>
            <w:tcW w:w="708"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30</w:t>
            </w:r>
          </w:p>
        </w:tc>
        <w:tc>
          <w:tcPr>
            <w:tcW w:w="851"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31</w:t>
            </w:r>
          </w:p>
        </w:tc>
        <w:tc>
          <w:tcPr>
            <w:tcW w:w="850" w:type="dxa"/>
            <w:tcBorders>
              <w:top w:val="nil"/>
              <w:left w:val="nil"/>
              <w:bottom w:val="single" w:sz="8" w:space="0" w:color="auto"/>
              <w:right w:val="single" w:sz="8" w:space="0" w:color="auto"/>
            </w:tcBorders>
            <w:shd w:val="clear" w:color="auto" w:fill="00B0F0"/>
            <w:noWrap/>
            <w:vAlign w:val="center"/>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32</w:t>
            </w:r>
          </w:p>
        </w:tc>
      </w:tr>
      <w:tr w:rsidR="00176D3D" w:rsidRPr="00013BAF" w:rsidTr="00B935F1">
        <w:trPr>
          <w:trHeight w:val="270"/>
        </w:trPr>
        <w:tc>
          <w:tcPr>
            <w:tcW w:w="3261" w:type="dxa"/>
            <w:tcBorders>
              <w:top w:val="nil"/>
              <w:left w:val="single" w:sz="8" w:space="0" w:color="auto"/>
              <w:bottom w:val="single" w:sz="8" w:space="0" w:color="auto"/>
              <w:right w:val="single" w:sz="8" w:space="0" w:color="auto"/>
            </w:tcBorders>
            <w:shd w:val="clear" w:color="auto" w:fill="auto"/>
            <w:noWrap/>
            <w:hideMark/>
          </w:tcPr>
          <w:p w:rsidR="00176D3D" w:rsidRPr="00793ECE" w:rsidRDefault="00176D3D" w:rsidP="00B935F1">
            <w:pPr>
              <w:rPr>
                <w:b/>
                <w:bCs/>
                <w:color w:val="000000"/>
                <w:sz w:val="22"/>
                <w:szCs w:val="22"/>
                <w:lang w:val="sr-Cyrl-RS"/>
              </w:rPr>
            </w:pPr>
            <w:r w:rsidRPr="00EC2E2A">
              <w:rPr>
                <w:b/>
                <w:bCs/>
                <w:color w:val="000000"/>
                <w:sz w:val="22"/>
                <w:szCs w:val="22"/>
                <w:lang w:val="ru-RU"/>
              </w:rPr>
              <w:t>Субв</w:t>
            </w:r>
            <w:r w:rsidRPr="00013BAF">
              <w:rPr>
                <w:b/>
                <w:bCs/>
                <w:color w:val="000000"/>
                <w:sz w:val="22"/>
                <w:szCs w:val="22"/>
                <w:lang w:val="en-US"/>
              </w:rPr>
              <w:t>e</w:t>
            </w:r>
            <w:r w:rsidRPr="00EC2E2A">
              <w:rPr>
                <w:b/>
                <w:bCs/>
                <w:color w:val="000000"/>
                <w:sz w:val="22"/>
                <w:szCs w:val="22"/>
                <w:lang w:val="ru-RU"/>
              </w:rPr>
              <w:t>нција за запошљавањ</w:t>
            </w:r>
            <w:r w:rsidRPr="00013BAF">
              <w:rPr>
                <w:b/>
                <w:bCs/>
                <w:color w:val="000000"/>
                <w:sz w:val="22"/>
                <w:szCs w:val="22"/>
                <w:lang w:val="en-US"/>
              </w:rPr>
              <w:t>e</w:t>
            </w:r>
            <w:r w:rsidRPr="00EC2E2A">
              <w:rPr>
                <w:b/>
                <w:bCs/>
                <w:color w:val="000000"/>
                <w:sz w:val="22"/>
                <w:szCs w:val="22"/>
                <w:lang w:val="ru-RU"/>
              </w:rPr>
              <w:t xml:space="preserve"> н</w:t>
            </w:r>
            <w:r w:rsidRPr="00013BAF">
              <w:rPr>
                <w:b/>
                <w:bCs/>
                <w:color w:val="000000"/>
                <w:sz w:val="22"/>
                <w:szCs w:val="22"/>
                <w:lang w:val="en-US"/>
              </w:rPr>
              <w:t>e</w:t>
            </w:r>
            <w:r w:rsidRPr="00EC2E2A">
              <w:rPr>
                <w:b/>
                <w:bCs/>
                <w:color w:val="000000"/>
                <w:sz w:val="22"/>
                <w:szCs w:val="22"/>
                <w:lang w:val="ru-RU"/>
              </w:rPr>
              <w:t>запосл</w:t>
            </w:r>
            <w:r w:rsidRPr="00013BAF">
              <w:rPr>
                <w:b/>
                <w:bCs/>
                <w:color w:val="000000"/>
                <w:sz w:val="22"/>
                <w:szCs w:val="22"/>
                <w:lang w:val="en-US"/>
              </w:rPr>
              <w:t>e</w:t>
            </w:r>
            <w:r w:rsidRPr="00EC2E2A">
              <w:rPr>
                <w:b/>
                <w:bCs/>
                <w:color w:val="000000"/>
                <w:sz w:val="22"/>
                <w:szCs w:val="22"/>
                <w:lang w:val="ru-RU"/>
              </w:rPr>
              <w:t>них лица из кат</w:t>
            </w:r>
            <w:r w:rsidRPr="00013BAF">
              <w:rPr>
                <w:b/>
                <w:bCs/>
                <w:color w:val="000000"/>
                <w:sz w:val="22"/>
                <w:szCs w:val="22"/>
                <w:lang w:val="en-US"/>
              </w:rPr>
              <w:t>e</w:t>
            </w:r>
            <w:r w:rsidRPr="00EC2E2A">
              <w:rPr>
                <w:b/>
                <w:bCs/>
                <w:color w:val="000000"/>
                <w:sz w:val="22"/>
                <w:szCs w:val="22"/>
                <w:lang w:val="ru-RU"/>
              </w:rPr>
              <w:t>г</w:t>
            </w:r>
            <w:r w:rsidR="00B935F1">
              <w:rPr>
                <w:b/>
                <w:bCs/>
                <w:color w:val="000000"/>
                <w:sz w:val="22"/>
                <w:szCs w:val="22"/>
                <w:lang w:val="ru-RU"/>
              </w:rPr>
              <w:t>.</w:t>
            </w:r>
            <w:r w:rsidRPr="00EC2E2A">
              <w:rPr>
                <w:b/>
                <w:bCs/>
                <w:color w:val="000000"/>
                <w:sz w:val="22"/>
                <w:szCs w:val="22"/>
                <w:lang w:val="ru-RU"/>
              </w:rPr>
              <w:t xml:space="preserve"> т</w:t>
            </w:r>
            <w:r w:rsidRPr="00013BAF">
              <w:rPr>
                <w:b/>
                <w:bCs/>
                <w:color w:val="000000"/>
                <w:sz w:val="22"/>
                <w:szCs w:val="22"/>
                <w:lang w:val="en-US"/>
              </w:rPr>
              <w:t>e</w:t>
            </w:r>
            <w:r w:rsidRPr="00EC2E2A">
              <w:rPr>
                <w:b/>
                <w:bCs/>
                <w:color w:val="000000"/>
                <w:sz w:val="22"/>
                <w:szCs w:val="22"/>
                <w:lang w:val="ru-RU"/>
              </w:rPr>
              <w:t>ж</w:t>
            </w:r>
            <w:r w:rsidRPr="00013BAF">
              <w:rPr>
                <w:b/>
                <w:bCs/>
                <w:color w:val="000000"/>
                <w:sz w:val="22"/>
                <w:szCs w:val="22"/>
                <w:lang w:val="en-US"/>
              </w:rPr>
              <w:t>e</w:t>
            </w:r>
            <w:r w:rsidRPr="00EC2E2A">
              <w:rPr>
                <w:b/>
                <w:bCs/>
                <w:color w:val="000000"/>
                <w:sz w:val="22"/>
                <w:szCs w:val="22"/>
                <w:lang w:val="ru-RU"/>
              </w:rPr>
              <w:t xml:space="preserve"> запошљивих</w:t>
            </w:r>
            <w:r w:rsidR="00793ECE">
              <w:rPr>
                <w:b/>
                <w:bCs/>
                <w:color w:val="000000"/>
                <w:sz w:val="22"/>
                <w:szCs w:val="22"/>
                <w:lang w:val="sr-Cyrl-RS"/>
              </w:rPr>
              <w:t xml:space="preserve"> лица</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965</w:t>
            </w:r>
          </w:p>
        </w:tc>
        <w:tc>
          <w:tcPr>
            <w:tcW w:w="709"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449</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2.175</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1.115</w:t>
            </w:r>
          </w:p>
        </w:tc>
        <w:tc>
          <w:tcPr>
            <w:tcW w:w="993"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155</w:t>
            </w:r>
          </w:p>
        </w:tc>
        <w:tc>
          <w:tcPr>
            <w:tcW w:w="70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97</w:t>
            </w:r>
          </w:p>
        </w:tc>
        <w:tc>
          <w:tcPr>
            <w:tcW w:w="851"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255</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182</w:t>
            </w:r>
          </w:p>
        </w:tc>
      </w:tr>
      <w:tr w:rsidR="00176D3D" w:rsidRPr="00013BAF" w:rsidTr="00B935F1">
        <w:trPr>
          <w:trHeight w:val="270"/>
        </w:trPr>
        <w:tc>
          <w:tcPr>
            <w:tcW w:w="3261" w:type="dxa"/>
            <w:tcBorders>
              <w:top w:val="nil"/>
              <w:left w:val="single" w:sz="8" w:space="0" w:color="auto"/>
              <w:bottom w:val="single" w:sz="8" w:space="0" w:color="auto"/>
              <w:right w:val="single" w:sz="8" w:space="0" w:color="auto"/>
            </w:tcBorders>
            <w:shd w:val="clear" w:color="auto" w:fill="auto"/>
            <w:noWrap/>
            <w:hideMark/>
          </w:tcPr>
          <w:p w:rsidR="00176D3D" w:rsidRPr="00013BAF" w:rsidRDefault="00176D3D" w:rsidP="00037272">
            <w:pPr>
              <w:rPr>
                <w:b/>
                <w:bCs/>
                <w:color w:val="000000"/>
                <w:sz w:val="22"/>
                <w:szCs w:val="22"/>
                <w:lang w:val="en-US"/>
              </w:rPr>
            </w:pPr>
            <w:r w:rsidRPr="00013BAF">
              <w:rPr>
                <w:b/>
                <w:bCs/>
                <w:color w:val="000000"/>
                <w:sz w:val="22"/>
                <w:szCs w:val="22"/>
                <w:lang w:val="en-US"/>
              </w:rPr>
              <w:t>Субвeнција за самозапошљавањe</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702</w:t>
            </w:r>
          </w:p>
        </w:tc>
        <w:tc>
          <w:tcPr>
            <w:tcW w:w="709"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320</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2.261</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1.031</w:t>
            </w:r>
          </w:p>
        </w:tc>
        <w:tc>
          <w:tcPr>
            <w:tcW w:w="993"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330</w:t>
            </w:r>
          </w:p>
        </w:tc>
        <w:tc>
          <w:tcPr>
            <w:tcW w:w="70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208</w:t>
            </w:r>
          </w:p>
        </w:tc>
        <w:tc>
          <w:tcPr>
            <w:tcW w:w="851"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751</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445</w:t>
            </w:r>
          </w:p>
        </w:tc>
      </w:tr>
      <w:tr w:rsidR="00176D3D" w:rsidRPr="00013BAF" w:rsidTr="00B935F1">
        <w:trPr>
          <w:trHeight w:val="270"/>
        </w:trPr>
        <w:tc>
          <w:tcPr>
            <w:tcW w:w="3261" w:type="dxa"/>
            <w:tcBorders>
              <w:top w:val="nil"/>
              <w:left w:val="single" w:sz="8" w:space="0" w:color="auto"/>
              <w:bottom w:val="single" w:sz="8" w:space="0" w:color="auto"/>
              <w:right w:val="single" w:sz="8" w:space="0" w:color="auto"/>
            </w:tcBorders>
            <w:shd w:val="clear" w:color="auto" w:fill="auto"/>
            <w:noWrap/>
            <w:hideMark/>
          </w:tcPr>
          <w:p w:rsidR="00176D3D" w:rsidRPr="00013BAF" w:rsidRDefault="00176D3D" w:rsidP="00037272">
            <w:pPr>
              <w:rPr>
                <w:b/>
                <w:bCs/>
                <w:color w:val="000000"/>
                <w:sz w:val="22"/>
                <w:szCs w:val="22"/>
                <w:lang w:val="sr-Cyrl-RS"/>
              </w:rPr>
            </w:pPr>
            <w:r w:rsidRPr="00013BAF">
              <w:rPr>
                <w:b/>
                <w:bCs/>
                <w:color w:val="000000"/>
                <w:sz w:val="22"/>
                <w:szCs w:val="22"/>
                <w:lang w:val="sr-Cyrl-RS"/>
              </w:rPr>
              <w:t>С</w:t>
            </w:r>
            <w:r w:rsidRPr="00EC2E2A">
              <w:rPr>
                <w:b/>
                <w:bCs/>
                <w:color w:val="000000"/>
                <w:sz w:val="22"/>
                <w:szCs w:val="22"/>
                <w:lang w:val="ru-RU"/>
              </w:rPr>
              <w:t>убв</w:t>
            </w:r>
            <w:r w:rsidRPr="00013BAF">
              <w:rPr>
                <w:b/>
                <w:bCs/>
                <w:color w:val="000000"/>
                <w:sz w:val="22"/>
                <w:szCs w:val="22"/>
                <w:lang w:val="en-US"/>
              </w:rPr>
              <w:t>e</w:t>
            </w:r>
            <w:r w:rsidRPr="00EC2E2A">
              <w:rPr>
                <w:b/>
                <w:bCs/>
                <w:color w:val="000000"/>
                <w:sz w:val="22"/>
                <w:szCs w:val="22"/>
                <w:lang w:val="ru-RU"/>
              </w:rPr>
              <w:t>нција зарад</w:t>
            </w:r>
            <w:r w:rsidRPr="00013BAF">
              <w:rPr>
                <w:b/>
                <w:bCs/>
                <w:color w:val="000000"/>
                <w:sz w:val="22"/>
                <w:szCs w:val="22"/>
                <w:lang w:val="en-US"/>
              </w:rPr>
              <w:t>e</w:t>
            </w:r>
            <w:r w:rsidRPr="00EC2E2A">
              <w:rPr>
                <w:b/>
                <w:bCs/>
                <w:color w:val="000000"/>
                <w:sz w:val="22"/>
                <w:szCs w:val="22"/>
                <w:lang w:val="ru-RU"/>
              </w:rPr>
              <w:t xml:space="preserve"> за ОСИ б</w:t>
            </w:r>
            <w:r w:rsidRPr="00013BAF">
              <w:rPr>
                <w:b/>
                <w:bCs/>
                <w:color w:val="000000"/>
                <w:sz w:val="22"/>
                <w:szCs w:val="22"/>
                <w:lang w:val="en-US"/>
              </w:rPr>
              <w:t>e</w:t>
            </w:r>
            <w:r w:rsidRPr="00EC2E2A">
              <w:rPr>
                <w:b/>
                <w:bCs/>
                <w:color w:val="000000"/>
                <w:sz w:val="22"/>
                <w:szCs w:val="22"/>
                <w:lang w:val="ru-RU"/>
              </w:rPr>
              <w:t>з радног искуства</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70</w:t>
            </w:r>
          </w:p>
        </w:tc>
        <w:tc>
          <w:tcPr>
            <w:tcW w:w="709"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34</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285</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123</w:t>
            </w:r>
          </w:p>
        </w:tc>
        <w:tc>
          <w:tcPr>
            <w:tcW w:w="993"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20</w:t>
            </w:r>
          </w:p>
        </w:tc>
        <w:tc>
          <w:tcPr>
            <w:tcW w:w="70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12</w:t>
            </w:r>
          </w:p>
        </w:tc>
        <w:tc>
          <w:tcPr>
            <w:tcW w:w="851"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21</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w:t>
            </w:r>
          </w:p>
        </w:tc>
      </w:tr>
      <w:tr w:rsidR="00176D3D" w:rsidRPr="00013BAF" w:rsidTr="00B935F1">
        <w:trPr>
          <w:trHeight w:val="270"/>
        </w:trPr>
        <w:tc>
          <w:tcPr>
            <w:tcW w:w="3261" w:type="dxa"/>
            <w:tcBorders>
              <w:top w:val="nil"/>
              <w:left w:val="single" w:sz="8" w:space="0" w:color="auto"/>
              <w:bottom w:val="single" w:sz="8" w:space="0" w:color="auto"/>
              <w:right w:val="single" w:sz="8" w:space="0" w:color="auto"/>
            </w:tcBorders>
            <w:shd w:val="clear" w:color="auto" w:fill="auto"/>
            <w:noWrap/>
            <w:hideMark/>
          </w:tcPr>
          <w:p w:rsidR="00176D3D" w:rsidRPr="00EC2E2A" w:rsidRDefault="00176D3D" w:rsidP="00037272">
            <w:pPr>
              <w:rPr>
                <w:b/>
                <w:bCs/>
                <w:color w:val="000000"/>
                <w:sz w:val="22"/>
                <w:szCs w:val="22"/>
                <w:lang w:val="ru-RU"/>
              </w:rPr>
            </w:pPr>
            <w:r w:rsidRPr="00EC2E2A">
              <w:rPr>
                <w:b/>
                <w:bCs/>
                <w:color w:val="000000"/>
                <w:sz w:val="22"/>
                <w:szCs w:val="22"/>
                <w:lang w:val="ru-RU"/>
              </w:rPr>
              <w:t>Р</w:t>
            </w:r>
            <w:r w:rsidRPr="00013BAF">
              <w:rPr>
                <w:b/>
                <w:bCs/>
                <w:color w:val="000000"/>
                <w:sz w:val="22"/>
                <w:szCs w:val="22"/>
                <w:lang w:val="en-US"/>
              </w:rPr>
              <w:t>e</w:t>
            </w:r>
            <w:r w:rsidRPr="00EC2E2A">
              <w:rPr>
                <w:b/>
                <w:bCs/>
                <w:color w:val="000000"/>
                <w:sz w:val="22"/>
                <w:szCs w:val="22"/>
                <w:lang w:val="ru-RU"/>
              </w:rPr>
              <w:t>фундација трошкова подршк</w:t>
            </w:r>
            <w:r w:rsidRPr="00013BAF">
              <w:rPr>
                <w:b/>
                <w:bCs/>
                <w:color w:val="000000"/>
                <w:sz w:val="22"/>
                <w:szCs w:val="22"/>
                <w:lang w:val="en-US"/>
              </w:rPr>
              <w:t>e</w:t>
            </w:r>
            <w:r w:rsidRPr="00EC2E2A">
              <w:rPr>
                <w:b/>
                <w:bCs/>
                <w:color w:val="000000"/>
                <w:sz w:val="22"/>
                <w:szCs w:val="22"/>
                <w:lang w:val="ru-RU"/>
              </w:rPr>
              <w:t xml:space="preserve"> ОСИ кој</w:t>
            </w:r>
            <w:r w:rsidRPr="00013BAF">
              <w:rPr>
                <w:b/>
                <w:bCs/>
                <w:color w:val="000000"/>
                <w:sz w:val="22"/>
                <w:szCs w:val="22"/>
                <w:lang w:val="en-US"/>
              </w:rPr>
              <w:t>e</w:t>
            </w:r>
            <w:r w:rsidRPr="00EC2E2A">
              <w:rPr>
                <w:b/>
                <w:bCs/>
                <w:color w:val="000000"/>
                <w:sz w:val="22"/>
                <w:szCs w:val="22"/>
                <w:lang w:val="ru-RU"/>
              </w:rPr>
              <w:t xml:space="preserve"> с</w:t>
            </w:r>
            <w:r w:rsidRPr="00013BAF">
              <w:rPr>
                <w:b/>
                <w:bCs/>
                <w:color w:val="000000"/>
                <w:sz w:val="22"/>
                <w:szCs w:val="22"/>
                <w:lang w:val="en-US"/>
              </w:rPr>
              <w:t>e</w:t>
            </w:r>
            <w:r w:rsidRPr="00EC2E2A">
              <w:rPr>
                <w:b/>
                <w:bCs/>
                <w:color w:val="000000"/>
                <w:sz w:val="22"/>
                <w:szCs w:val="22"/>
                <w:lang w:val="ru-RU"/>
              </w:rPr>
              <w:t xml:space="preserve"> запошљавају под пос</w:t>
            </w:r>
            <w:r w:rsidRPr="00013BAF">
              <w:rPr>
                <w:b/>
                <w:bCs/>
                <w:color w:val="000000"/>
                <w:sz w:val="22"/>
                <w:szCs w:val="22"/>
                <w:lang w:val="en-US"/>
              </w:rPr>
              <w:t>e</w:t>
            </w:r>
            <w:r w:rsidRPr="00EC2E2A">
              <w:rPr>
                <w:b/>
                <w:bCs/>
                <w:color w:val="000000"/>
                <w:sz w:val="22"/>
                <w:szCs w:val="22"/>
                <w:lang w:val="ru-RU"/>
              </w:rPr>
              <w:t>бним условима</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7</w:t>
            </w:r>
          </w:p>
        </w:tc>
        <w:tc>
          <w:tcPr>
            <w:tcW w:w="709"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17</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9</w:t>
            </w:r>
          </w:p>
        </w:tc>
        <w:tc>
          <w:tcPr>
            <w:tcW w:w="993"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w:t>
            </w:r>
          </w:p>
        </w:tc>
        <w:tc>
          <w:tcPr>
            <w:tcW w:w="70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0</w:t>
            </w:r>
          </w:p>
        </w:tc>
        <w:tc>
          <w:tcPr>
            <w:tcW w:w="851"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6</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6</w:t>
            </w:r>
          </w:p>
        </w:tc>
      </w:tr>
      <w:tr w:rsidR="00176D3D" w:rsidRPr="00013BAF" w:rsidTr="00B935F1">
        <w:trPr>
          <w:trHeight w:val="478"/>
        </w:trPr>
        <w:tc>
          <w:tcPr>
            <w:tcW w:w="3261" w:type="dxa"/>
            <w:tcBorders>
              <w:top w:val="nil"/>
              <w:left w:val="single" w:sz="8" w:space="0" w:color="auto"/>
              <w:bottom w:val="single" w:sz="8" w:space="0" w:color="auto"/>
              <w:right w:val="single" w:sz="8" w:space="0" w:color="auto"/>
            </w:tcBorders>
            <w:shd w:val="clear" w:color="auto" w:fill="auto"/>
            <w:noWrap/>
            <w:hideMark/>
          </w:tcPr>
          <w:p w:rsidR="00176D3D" w:rsidRPr="00013BAF" w:rsidRDefault="00176D3D" w:rsidP="00037272">
            <w:pPr>
              <w:rPr>
                <w:b/>
                <w:bCs/>
                <w:color w:val="000000"/>
                <w:sz w:val="22"/>
                <w:szCs w:val="22"/>
                <w:lang w:val="en-US"/>
              </w:rPr>
            </w:pPr>
            <w:r w:rsidRPr="00013BAF">
              <w:rPr>
                <w:b/>
                <w:bCs/>
                <w:color w:val="000000"/>
                <w:sz w:val="22"/>
                <w:szCs w:val="22"/>
                <w:lang w:val="en-US"/>
              </w:rPr>
              <w:t>Субвeнција за самозапошљавањe - ИПА 2013</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81</w:t>
            </w:r>
          </w:p>
        </w:tc>
        <w:tc>
          <w:tcPr>
            <w:tcW w:w="709"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32</w:t>
            </w:r>
          </w:p>
        </w:tc>
        <w:tc>
          <w:tcPr>
            <w:tcW w:w="992"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485</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172</w:t>
            </w:r>
          </w:p>
        </w:tc>
        <w:tc>
          <w:tcPr>
            <w:tcW w:w="993"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51</w:t>
            </w:r>
          </w:p>
        </w:tc>
        <w:tc>
          <w:tcPr>
            <w:tcW w:w="708"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28</w:t>
            </w:r>
          </w:p>
        </w:tc>
        <w:tc>
          <w:tcPr>
            <w:tcW w:w="851"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135</w:t>
            </w:r>
          </w:p>
        </w:tc>
        <w:tc>
          <w:tcPr>
            <w:tcW w:w="850" w:type="dxa"/>
            <w:tcBorders>
              <w:top w:val="nil"/>
              <w:left w:val="nil"/>
              <w:bottom w:val="single" w:sz="8" w:space="0" w:color="auto"/>
              <w:right w:val="single" w:sz="8" w:space="0" w:color="auto"/>
            </w:tcBorders>
            <w:shd w:val="clear" w:color="auto" w:fill="auto"/>
            <w:noWrap/>
            <w:hideMark/>
          </w:tcPr>
          <w:p w:rsidR="00176D3D" w:rsidRPr="00013BAF" w:rsidRDefault="00176D3D" w:rsidP="00037272">
            <w:pPr>
              <w:jc w:val="center"/>
              <w:rPr>
                <w:b/>
                <w:bCs/>
                <w:color w:val="000000"/>
                <w:sz w:val="22"/>
                <w:szCs w:val="22"/>
                <w:lang w:val="en-US"/>
              </w:rPr>
            </w:pPr>
            <w:r w:rsidRPr="00013BAF">
              <w:rPr>
                <w:b/>
                <w:bCs/>
                <w:color w:val="000000"/>
                <w:sz w:val="22"/>
                <w:szCs w:val="22"/>
                <w:lang w:val="en-US"/>
              </w:rPr>
              <w:t>61</w:t>
            </w:r>
          </w:p>
        </w:tc>
      </w:tr>
      <w:tr w:rsidR="00176D3D" w:rsidRPr="00B935F1" w:rsidTr="00B935F1">
        <w:trPr>
          <w:trHeight w:val="404"/>
        </w:trPr>
        <w:tc>
          <w:tcPr>
            <w:tcW w:w="3261" w:type="dxa"/>
            <w:tcBorders>
              <w:top w:val="nil"/>
              <w:left w:val="single" w:sz="8" w:space="0" w:color="auto"/>
              <w:bottom w:val="single" w:sz="8" w:space="0" w:color="auto"/>
              <w:right w:val="single" w:sz="8" w:space="0" w:color="auto"/>
            </w:tcBorders>
            <w:shd w:val="clear" w:color="auto" w:fill="auto"/>
            <w:noWrap/>
            <w:hideMark/>
          </w:tcPr>
          <w:p w:rsidR="00176D3D" w:rsidRPr="00EC2E2A" w:rsidRDefault="00176D3D" w:rsidP="00793ECE">
            <w:pPr>
              <w:rPr>
                <w:b/>
                <w:bCs/>
                <w:color w:val="000000"/>
                <w:sz w:val="22"/>
                <w:szCs w:val="22"/>
                <w:lang w:val="ru-RU"/>
              </w:rPr>
            </w:pPr>
            <w:r w:rsidRPr="00EC2E2A">
              <w:rPr>
                <w:b/>
                <w:bCs/>
                <w:color w:val="000000"/>
                <w:sz w:val="22"/>
                <w:szCs w:val="22"/>
                <w:lang w:val="ru-RU"/>
              </w:rPr>
              <w:t>Субв</w:t>
            </w:r>
            <w:r w:rsidRPr="00013BAF">
              <w:rPr>
                <w:b/>
                <w:bCs/>
                <w:color w:val="000000"/>
                <w:sz w:val="22"/>
                <w:szCs w:val="22"/>
                <w:lang w:val="en-US"/>
              </w:rPr>
              <w:t>e</w:t>
            </w:r>
            <w:r w:rsidRPr="00EC2E2A">
              <w:rPr>
                <w:b/>
                <w:bCs/>
                <w:color w:val="000000"/>
                <w:sz w:val="22"/>
                <w:szCs w:val="22"/>
                <w:lang w:val="ru-RU"/>
              </w:rPr>
              <w:t>нција за запошљавањ</w:t>
            </w:r>
            <w:r w:rsidRPr="00013BAF">
              <w:rPr>
                <w:b/>
                <w:bCs/>
                <w:color w:val="000000"/>
                <w:sz w:val="22"/>
                <w:szCs w:val="22"/>
                <w:lang w:val="en-US"/>
              </w:rPr>
              <w:t>e</w:t>
            </w:r>
            <w:r w:rsidRPr="00EC2E2A">
              <w:rPr>
                <w:b/>
                <w:bCs/>
                <w:color w:val="000000"/>
                <w:sz w:val="22"/>
                <w:szCs w:val="22"/>
                <w:lang w:val="ru-RU"/>
              </w:rPr>
              <w:t xml:space="preserve"> н</w:t>
            </w:r>
            <w:r w:rsidRPr="00013BAF">
              <w:rPr>
                <w:b/>
                <w:bCs/>
                <w:color w:val="000000"/>
                <w:sz w:val="22"/>
                <w:szCs w:val="22"/>
                <w:lang w:val="en-US"/>
              </w:rPr>
              <w:t>e</w:t>
            </w:r>
            <w:r w:rsidRPr="00EC2E2A">
              <w:rPr>
                <w:b/>
                <w:bCs/>
                <w:color w:val="000000"/>
                <w:sz w:val="22"/>
                <w:szCs w:val="22"/>
                <w:lang w:val="ru-RU"/>
              </w:rPr>
              <w:t>запосл</w:t>
            </w:r>
            <w:r w:rsidRPr="00013BAF">
              <w:rPr>
                <w:b/>
                <w:bCs/>
                <w:color w:val="000000"/>
                <w:sz w:val="22"/>
                <w:szCs w:val="22"/>
                <w:lang w:val="en-US"/>
              </w:rPr>
              <w:t>e</w:t>
            </w:r>
            <w:r w:rsidRPr="00EC2E2A">
              <w:rPr>
                <w:b/>
                <w:bCs/>
                <w:color w:val="000000"/>
                <w:sz w:val="22"/>
                <w:szCs w:val="22"/>
                <w:lang w:val="ru-RU"/>
              </w:rPr>
              <w:t>них лица новоотвор</w:t>
            </w:r>
            <w:r w:rsidRPr="00013BAF">
              <w:rPr>
                <w:b/>
                <w:bCs/>
                <w:color w:val="000000"/>
                <w:sz w:val="22"/>
                <w:szCs w:val="22"/>
                <w:lang w:val="en-US"/>
              </w:rPr>
              <w:t>e</w:t>
            </w:r>
            <w:r w:rsidRPr="00EC2E2A">
              <w:rPr>
                <w:b/>
                <w:bCs/>
                <w:color w:val="000000"/>
                <w:sz w:val="22"/>
                <w:szCs w:val="22"/>
                <w:lang w:val="ru-RU"/>
              </w:rPr>
              <w:t>ним радним м</w:t>
            </w:r>
            <w:r w:rsidRPr="00013BAF">
              <w:rPr>
                <w:b/>
                <w:bCs/>
                <w:color w:val="000000"/>
                <w:sz w:val="22"/>
                <w:szCs w:val="22"/>
                <w:lang w:val="en-US"/>
              </w:rPr>
              <w:t>e</w:t>
            </w:r>
            <w:r w:rsidRPr="00EC2E2A">
              <w:rPr>
                <w:b/>
                <w:bCs/>
                <w:color w:val="000000"/>
                <w:sz w:val="22"/>
                <w:szCs w:val="22"/>
                <w:lang w:val="ru-RU"/>
              </w:rPr>
              <w:t>стима - ИПА 2013</w:t>
            </w:r>
          </w:p>
        </w:tc>
        <w:tc>
          <w:tcPr>
            <w:tcW w:w="992"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184</w:t>
            </w:r>
          </w:p>
        </w:tc>
        <w:tc>
          <w:tcPr>
            <w:tcW w:w="709"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105</w:t>
            </w:r>
          </w:p>
        </w:tc>
        <w:tc>
          <w:tcPr>
            <w:tcW w:w="992"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624</w:t>
            </w:r>
          </w:p>
        </w:tc>
        <w:tc>
          <w:tcPr>
            <w:tcW w:w="850"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333</w:t>
            </w:r>
          </w:p>
        </w:tc>
        <w:tc>
          <w:tcPr>
            <w:tcW w:w="993"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83</w:t>
            </w:r>
          </w:p>
        </w:tc>
        <w:tc>
          <w:tcPr>
            <w:tcW w:w="708"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55</w:t>
            </w:r>
          </w:p>
        </w:tc>
        <w:tc>
          <w:tcPr>
            <w:tcW w:w="851"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73</w:t>
            </w:r>
          </w:p>
        </w:tc>
        <w:tc>
          <w:tcPr>
            <w:tcW w:w="850" w:type="dxa"/>
            <w:tcBorders>
              <w:top w:val="nil"/>
              <w:left w:val="nil"/>
              <w:bottom w:val="single" w:sz="8" w:space="0" w:color="auto"/>
              <w:right w:val="single" w:sz="8" w:space="0" w:color="auto"/>
            </w:tcBorders>
            <w:shd w:val="clear" w:color="auto" w:fill="auto"/>
            <w:noWrap/>
            <w:hideMark/>
          </w:tcPr>
          <w:p w:rsidR="00176D3D" w:rsidRPr="00B935F1" w:rsidRDefault="00176D3D" w:rsidP="00037272">
            <w:pPr>
              <w:jc w:val="center"/>
              <w:rPr>
                <w:b/>
                <w:bCs/>
                <w:color w:val="000000"/>
                <w:sz w:val="22"/>
                <w:szCs w:val="22"/>
                <w:lang w:val="ru-RU"/>
              </w:rPr>
            </w:pPr>
            <w:r w:rsidRPr="00B935F1">
              <w:rPr>
                <w:b/>
                <w:bCs/>
                <w:color w:val="000000"/>
                <w:sz w:val="22"/>
                <w:szCs w:val="22"/>
                <w:lang w:val="ru-RU"/>
              </w:rPr>
              <w:t>51</w:t>
            </w:r>
          </w:p>
        </w:tc>
      </w:tr>
    </w:tbl>
    <w:p w:rsidR="00B51CB1" w:rsidRDefault="00B51CB1" w:rsidP="00B51CB1">
      <w:pPr>
        <w:pStyle w:val="BodyText2"/>
        <w:tabs>
          <w:tab w:val="left" w:pos="0"/>
        </w:tabs>
        <w:spacing w:before="60"/>
        <w:ind w:firstLine="709"/>
        <w:rPr>
          <w:color w:val="000000" w:themeColor="text1"/>
        </w:rPr>
      </w:pPr>
    </w:p>
    <w:p w:rsidR="00050719" w:rsidRDefault="00735D36" w:rsidP="00B51CB1">
      <w:pPr>
        <w:pStyle w:val="BodyText2"/>
        <w:tabs>
          <w:tab w:val="left" w:pos="0"/>
        </w:tabs>
        <w:spacing w:before="60"/>
        <w:ind w:firstLine="709"/>
        <w:rPr>
          <w:lang w:val="sr-Cyrl-RS"/>
        </w:rPr>
      </w:pPr>
      <w:r w:rsidRPr="0065478B">
        <w:rPr>
          <w:color w:val="000000" w:themeColor="text1"/>
        </w:rPr>
        <w:t>У вези разлика у зарадама</w:t>
      </w:r>
      <w:r>
        <w:rPr>
          <w:color w:val="000000" w:themeColor="text1"/>
          <w:lang w:val="sr-Cyrl-RS"/>
        </w:rPr>
        <w:t xml:space="preserve"> у односу на пол, најпре треба истаћи да је </w:t>
      </w:r>
      <w:r w:rsidRPr="00A065F0">
        <w:rPr>
          <w:color w:val="000000" w:themeColor="text1"/>
        </w:rPr>
        <w:t>ч</w:t>
      </w:r>
      <w:r w:rsidRPr="00EC2E2A">
        <w:rPr>
          <w:color w:val="000000" w:themeColor="text1"/>
          <w:lang w:val="ru-RU"/>
        </w:rPr>
        <w:t xml:space="preserve">ланом 60. </w:t>
      </w:r>
      <w:r w:rsidRPr="00EC2E2A">
        <w:rPr>
          <w:i/>
          <w:color w:val="000000" w:themeColor="text1"/>
          <w:lang w:val="ru-RU"/>
        </w:rPr>
        <w:t>Устава Републике Србије</w:t>
      </w:r>
      <w:r w:rsidRPr="00EC2E2A">
        <w:rPr>
          <w:color w:val="000000" w:themeColor="text1"/>
          <w:lang w:val="ru-RU"/>
        </w:rPr>
        <w:t xml:space="preserve"> (</w:t>
      </w:r>
      <w:r>
        <w:rPr>
          <w:lang w:val="sr-Cyrl-RS"/>
        </w:rPr>
        <w:t>„</w:t>
      </w:r>
      <w:r w:rsidR="000E0A48" w:rsidRPr="00A274B5">
        <w:rPr>
          <w:rFonts w:eastAsiaTheme="minorHAnsi"/>
          <w:lang w:val="sr-Latn-ME"/>
        </w:rPr>
        <w:t>Службени</w:t>
      </w:r>
      <w:r w:rsidRPr="00CE53C3">
        <w:rPr>
          <w:lang w:val="sr-Cyrl-RS"/>
        </w:rPr>
        <w:t xml:space="preserve"> </w:t>
      </w:r>
      <w:r>
        <w:rPr>
          <w:lang w:val="sr-Cyrl-RS"/>
        </w:rPr>
        <w:t xml:space="preserve">гласник РС“, </w:t>
      </w:r>
      <w:r w:rsidRPr="00EC2E2A">
        <w:rPr>
          <w:color w:val="000000" w:themeColor="text1"/>
          <w:lang w:val="ru-RU"/>
        </w:rPr>
        <w:t>број 98/06)</w:t>
      </w:r>
      <w:r w:rsidRPr="00A065F0">
        <w:rPr>
          <w:color w:val="000000" w:themeColor="text1"/>
        </w:rPr>
        <w:t xml:space="preserve"> </w:t>
      </w:r>
      <w:r w:rsidRPr="00EC2E2A">
        <w:rPr>
          <w:color w:val="000000" w:themeColor="text1"/>
          <w:lang w:val="ru-RU"/>
        </w:rPr>
        <w:t>утврђено да свако има право на правичну накнаду за рад</w:t>
      </w:r>
      <w:r>
        <w:rPr>
          <w:color w:val="000000" w:themeColor="text1"/>
          <w:lang w:val="sr-Cyrl-RS"/>
        </w:rPr>
        <w:t>, а ч</w:t>
      </w:r>
      <w:r w:rsidRPr="00EC2E2A">
        <w:rPr>
          <w:color w:val="000000" w:themeColor="text1"/>
          <w:lang w:val="ru-RU"/>
        </w:rPr>
        <w:t xml:space="preserve">ланом 18. </w:t>
      </w:r>
      <w:r w:rsidRPr="00EC2E2A">
        <w:rPr>
          <w:i/>
          <w:color w:val="000000" w:themeColor="text1"/>
          <w:lang w:val="ru-RU"/>
        </w:rPr>
        <w:t>Закона о раду</w:t>
      </w:r>
      <w:r w:rsidRPr="00EC2E2A">
        <w:rPr>
          <w:color w:val="000000" w:themeColor="text1"/>
          <w:lang w:val="ru-RU"/>
        </w:rPr>
        <w:t xml:space="preserve"> (</w:t>
      </w:r>
      <w:r>
        <w:rPr>
          <w:lang w:val="sr-Cyrl-RS"/>
        </w:rPr>
        <w:t>„Сл</w:t>
      </w:r>
      <w:r w:rsidRPr="00CE53C3">
        <w:rPr>
          <w:lang w:val="sr-Cyrl-RS"/>
        </w:rPr>
        <w:t xml:space="preserve">. </w:t>
      </w:r>
      <w:r>
        <w:rPr>
          <w:lang w:val="sr-Cyrl-RS"/>
        </w:rPr>
        <w:t xml:space="preserve">гласник РС“, </w:t>
      </w:r>
      <w:r w:rsidRPr="00EC2E2A">
        <w:rPr>
          <w:color w:val="000000" w:themeColor="text1"/>
          <w:lang w:val="ru-RU"/>
        </w:rPr>
        <w:t>бр. 24/05, 61/05,</w:t>
      </w:r>
      <w:r w:rsidRPr="00A065F0">
        <w:rPr>
          <w:color w:val="000000" w:themeColor="text1"/>
        </w:rPr>
        <w:t xml:space="preserve"> 54/09</w:t>
      </w:r>
      <w:r w:rsidRPr="00EC2E2A">
        <w:rPr>
          <w:color w:val="000000" w:themeColor="text1"/>
          <w:lang w:val="ru-RU"/>
        </w:rPr>
        <w:t>,</w:t>
      </w:r>
      <w:r w:rsidRPr="00A065F0">
        <w:rPr>
          <w:color w:val="000000" w:themeColor="text1"/>
        </w:rPr>
        <w:t xml:space="preserve"> 32/13, 75/14 и 113/17</w:t>
      </w:r>
      <w:r w:rsidRPr="00EC2E2A">
        <w:rPr>
          <w:color w:val="000000" w:themeColor="text1"/>
          <w:lang w:val="ru-RU"/>
        </w:rPr>
        <w:t>)</w:t>
      </w:r>
      <w:r w:rsidR="00793ECE" w:rsidRPr="00EC2E2A">
        <w:rPr>
          <w:color w:val="000000" w:themeColor="text1"/>
          <w:lang w:val="ru-RU"/>
        </w:rPr>
        <w:t xml:space="preserve"> </w:t>
      </w:r>
      <w:r w:rsidRPr="00EC2E2A">
        <w:rPr>
          <w:color w:val="000000" w:themeColor="text1"/>
          <w:lang w:val="ru-RU"/>
        </w:rPr>
        <w:t>у</w:t>
      </w:r>
      <w:r>
        <w:rPr>
          <w:color w:val="000000" w:themeColor="text1"/>
          <w:lang w:val="sr-Cyrl-RS"/>
        </w:rPr>
        <w:t>т</w:t>
      </w:r>
      <w:r w:rsidRPr="00EC2E2A">
        <w:rPr>
          <w:color w:val="000000" w:themeColor="text1"/>
          <w:lang w:val="ru-RU"/>
        </w:rPr>
        <w:t>врђено је да је забрањена непосредна и посредна дискриминација лица која траже запослење, као и запослених, с обзиром на пол.</w:t>
      </w:r>
      <w:r w:rsidR="00793ECE">
        <w:rPr>
          <w:color w:val="000000" w:themeColor="text1"/>
          <w:lang w:val="sr-Cyrl-RS"/>
        </w:rPr>
        <w:t xml:space="preserve"> Осим тога,</w:t>
      </w:r>
      <w:r w:rsidRPr="00EC2E2A">
        <w:rPr>
          <w:color w:val="000000" w:themeColor="text1"/>
          <w:lang w:val="ru-RU"/>
        </w:rPr>
        <w:t xml:space="preserve"> чланом 104. ст. 2. и 5. </w:t>
      </w:r>
      <w:r w:rsidRPr="00EC2E2A">
        <w:rPr>
          <w:i/>
          <w:color w:val="000000" w:themeColor="text1"/>
          <w:lang w:val="ru-RU"/>
        </w:rPr>
        <w:t>Закона о раду</w:t>
      </w:r>
      <w:r w:rsidRPr="00EC2E2A">
        <w:rPr>
          <w:color w:val="000000" w:themeColor="text1"/>
          <w:lang w:val="ru-RU"/>
        </w:rPr>
        <w:t xml:space="preserve"> утврђено је да се запосленима гарантује једнака зарада за исти рад или </w:t>
      </w:r>
      <w:r w:rsidR="00793ECE">
        <w:rPr>
          <w:color w:val="000000" w:themeColor="text1"/>
          <w:lang w:val="sr-Cyrl-RS"/>
        </w:rPr>
        <w:t xml:space="preserve">за </w:t>
      </w:r>
      <w:r w:rsidRPr="00EC2E2A">
        <w:rPr>
          <w:color w:val="000000" w:themeColor="text1"/>
          <w:lang w:val="ru-RU"/>
        </w:rPr>
        <w:t>рад исте вредности кој</w:t>
      </w:r>
      <w:r w:rsidR="00D5752F" w:rsidRPr="00EC2E2A">
        <w:rPr>
          <w:color w:val="000000" w:themeColor="text1"/>
          <w:lang w:val="ru-RU"/>
        </w:rPr>
        <w:t xml:space="preserve">и остварују код послодавца и да, </w:t>
      </w:r>
      <w:r w:rsidRPr="00EC2E2A">
        <w:rPr>
          <w:color w:val="000000" w:themeColor="text1"/>
          <w:lang w:val="ru-RU"/>
        </w:rPr>
        <w:t>у случају повреде овог права</w:t>
      </w:r>
      <w:r w:rsidR="00D5752F">
        <w:rPr>
          <w:color w:val="000000" w:themeColor="text1"/>
          <w:lang w:val="sr-Cyrl-RS"/>
        </w:rPr>
        <w:t>,</w:t>
      </w:r>
      <w:r w:rsidRPr="00EC2E2A">
        <w:rPr>
          <w:color w:val="000000" w:themeColor="text1"/>
          <w:lang w:val="ru-RU"/>
        </w:rPr>
        <w:t xml:space="preserve"> запослени има право на накнаду штете.</w:t>
      </w:r>
      <w:r w:rsidRPr="00A065F0">
        <w:rPr>
          <w:color w:val="000000" w:themeColor="text1"/>
          <w:lang w:val="sr-Cyrl-RS"/>
        </w:rPr>
        <w:t xml:space="preserve"> О</w:t>
      </w:r>
      <w:r w:rsidRPr="00EC2E2A">
        <w:rPr>
          <w:color w:val="000000" w:themeColor="text1"/>
          <w:lang w:val="ru-RU"/>
        </w:rPr>
        <w:t>во</w:t>
      </w:r>
      <w:r>
        <w:rPr>
          <w:color w:val="000000" w:themeColor="text1"/>
          <w:lang w:val="sr-Cyrl-RS"/>
        </w:rPr>
        <w:t>,</w:t>
      </w:r>
      <w:r w:rsidRPr="00EC2E2A">
        <w:rPr>
          <w:color w:val="000000" w:themeColor="text1"/>
          <w:lang w:val="ru-RU"/>
        </w:rPr>
        <w:t xml:space="preserve"> практично</w:t>
      </w:r>
      <w:r>
        <w:rPr>
          <w:color w:val="000000" w:themeColor="text1"/>
          <w:lang w:val="sr-Cyrl-RS"/>
        </w:rPr>
        <w:t>,</w:t>
      </w:r>
      <w:r w:rsidRPr="00EC2E2A">
        <w:rPr>
          <w:color w:val="000000" w:themeColor="text1"/>
          <w:lang w:val="ru-RU"/>
        </w:rPr>
        <w:t xml:space="preserve"> значи да је утврђен општи принцип недискриминације и остваривања једнаке користи од резултата рада како мушкараца, тако и жена.</w:t>
      </w:r>
      <w:r>
        <w:rPr>
          <w:color w:val="000000" w:themeColor="text1"/>
          <w:lang w:val="sr-Cyrl-RS"/>
        </w:rPr>
        <w:t xml:space="preserve"> </w:t>
      </w:r>
    </w:p>
    <w:p w:rsidR="00735D36" w:rsidRPr="0000613A" w:rsidRDefault="00B51CB1" w:rsidP="004358A3">
      <w:pPr>
        <w:pStyle w:val="BodyText2"/>
        <w:tabs>
          <w:tab w:val="left" w:pos="0"/>
        </w:tabs>
        <w:spacing w:before="60"/>
        <w:ind w:firstLine="709"/>
        <w:rPr>
          <w:color w:val="000000" w:themeColor="text1"/>
          <w:lang w:val="sr-Cyrl-RS"/>
        </w:rPr>
      </w:pPr>
      <w:r>
        <w:rPr>
          <w:lang w:val="sr-Cyrl-RS"/>
        </w:rPr>
        <w:t>Међутим</w:t>
      </w:r>
      <w:r w:rsidR="0000613A">
        <w:rPr>
          <w:lang w:val="sr-Cyrl-RS"/>
        </w:rPr>
        <w:t xml:space="preserve">, у </w:t>
      </w:r>
      <w:r w:rsidR="0000613A" w:rsidRPr="00050719">
        <w:rPr>
          <w:i/>
          <w:lang w:val="sr-Cyrl-RS"/>
        </w:rPr>
        <w:t>Индексу родне равноправности</w:t>
      </w:r>
      <w:r w:rsidR="0000613A">
        <w:rPr>
          <w:lang w:val="sr-Cyrl-RS"/>
        </w:rPr>
        <w:t xml:space="preserve"> објављеном 2018. године констатује се да је домен новца онај у којем је највећа разлика између Србије и просека земаља ЕУ (28). </w:t>
      </w:r>
      <w:r w:rsidR="00050719">
        <w:rPr>
          <w:lang w:val="sr-Cyrl-RS"/>
        </w:rPr>
        <w:t xml:space="preserve">Примера ради, </w:t>
      </w:r>
      <w:r w:rsidR="0000613A">
        <w:rPr>
          <w:lang w:val="sr-Cyrl-RS"/>
        </w:rPr>
        <w:t>та разлика је у 2014. години износила 29,5 поена, а 2016. године</w:t>
      </w:r>
      <w:r w:rsidR="00784FC7">
        <w:rPr>
          <w:lang w:val="sr-Cyrl-RS"/>
        </w:rPr>
        <w:t xml:space="preserve"> је смањена и износила је 19,4 поена. П</w:t>
      </w:r>
      <w:r w:rsidR="00050719">
        <w:rPr>
          <w:lang w:val="sr-Cyrl-RS"/>
        </w:rPr>
        <w:t xml:space="preserve">рема истом извору, долази до постепеног побољшања стања </w:t>
      </w:r>
      <w:r w:rsidR="009C169D">
        <w:rPr>
          <w:lang w:val="sr-Cyrl-RS"/>
        </w:rPr>
        <w:t>у овој области јер</w:t>
      </w:r>
      <w:r w:rsidR="00050719">
        <w:rPr>
          <w:lang w:val="sr-Cyrl-RS"/>
        </w:rPr>
        <w:t xml:space="preserve"> у домену новца Србија је 2014. имала 59,1 поен, а 2016. године 60,2 поена, што представља повећање за 1,1 поен.</w:t>
      </w:r>
    </w:p>
    <w:p w:rsidR="00A25A3D" w:rsidRDefault="00A25A3D" w:rsidP="004358A3">
      <w:pPr>
        <w:pStyle w:val="BodyText2"/>
        <w:tabs>
          <w:tab w:val="left" w:pos="0"/>
        </w:tabs>
        <w:spacing w:before="60"/>
        <w:ind w:firstLine="709"/>
        <w:rPr>
          <w:lang w:val="sr-Cyrl-RS"/>
        </w:rPr>
      </w:pPr>
    </w:p>
    <w:p w:rsidR="00A25A3D" w:rsidRDefault="00A25A3D" w:rsidP="00A25A3D">
      <w:pPr>
        <w:pStyle w:val="BodyText2"/>
        <w:numPr>
          <w:ilvl w:val="0"/>
          <w:numId w:val="5"/>
        </w:numPr>
        <w:spacing w:before="60"/>
        <w:rPr>
          <w:b/>
          <w:lang w:val="sr-Cyrl-RS"/>
        </w:rPr>
      </w:pPr>
      <w:r w:rsidRPr="00E36AB1">
        <w:rPr>
          <w:b/>
          <w:lang w:val="sr-Cyrl-RS"/>
        </w:rPr>
        <w:lastRenderedPageBreak/>
        <w:t>Остваривање начела равноправо</w:t>
      </w:r>
      <w:r>
        <w:rPr>
          <w:b/>
          <w:lang w:val="sr-Cyrl-RS"/>
        </w:rPr>
        <w:t>сти полова у области социјалне</w:t>
      </w:r>
      <w:r w:rsidRPr="00E36AB1">
        <w:rPr>
          <w:b/>
          <w:lang w:val="sr-Cyrl-RS"/>
        </w:rPr>
        <w:t xml:space="preserve"> заштите</w:t>
      </w:r>
    </w:p>
    <w:p w:rsidR="00A25A3D" w:rsidRDefault="00A25A3D" w:rsidP="00A25A3D">
      <w:pPr>
        <w:pStyle w:val="BodyText2"/>
        <w:spacing w:before="60"/>
        <w:ind w:left="720"/>
        <w:rPr>
          <w:b/>
          <w:lang w:val="sr-Latn-RS"/>
        </w:rPr>
      </w:pPr>
    </w:p>
    <w:p w:rsidR="00A25A3D" w:rsidRDefault="00A25A3D" w:rsidP="00A25A3D">
      <w:pPr>
        <w:spacing w:before="60"/>
        <w:ind w:firstLine="720"/>
        <w:jc w:val="both"/>
        <w:rPr>
          <w:rFonts w:eastAsiaTheme="minorHAnsi"/>
          <w:lang w:val="sr-Latn-ME"/>
        </w:rPr>
      </w:pPr>
      <w:r>
        <w:rPr>
          <w:rFonts w:eastAsiaTheme="minorHAnsi"/>
          <w:lang w:val="sr-Cyrl-RS"/>
        </w:rPr>
        <w:t xml:space="preserve">Чланом 23. и 25. </w:t>
      </w:r>
      <w:r w:rsidRPr="00A22C93">
        <w:rPr>
          <w:rFonts w:eastAsiaTheme="minorHAnsi"/>
          <w:i/>
          <w:lang w:val="sr-Cyrl-RS"/>
        </w:rPr>
        <w:t>Закона о равноправности полова</w:t>
      </w:r>
      <w:r>
        <w:rPr>
          <w:rFonts w:eastAsiaTheme="minorHAnsi"/>
          <w:lang w:val="sr-Cyrl-RS"/>
        </w:rPr>
        <w:t xml:space="preserve"> је регулисана равноправност полова у области социјалне заштите</w:t>
      </w:r>
      <w:r w:rsidR="00437590">
        <w:rPr>
          <w:rFonts w:eastAsiaTheme="minorHAnsi"/>
          <w:lang w:val="sr-Cyrl-RS"/>
        </w:rPr>
        <w:t>, као</w:t>
      </w:r>
      <w:r>
        <w:rPr>
          <w:rFonts w:eastAsiaTheme="minorHAnsi"/>
          <w:lang w:val="sr-Cyrl-RS"/>
        </w:rPr>
        <w:t xml:space="preserve"> и заштита од дискриминације у тој области. </w:t>
      </w:r>
      <w:r w:rsidRPr="00A274B5">
        <w:rPr>
          <w:rFonts w:eastAsiaTheme="minorHAnsi"/>
          <w:lang w:val="sr-Cyrl-RS"/>
        </w:rPr>
        <w:t>П</w:t>
      </w:r>
      <w:r>
        <w:rPr>
          <w:rFonts w:eastAsiaTheme="minorHAnsi"/>
          <w:lang w:val="sr-Cyrl-RS"/>
        </w:rPr>
        <w:t>оред тога, п</w:t>
      </w:r>
      <w:r w:rsidRPr="00A274B5">
        <w:rPr>
          <w:rFonts w:eastAsiaTheme="minorHAnsi"/>
          <w:lang w:val="sr-Cyrl-RS"/>
        </w:rPr>
        <w:t>ружање и доступност</w:t>
      </w:r>
      <w:r w:rsidRPr="00A274B5">
        <w:rPr>
          <w:rFonts w:eastAsiaTheme="minorHAnsi"/>
          <w:lang w:val="sr-Latn-ME"/>
        </w:rPr>
        <w:t xml:space="preserve"> услуга социјалне заштите</w:t>
      </w:r>
      <w:r w:rsidRPr="00A274B5">
        <w:rPr>
          <w:rFonts w:eastAsiaTheme="minorHAnsi"/>
          <w:lang w:val="sr-Cyrl-RS"/>
        </w:rPr>
        <w:t xml:space="preserve"> свим корисницима</w:t>
      </w:r>
      <w:r>
        <w:rPr>
          <w:rFonts w:eastAsiaTheme="minorHAnsi"/>
          <w:lang w:val="sr-Cyrl-RS"/>
        </w:rPr>
        <w:t xml:space="preserve"> </w:t>
      </w:r>
      <w:r w:rsidRPr="00A274B5">
        <w:rPr>
          <w:rFonts w:eastAsiaTheme="minorHAnsi"/>
          <w:lang w:val="sr-Cyrl-RS"/>
        </w:rPr>
        <w:t>регулисана је</w:t>
      </w:r>
      <w:r w:rsidRPr="00A274B5">
        <w:rPr>
          <w:rFonts w:eastAsiaTheme="minorHAnsi"/>
          <w:lang w:val="sr-Latn-ME"/>
        </w:rPr>
        <w:t xml:space="preserve"> </w:t>
      </w:r>
      <w:r w:rsidRPr="00A274B5">
        <w:rPr>
          <w:rFonts w:eastAsiaTheme="minorHAnsi"/>
          <w:i/>
          <w:lang w:val="sr-Latn-ME"/>
        </w:rPr>
        <w:t>Законом о социјалној заштити</w:t>
      </w:r>
      <w:r w:rsidRPr="00A274B5">
        <w:rPr>
          <w:rFonts w:eastAsiaTheme="minorHAnsi"/>
          <w:lang w:val="sr-Latn-ME"/>
        </w:rPr>
        <w:t xml:space="preserve"> („Службени гласник РС</w:t>
      </w:r>
      <w:r w:rsidRPr="00A274B5">
        <w:rPr>
          <w:rFonts w:eastAsiaTheme="minorHAnsi"/>
          <w:lang w:val="sr-Cyrl-RS"/>
        </w:rPr>
        <w:t>“</w:t>
      </w:r>
      <w:r w:rsidRPr="00A274B5">
        <w:rPr>
          <w:rFonts w:eastAsiaTheme="minorHAnsi"/>
          <w:lang w:val="sr-Latn-ME"/>
        </w:rPr>
        <w:t>, бр. 24/2011“) у ко</w:t>
      </w:r>
      <w:r>
        <w:rPr>
          <w:rFonts w:eastAsiaTheme="minorHAnsi"/>
          <w:lang w:val="sr-Cyrl-RS"/>
        </w:rPr>
        <w:t>је</w:t>
      </w:r>
      <w:r w:rsidRPr="00A274B5">
        <w:rPr>
          <w:rFonts w:eastAsiaTheme="minorHAnsi"/>
          <w:lang w:val="sr-Latn-ME"/>
        </w:rPr>
        <w:t>м се наводи да</w:t>
      </w:r>
      <w:r w:rsidRPr="00A274B5">
        <w:rPr>
          <w:rFonts w:eastAsiaTheme="minorHAnsi"/>
          <w:lang w:val="sr-Cyrl-RS"/>
        </w:rPr>
        <w:t xml:space="preserve"> се</w:t>
      </w:r>
      <w:r w:rsidRPr="00A274B5">
        <w:rPr>
          <w:rFonts w:eastAsiaTheme="minorHAnsi"/>
          <w:lang w:val="sr-Latn-ME"/>
        </w:rPr>
        <w:t xml:space="preserve"> </w:t>
      </w:r>
      <w:r w:rsidRPr="00A274B5">
        <w:rPr>
          <w:rFonts w:eastAsiaTheme="minorHAnsi"/>
          <w:lang w:val="sr-Cyrl-RS"/>
        </w:rPr>
        <w:t>„</w:t>
      </w:r>
      <w:r w:rsidRPr="00A274B5">
        <w:rPr>
          <w:rFonts w:eastAsiaTheme="minorHAnsi"/>
          <w:lang w:val="sr-Latn-ME"/>
        </w:rPr>
        <w:t>услуге социјалне заштите пружају у складу са најбољим интересом корисника,</w:t>
      </w:r>
      <w:r w:rsidRPr="00A274B5">
        <w:rPr>
          <w:rFonts w:eastAsiaTheme="minorHAnsi"/>
          <w:lang w:val="sr-Cyrl-RS"/>
        </w:rPr>
        <w:t xml:space="preserve"> </w:t>
      </w:r>
      <w:r w:rsidRPr="00A274B5">
        <w:rPr>
          <w:rFonts w:eastAsiaTheme="minorHAnsi"/>
          <w:lang w:val="sr-Latn-ME"/>
        </w:rPr>
        <w:t>уважавајући његов животни циклус, пол, етничко и културно порекло, језик, вероисповест, животне навике, развојне потребе и потребе за додатном подршком у свакодневном функционисању</w:t>
      </w:r>
      <w:r w:rsidRPr="00A274B5">
        <w:rPr>
          <w:rFonts w:eastAsiaTheme="minorHAnsi"/>
          <w:lang w:val="sr-Cyrl-RS"/>
        </w:rPr>
        <w:t>“</w:t>
      </w:r>
      <w:r>
        <w:rPr>
          <w:rFonts w:eastAsiaTheme="minorHAnsi"/>
          <w:lang w:val="sr-Latn-ME"/>
        </w:rPr>
        <w:t>.</w:t>
      </w:r>
    </w:p>
    <w:p w:rsidR="00A25A3D" w:rsidRDefault="00A25A3D" w:rsidP="00A25A3D">
      <w:pPr>
        <w:pStyle w:val="BodyText2"/>
        <w:spacing w:before="60"/>
        <w:ind w:firstLine="709"/>
        <w:rPr>
          <w:lang w:val="sr-Cyrl-RS"/>
        </w:rPr>
      </w:pPr>
      <w:r w:rsidRPr="00090C96">
        <w:t>Социјална заштита је организована друштвена делатност од јавног интереса која се обавља у циљу пружања помоћи и оснаживања грађана за самосталан и продуктиван живот у заједници, као и спречавања настајања и отклањања последица социјалне искључености. Корисник права или услуга социјалне заштите јесте појединац</w:t>
      </w:r>
      <w:r>
        <w:rPr>
          <w:lang w:val="sr-Cyrl-RS"/>
        </w:rPr>
        <w:t>/ка</w:t>
      </w:r>
      <w:r w:rsidRPr="00090C96">
        <w:t xml:space="preserve">, односно породица која се суочава с препрекама у задовољавању потреба, услед чега не може да достигне или да одржи квалитет живота или нема довољно средстава за подмирење основних животних потреба, а не може да их оствари својим радом, приходом од имовине или из других извора. </w:t>
      </w:r>
    </w:p>
    <w:p w:rsidR="00A25A3D" w:rsidRDefault="00A25A3D" w:rsidP="00A25A3D">
      <w:pPr>
        <w:pStyle w:val="BodyText2"/>
        <w:spacing w:before="60"/>
        <w:ind w:firstLine="709"/>
      </w:pPr>
      <w:r w:rsidRPr="00090C96">
        <w:rPr>
          <w:lang w:val="sr-Cyrl-RS"/>
        </w:rPr>
        <w:t>Д</w:t>
      </w:r>
      <w:r w:rsidRPr="00090C96">
        <w:t>еца су</w:t>
      </w:r>
      <w:r w:rsidRPr="00090C96">
        <w:rPr>
          <w:lang w:val="sr-Cyrl-RS"/>
        </w:rPr>
        <w:t>,</w:t>
      </w:r>
      <w:r w:rsidRPr="00090C96">
        <w:t xml:space="preserve"> </w:t>
      </w:r>
      <w:r w:rsidRPr="00090C96">
        <w:rPr>
          <w:lang w:val="sr-Cyrl-RS"/>
        </w:rPr>
        <w:t xml:space="preserve">такође, </w:t>
      </w:r>
      <w:r w:rsidRPr="00090C96">
        <w:t>корисници права и услуга у систему социјалне заштите када су им услед породичних и других животних околности угрожени здравље, безбедност и развој, односно ако је извесно да без подршке система социјалне заштите не могу да достигну оптимални ниво развоја.</w:t>
      </w:r>
    </w:p>
    <w:p w:rsidR="00A25A3D" w:rsidRPr="00090C96" w:rsidRDefault="00A25A3D" w:rsidP="00A25A3D">
      <w:pPr>
        <w:pStyle w:val="BodyText2"/>
        <w:spacing w:before="60"/>
        <w:ind w:firstLine="709"/>
      </w:pPr>
      <w:r w:rsidRPr="00090C96">
        <w:t xml:space="preserve">Циљеви социјалне заштите уопште, а тиме и социјалне заштите деце, остварују се пружањем услуга социјалне заштите и активностима које предупређују, умањују или отклањају зависност од социјалних служби. </w:t>
      </w:r>
    </w:p>
    <w:p w:rsidR="00A25A3D" w:rsidRPr="00090C96" w:rsidRDefault="00A25A3D" w:rsidP="00A25A3D">
      <w:pPr>
        <w:pStyle w:val="BodyText2"/>
        <w:spacing w:before="60"/>
        <w:ind w:firstLine="709"/>
      </w:pPr>
      <w:r w:rsidRPr="00090C96">
        <w:t xml:space="preserve">Корисници установа социјалне заштите за смештај корисника јесу лица којима се не може обезбедити, или није у њиховом најбољем интересу, останак у породици, услуге у заједници, или смештај у другој породици. </w:t>
      </w:r>
    </w:p>
    <w:p w:rsidR="00A25A3D" w:rsidRPr="00090C96" w:rsidRDefault="00A25A3D" w:rsidP="00A25A3D">
      <w:pPr>
        <w:pStyle w:val="BodyText2"/>
        <w:spacing w:before="60"/>
        <w:ind w:firstLine="709"/>
        <w:rPr>
          <w:lang w:val="sr-Cyrl-RS"/>
        </w:rPr>
      </w:pPr>
      <w:r w:rsidRPr="00090C96">
        <w:t>Установе социјалне заштите за смештај корисника јесу установе које претежно смештају децу без родитељског старања, установе за васпитање деце и омладине, установе које претежно смештају децу са сметњама у развоју, установе за смештај одраслих и старијих са инвалидитетом и установе за смештај старијих.</w:t>
      </w:r>
    </w:p>
    <w:p w:rsidR="00A25A3D" w:rsidRPr="00B65770" w:rsidRDefault="00A25A3D" w:rsidP="00A25A3D">
      <w:pPr>
        <w:pStyle w:val="BodyText2"/>
        <w:spacing w:before="60"/>
        <w:ind w:firstLine="709"/>
        <w:rPr>
          <w:lang w:val="sr-Cyrl-RS"/>
        </w:rPr>
      </w:pPr>
      <w:r w:rsidRPr="00B65770">
        <w:rPr>
          <w:lang w:val="sr-Cyrl-RS"/>
        </w:rPr>
        <w:t>Према подацима РЗС о</w:t>
      </w:r>
      <w:r w:rsidRPr="00B65770">
        <w:t>д укупног броја деце корисника на активној евиденцији центара за социјални рад највише је деце оба пола из старосне групе 6–14 година, и то девојчица 49%, а дечака 48%. Међу особама са инвалидитетом на евиденцији центара за социјални рад, највећа заступљеност оба пола је у старосној групи 24–64 године, заступљеност код жена је 42%, а код мушкарца 49%. У прихватилиштима, 31. децембра 2016. године,</w:t>
      </w:r>
      <w:r>
        <w:t xml:space="preserve"> било је 181 жена и 238 мушкара</w:t>
      </w:r>
      <w:r w:rsidRPr="00B65770">
        <w:t>ца (пунолетни корисници услуге смештаја у прихватилишту који су на евиденцији центара за социјални рад).</w:t>
      </w:r>
    </w:p>
    <w:p w:rsidR="00A25A3D" w:rsidRPr="00EC2E2A" w:rsidRDefault="00A25A3D" w:rsidP="00A25A3D">
      <w:pPr>
        <w:pStyle w:val="BodyText2"/>
        <w:spacing w:before="60"/>
        <w:ind w:firstLine="709"/>
        <w:rPr>
          <w:lang w:val="ru-RU"/>
        </w:rPr>
      </w:pPr>
      <w:r w:rsidRPr="00090C96">
        <w:rPr>
          <w:lang w:val="sr-Cyrl-RS"/>
        </w:rPr>
        <w:t>Када је у питању примена начела равноправости полова у области социјалне заштите</w:t>
      </w:r>
      <w:r w:rsidRPr="00090C96">
        <w:rPr>
          <w:lang w:val="sr-Latn-RS"/>
        </w:rPr>
        <w:t xml:space="preserve"> </w:t>
      </w:r>
      <w:r w:rsidRPr="00090C96">
        <w:rPr>
          <w:lang w:val="sr-Cyrl-RS"/>
        </w:rPr>
        <w:t>и спровођењ</w:t>
      </w:r>
      <w:r>
        <w:rPr>
          <w:lang w:val="sr-Cyrl-RS"/>
        </w:rPr>
        <w:t xml:space="preserve">е мера активне политике које се, </w:t>
      </w:r>
      <w:r w:rsidRPr="00090C96">
        <w:rPr>
          <w:lang w:val="sr-Cyrl-RS"/>
        </w:rPr>
        <w:t>тим поводом</w:t>
      </w:r>
      <w:r>
        <w:rPr>
          <w:lang w:val="sr-Cyrl-RS"/>
        </w:rPr>
        <w:t>,</w:t>
      </w:r>
      <w:r w:rsidRPr="00090C96">
        <w:rPr>
          <w:lang w:val="sr-Cyrl-RS"/>
        </w:rPr>
        <w:t xml:space="preserve"> примењују у ресорном Министарству, у </w:t>
      </w:r>
      <w:r>
        <w:rPr>
          <w:lang w:val="sr-Cyrl-RS"/>
        </w:rPr>
        <w:t xml:space="preserve">овом извештају, на основу података </w:t>
      </w:r>
      <w:r w:rsidRPr="00090C96">
        <w:rPr>
          <w:lang w:val="sr-Cyrl-RS"/>
        </w:rPr>
        <w:t>кој</w:t>
      </w:r>
      <w:r>
        <w:rPr>
          <w:lang w:val="sr-Cyrl-RS"/>
        </w:rPr>
        <w:t>е</w:t>
      </w:r>
      <w:r w:rsidRPr="00090C96">
        <w:rPr>
          <w:lang w:val="sr-Cyrl-RS"/>
        </w:rPr>
        <w:t xml:space="preserve"> је доставио Репуб</w:t>
      </w:r>
      <w:r>
        <w:rPr>
          <w:lang w:val="sr-Cyrl-RS"/>
        </w:rPr>
        <w:t>лички завод за социјалну заштиту (у даљем тексту: РЗСЗ),</w:t>
      </w:r>
      <w:r w:rsidRPr="00090C96">
        <w:rPr>
          <w:lang w:val="sr-Cyrl-RS"/>
        </w:rPr>
        <w:t xml:space="preserve"> </w:t>
      </w:r>
      <w:r>
        <w:rPr>
          <w:lang w:val="sr-Cyrl-RS"/>
        </w:rPr>
        <w:t xml:space="preserve">биће више речи у Поглављу </w:t>
      </w:r>
      <w:r>
        <w:rPr>
          <w:lang w:val="en-US"/>
        </w:rPr>
        <w:t>III</w:t>
      </w:r>
      <w:r>
        <w:rPr>
          <w:lang w:val="sr-Cyrl-RS"/>
        </w:rPr>
        <w:t>,</w:t>
      </w:r>
      <w:r w:rsidRPr="00EC2E2A">
        <w:rPr>
          <w:lang w:val="ru-RU"/>
        </w:rPr>
        <w:t xml:space="preserve"> </w:t>
      </w:r>
      <w:r>
        <w:rPr>
          <w:lang w:val="sr-Cyrl-RS"/>
        </w:rPr>
        <w:t>које се односи на породичне односе.</w:t>
      </w:r>
    </w:p>
    <w:p w:rsidR="00A25A3D" w:rsidRDefault="00A25A3D" w:rsidP="00A25A3D">
      <w:pPr>
        <w:spacing w:before="60"/>
        <w:ind w:firstLine="720"/>
        <w:jc w:val="both"/>
        <w:rPr>
          <w:rFonts w:eastAsiaTheme="minorHAnsi"/>
          <w:lang w:val="sr-Latn-ME"/>
        </w:rPr>
      </w:pPr>
      <w:r>
        <w:rPr>
          <w:rFonts w:eastAsiaTheme="minorHAnsi"/>
          <w:lang w:val="ru-RU"/>
        </w:rPr>
        <w:t>Поред наведеног, треба истаћи да је р</w:t>
      </w:r>
      <w:r>
        <w:rPr>
          <w:rFonts w:eastAsiaTheme="minorHAnsi"/>
          <w:lang w:val="sr-Cyrl-RS"/>
        </w:rPr>
        <w:t xml:space="preserve">есорно </w:t>
      </w:r>
      <w:r w:rsidRPr="00A274B5">
        <w:rPr>
          <w:rFonts w:eastAsiaTheme="minorHAnsi"/>
          <w:lang w:val="sr-Latn-ME"/>
        </w:rPr>
        <w:t>Министарство је у 2018.</w:t>
      </w:r>
      <w:r>
        <w:rPr>
          <w:rFonts w:eastAsiaTheme="minorHAnsi"/>
          <w:lang w:val="sr-Cyrl-RS"/>
        </w:rPr>
        <w:t xml:space="preserve"> </w:t>
      </w:r>
      <w:r w:rsidRPr="00A274B5">
        <w:rPr>
          <w:rFonts w:eastAsiaTheme="minorHAnsi"/>
          <w:lang w:val="sr-Latn-ME"/>
        </w:rPr>
        <w:t xml:space="preserve">години </w:t>
      </w:r>
      <w:r>
        <w:rPr>
          <w:rFonts w:eastAsiaTheme="minorHAnsi"/>
          <w:lang w:val="sr-Cyrl-RS"/>
        </w:rPr>
        <w:t xml:space="preserve">посебну пажњу посветило економском и социјалном положају жена </w:t>
      </w:r>
      <w:proofErr w:type="gramStart"/>
      <w:r w:rsidR="00B51CB1">
        <w:rPr>
          <w:rFonts w:eastAsiaTheme="minorHAnsi"/>
          <w:lang w:val="sr-Cyrl-RS"/>
        </w:rPr>
        <w:t>на селу</w:t>
      </w:r>
      <w:proofErr w:type="gramEnd"/>
      <w:r>
        <w:rPr>
          <w:rFonts w:eastAsiaTheme="minorHAnsi"/>
          <w:lang w:val="sr-Cyrl-RS"/>
        </w:rPr>
        <w:t xml:space="preserve">, којима су услуге социјалне заштите често недоступне, а економски положај веома тежак због неплаћеног рада на пољопривредним газдинствима и у домаћинствима. То су, између осталог, били резултати рада и закључци једнодневне </w:t>
      </w:r>
      <w:r w:rsidRPr="00A274B5">
        <w:rPr>
          <w:rFonts w:eastAsiaTheme="minorHAnsi"/>
          <w:lang w:val="sr-Latn-ME"/>
        </w:rPr>
        <w:t>Националн</w:t>
      </w:r>
      <w:r>
        <w:rPr>
          <w:rFonts w:eastAsiaTheme="minorHAnsi"/>
          <w:lang w:val="sr-Cyrl-RS"/>
        </w:rPr>
        <w:t>е</w:t>
      </w:r>
      <w:r>
        <w:rPr>
          <w:rFonts w:eastAsiaTheme="minorHAnsi"/>
          <w:lang w:val="sr-Latn-ME"/>
        </w:rPr>
        <w:t xml:space="preserve"> конференције реализоване од стране Министарства</w:t>
      </w:r>
      <w:r>
        <w:rPr>
          <w:rFonts w:eastAsiaTheme="minorHAnsi"/>
          <w:lang w:val="sr-Cyrl-RS"/>
        </w:rPr>
        <w:t>,</w:t>
      </w:r>
      <w:r>
        <w:rPr>
          <w:rFonts w:eastAsiaTheme="minorHAnsi"/>
          <w:lang w:val="sr-Latn-ME"/>
        </w:rPr>
        <w:t xml:space="preserve"> </w:t>
      </w:r>
      <w:r w:rsidRPr="00A274B5">
        <w:rPr>
          <w:rFonts w:eastAsiaTheme="minorHAnsi"/>
          <w:lang w:val="sr-Latn-ME"/>
        </w:rPr>
        <w:t xml:space="preserve">8. марта </w:t>
      </w:r>
      <w:r w:rsidRPr="00A274B5">
        <w:rPr>
          <w:rFonts w:eastAsiaTheme="minorHAnsi"/>
          <w:lang w:val="sr-Latn-ME"/>
        </w:rPr>
        <w:lastRenderedPageBreak/>
        <w:t>2018.</w:t>
      </w:r>
      <w:r>
        <w:rPr>
          <w:rFonts w:eastAsiaTheme="minorHAnsi"/>
          <w:lang w:val="sr-Cyrl-RS"/>
        </w:rPr>
        <w:t xml:space="preserve"> </w:t>
      </w:r>
      <w:r w:rsidRPr="00A274B5">
        <w:rPr>
          <w:rFonts w:eastAsiaTheme="minorHAnsi"/>
          <w:lang w:val="sr-Latn-ME"/>
        </w:rPr>
        <w:t>године</w:t>
      </w:r>
      <w:r>
        <w:rPr>
          <w:rFonts w:eastAsiaTheme="minorHAnsi"/>
          <w:lang w:val="sr-Cyrl-RS"/>
        </w:rPr>
        <w:t xml:space="preserve"> </w:t>
      </w:r>
      <w:r>
        <w:rPr>
          <w:rFonts w:eastAsiaTheme="minorHAnsi"/>
          <w:lang w:val="sr-Latn-ME"/>
        </w:rPr>
        <w:t xml:space="preserve">уз подршку </w:t>
      </w:r>
      <w:r w:rsidRPr="00A274B5">
        <w:rPr>
          <w:rFonts w:eastAsiaTheme="minorHAnsi"/>
          <w:lang w:val="en-US"/>
        </w:rPr>
        <w:t>UN</w:t>
      </w:r>
      <w:r w:rsidRPr="00EC2E2A">
        <w:rPr>
          <w:rFonts w:eastAsiaTheme="minorHAnsi"/>
          <w:lang w:val="ru-RU"/>
        </w:rPr>
        <w:t xml:space="preserve"> </w:t>
      </w:r>
      <w:r w:rsidRPr="00A274B5">
        <w:rPr>
          <w:rFonts w:eastAsiaTheme="minorHAnsi"/>
          <w:lang w:val="en-US"/>
        </w:rPr>
        <w:t>Women</w:t>
      </w:r>
      <w:r>
        <w:rPr>
          <w:rFonts w:eastAsiaTheme="minorHAnsi"/>
          <w:lang w:val="sr-Cyrl-RS"/>
        </w:rPr>
        <w:t>,</w:t>
      </w:r>
      <w:r w:rsidRPr="00A274B5">
        <w:rPr>
          <w:rFonts w:eastAsiaTheme="minorHAnsi"/>
          <w:lang w:val="sr-Latn-ME"/>
        </w:rPr>
        <w:t xml:space="preserve"> на тему: „</w:t>
      </w:r>
      <w:r w:rsidRPr="00A274B5">
        <w:rPr>
          <w:rFonts w:eastAsiaTheme="minorHAnsi"/>
          <w:lang w:val="sr-Cyrl-RS"/>
        </w:rPr>
        <w:t>Жене из руралних крајева – равноправне грађанке Србије“</w:t>
      </w:r>
      <w:r>
        <w:rPr>
          <w:rFonts w:eastAsiaTheme="minorHAnsi"/>
          <w:lang w:val="sr-Latn-ME"/>
        </w:rPr>
        <w:t>.</w:t>
      </w:r>
    </w:p>
    <w:p w:rsidR="00A25A3D" w:rsidRDefault="00A25A3D" w:rsidP="00A25A3D">
      <w:pPr>
        <w:spacing w:before="60" w:line="259" w:lineRule="auto"/>
        <w:ind w:firstLine="720"/>
        <w:jc w:val="both"/>
        <w:rPr>
          <w:rFonts w:eastAsiaTheme="minorHAnsi"/>
          <w:lang w:val="sr-Cyrl-RS"/>
        </w:rPr>
      </w:pPr>
      <w:r>
        <w:rPr>
          <w:rFonts w:eastAsiaTheme="minorHAnsi"/>
          <w:lang w:val="sr-Cyrl-RS"/>
        </w:rPr>
        <w:t>Т</w:t>
      </w:r>
      <w:r w:rsidRPr="006E5017">
        <w:rPr>
          <w:rFonts w:eastAsiaTheme="minorHAnsi"/>
          <w:lang w:val="sr-Cyrl-RS"/>
        </w:rPr>
        <w:t>оком радне посете министра Зорана Ђорђевића Стокхолму</w:t>
      </w:r>
      <w:r>
        <w:rPr>
          <w:rFonts w:eastAsiaTheme="minorHAnsi"/>
          <w:lang w:val="sr-Cyrl-RS"/>
        </w:rPr>
        <w:t>,</w:t>
      </w:r>
      <w:r w:rsidRPr="006E5017">
        <w:rPr>
          <w:rFonts w:eastAsiaTheme="minorHAnsi"/>
          <w:lang w:val="sr-Cyrl-RS"/>
        </w:rPr>
        <w:t xml:space="preserve"> од 10. до 12. фебруара 2018. године</w:t>
      </w:r>
      <w:r>
        <w:rPr>
          <w:rFonts w:eastAsiaTheme="minorHAnsi"/>
          <w:lang w:val="sr-Cyrl-RS"/>
        </w:rPr>
        <w:t>, успостављена је сарадња у области родне равноправности Министарства за рад запошљавање, борачка и социјална питања Републике Србије и тек формиране Агенције за родну равноправност</w:t>
      </w:r>
      <w:r w:rsidRPr="006E5017">
        <w:rPr>
          <w:rFonts w:eastAsiaTheme="minorHAnsi"/>
          <w:lang w:val="sr-Cyrl-RS"/>
        </w:rPr>
        <w:t xml:space="preserve"> </w:t>
      </w:r>
      <w:r>
        <w:rPr>
          <w:rFonts w:eastAsiaTheme="minorHAnsi"/>
          <w:lang w:val="sr-Cyrl-RS"/>
        </w:rPr>
        <w:t>Краљевине</w:t>
      </w:r>
      <w:r w:rsidRPr="006E5017">
        <w:rPr>
          <w:rFonts w:eastAsiaTheme="minorHAnsi"/>
          <w:lang w:val="sr-Cyrl-RS"/>
        </w:rPr>
        <w:t xml:space="preserve"> Шведск</w:t>
      </w:r>
      <w:r>
        <w:rPr>
          <w:rFonts w:eastAsiaTheme="minorHAnsi"/>
          <w:lang w:val="sr-Cyrl-RS"/>
        </w:rPr>
        <w:t>е</w:t>
      </w:r>
      <w:r w:rsidRPr="006E5017">
        <w:rPr>
          <w:rFonts w:eastAsiaTheme="minorHAnsi"/>
          <w:lang w:val="sr-Cyrl-RS"/>
        </w:rPr>
        <w:t xml:space="preserve">. </w:t>
      </w:r>
      <w:r>
        <w:rPr>
          <w:rFonts w:eastAsiaTheme="minorHAnsi"/>
          <w:lang w:val="sr-Cyrl-RS"/>
        </w:rPr>
        <w:t xml:space="preserve">Ова сарадња је настављена и током израде Нацрта закона о родној </w:t>
      </w:r>
      <w:r w:rsidR="00A32EC9">
        <w:rPr>
          <w:rFonts w:eastAsiaTheme="minorHAnsi"/>
          <w:lang w:val="sr-Cyrl-RS"/>
        </w:rPr>
        <w:t>равноправности у Републици</w:t>
      </w:r>
      <w:r>
        <w:rPr>
          <w:rFonts w:eastAsiaTheme="minorHAnsi"/>
          <w:lang w:val="sr-Cyrl-RS"/>
        </w:rPr>
        <w:t xml:space="preserve"> Србији. Поред тога, представници поменутог Министарства учествовали су и у раду Међународне конференције, која је реализована </w:t>
      </w:r>
      <w:r w:rsidRPr="006E5017">
        <w:rPr>
          <w:rFonts w:eastAsiaTheme="minorHAnsi"/>
          <w:lang w:val="sr-Cyrl-RS"/>
        </w:rPr>
        <w:t>од 15. до 17. априла 2018. године</w:t>
      </w:r>
      <w:r w:rsidR="00A32EC9">
        <w:rPr>
          <w:rFonts w:eastAsiaTheme="minorHAnsi"/>
          <w:lang w:val="sr-Cyrl-RS"/>
        </w:rPr>
        <w:t>,</w:t>
      </w:r>
      <w:r>
        <w:rPr>
          <w:rFonts w:eastAsiaTheme="minorHAnsi"/>
          <w:lang w:val="sr-Cyrl-RS"/>
        </w:rPr>
        <w:t xml:space="preserve"> у организацији </w:t>
      </w:r>
      <w:r w:rsidRPr="006E5017">
        <w:rPr>
          <w:rFonts w:eastAsiaTheme="minorHAnsi"/>
          <w:lang w:val="sr-Cyrl-RS"/>
        </w:rPr>
        <w:t>Краљевине Шведске</w:t>
      </w:r>
      <w:r>
        <w:rPr>
          <w:rFonts w:eastAsiaTheme="minorHAnsi"/>
          <w:lang w:val="sr-Cyrl-RS"/>
        </w:rPr>
        <w:t xml:space="preserve"> </w:t>
      </w:r>
      <w:r w:rsidRPr="006E5017">
        <w:rPr>
          <w:rFonts w:eastAsiaTheme="minorHAnsi"/>
          <w:lang w:val="sr-Cyrl-RS"/>
        </w:rPr>
        <w:t>на тему: „Стварање нове реалности - Стокхолмски форум о родној равноправности“ (</w:t>
      </w:r>
      <w:r w:rsidRPr="00EC2E2A">
        <w:rPr>
          <w:rFonts w:eastAsiaTheme="minorHAnsi"/>
          <w:color w:val="000000"/>
          <w:shd w:val="clear" w:color="auto" w:fill="FFFFFF"/>
          <w:lang w:val="sr-Cyrl-RS"/>
        </w:rPr>
        <w:t>„</w:t>
      </w:r>
      <w:r w:rsidRPr="006E5017">
        <w:rPr>
          <w:rFonts w:eastAsiaTheme="minorHAnsi"/>
          <w:color w:val="000000"/>
          <w:shd w:val="clear" w:color="auto" w:fill="FFFFFF"/>
          <w:lang w:val="en-US"/>
        </w:rPr>
        <w:t>Shaping</w:t>
      </w:r>
      <w:r w:rsidRPr="00EC2E2A">
        <w:rPr>
          <w:rFonts w:eastAsiaTheme="minorHAnsi"/>
          <w:color w:val="000000"/>
          <w:shd w:val="clear" w:color="auto" w:fill="FFFFFF"/>
          <w:lang w:val="sr-Cyrl-RS"/>
        </w:rPr>
        <w:t xml:space="preserve"> </w:t>
      </w:r>
      <w:r w:rsidRPr="006E5017">
        <w:rPr>
          <w:rFonts w:eastAsiaTheme="minorHAnsi"/>
          <w:color w:val="000000"/>
          <w:shd w:val="clear" w:color="auto" w:fill="FFFFFF"/>
          <w:lang w:val="en-US"/>
        </w:rPr>
        <w:t>New</w:t>
      </w:r>
      <w:r w:rsidRPr="00EC2E2A">
        <w:rPr>
          <w:rFonts w:eastAsiaTheme="minorHAnsi"/>
          <w:color w:val="000000"/>
          <w:shd w:val="clear" w:color="auto" w:fill="FFFFFF"/>
          <w:lang w:val="sr-Cyrl-RS"/>
        </w:rPr>
        <w:t xml:space="preserve"> </w:t>
      </w:r>
      <w:r w:rsidRPr="006E5017">
        <w:rPr>
          <w:rFonts w:eastAsiaTheme="minorHAnsi"/>
          <w:color w:val="000000"/>
          <w:shd w:val="clear" w:color="auto" w:fill="FFFFFF"/>
          <w:lang w:val="en-US"/>
        </w:rPr>
        <w:t>Realities</w:t>
      </w:r>
      <w:r w:rsidRPr="00EC2E2A">
        <w:rPr>
          <w:rFonts w:eastAsiaTheme="minorHAnsi"/>
          <w:color w:val="000000"/>
          <w:shd w:val="clear" w:color="auto" w:fill="FFFFFF"/>
          <w:lang w:val="sr-Cyrl-RS"/>
        </w:rPr>
        <w:t xml:space="preserve"> </w:t>
      </w:r>
      <w:r w:rsidRPr="00EC2E2A">
        <w:rPr>
          <w:rFonts w:eastAsiaTheme="minorHAnsi"/>
          <w:color w:val="000000"/>
          <w:shd w:val="clear" w:color="auto" w:fill="FFFFFF"/>
          <w:lang w:val="sr-Cyrl-RS" w:eastAsia="sr-Cyrl-CS"/>
        </w:rPr>
        <w:t xml:space="preserve">- </w:t>
      </w:r>
      <w:r w:rsidRPr="006E5017">
        <w:rPr>
          <w:rFonts w:eastAsiaTheme="minorHAnsi"/>
          <w:color w:val="000000"/>
          <w:shd w:val="clear" w:color="auto" w:fill="FFFFFF"/>
          <w:lang w:val="en-US"/>
        </w:rPr>
        <w:t>Stockholm</w:t>
      </w:r>
      <w:r w:rsidRPr="00EC2E2A">
        <w:rPr>
          <w:rFonts w:eastAsiaTheme="minorHAnsi"/>
          <w:color w:val="000000"/>
          <w:shd w:val="clear" w:color="auto" w:fill="FFFFFF"/>
          <w:lang w:val="sr-Cyrl-RS"/>
        </w:rPr>
        <w:t xml:space="preserve"> </w:t>
      </w:r>
      <w:r w:rsidRPr="006E5017">
        <w:rPr>
          <w:rFonts w:eastAsiaTheme="minorHAnsi"/>
          <w:color w:val="000000"/>
          <w:shd w:val="clear" w:color="auto" w:fill="FFFFFF"/>
          <w:lang w:val="en-US"/>
        </w:rPr>
        <w:t>Forum</w:t>
      </w:r>
      <w:r w:rsidRPr="00EC2E2A">
        <w:rPr>
          <w:rFonts w:eastAsiaTheme="minorHAnsi"/>
          <w:color w:val="000000"/>
          <w:shd w:val="clear" w:color="auto" w:fill="FFFFFF"/>
          <w:lang w:val="sr-Cyrl-RS"/>
        </w:rPr>
        <w:t xml:space="preserve"> </w:t>
      </w:r>
      <w:r w:rsidRPr="006E5017">
        <w:rPr>
          <w:rFonts w:eastAsiaTheme="minorHAnsi"/>
          <w:color w:val="000000"/>
          <w:shd w:val="clear" w:color="auto" w:fill="FFFFFF"/>
          <w:lang w:val="en-US"/>
        </w:rPr>
        <w:t>on</w:t>
      </w:r>
      <w:r w:rsidRPr="00EC2E2A">
        <w:rPr>
          <w:rFonts w:eastAsiaTheme="minorHAnsi"/>
          <w:color w:val="000000"/>
          <w:shd w:val="clear" w:color="auto" w:fill="FFFFFF"/>
          <w:lang w:val="sr-Cyrl-RS"/>
        </w:rPr>
        <w:t xml:space="preserve"> </w:t>
      </w:r>
      <w:r w:rsidRPr="006E5017">
        <w:rPr>
          <w:rFonts w:eastAsiaTheme="minorHAnsi"/>
          <w:color w:val="000000"/>
          <w:shd w:val="clear" w:color="auto" w:fill="FFFFFF"/>
          <w:lang w:val="en-US"/>
        </w:rPr>
        <w:t>Gender</w:t>
      </w:r>
      <w:r w:rsidRPr="00EC2E2A">
        <w:rPr>
          <w:rFonts w:eastAsiaTheme="minorHAnsi"/>
          <w:color w:val="000000"/>
          <w:shd w:val="clear" w:color="auto" w:fill="FFFFFF"/>
          <w:lang w:val="sr-Cyrl-RS"/>
        </w:rPr>
        <w:t xml:space="preserve"> </w:t>
      </w:r>
      <w:r w:rsidRPr="006E5017">
        <w:rPr>
          <w:rFonts w:eastAsiaTheme="minorHAnsi"/>
          <w:color w:val="000000"/>
          <w:shd w:val="clear" w:color="auto" w:fill="FFFFFF"/>
          <w:lang w:val="en-US"/>
        </w:rPr>
        <w:t>Equality</w:t>
      </w:r>
      <w:r w:rsidRPr="00EC2E2A">
        <w:rPr>
          <w:rFonts w:eastAsiaTheme="minorHAnsi"/>
          <w:color w:val="000000"/>
          <w:shd w:val="clear" w:color="auto" w:fill="FFFFFF"/>
          <w:lang w:val="sr-Cyrl-RS"/>
        </w:rPr>
        <w:t>”</w:t>
      </w:r>
      <w:r w:rsidRPr="006E5017">
        <w:rPr>
          <w:rFonts w:eastAsiaTheme="minorHAnsi"/>
          <w:color w:val="000000"/>
          <w:shd w:val="clear" w:color="auto" w:fill="FFFFFF"/>
          <w:lang w:val="sr-Cyrl-RS"/>
        </w:rPr>
        <w:t>)</w:t>
      </w:r>
      <w:r w:rsidRPr="006E5017">
        <w:rPr>
          <w:rFonts w:eastAsiaTheme="minorHAnsi"/>
          <w:lang w:val="sr-Cyrl-RS"/>
        </w:rPr>
        <w:t>. Организатор</w:t>
      </w:r>
      <w:r>
        <w:rPr>
          <w:rFonts w:eastAsiaTheme="minorHAnsi"/>
          <w:lang w:val="sr-Cyrl-RS"/>
        </w:rPr>
        <w:t xml:space="preserve"> ове</w:t>
      </w:r>
      <w:r w:rsidRPr="006E5017">
        <w:rPr>
          <w:rFonts w:eastAsiaTheme="minorHAnsi"/>
          <w:lang w:val="sr-Cyrl-RS"/>
        </w:rPr>
        <w:t xml:space="preserve"> конференције је било Министарство спољних послова Краљевине Шведске уз подршку Шведског института (SI)</w:t>
      </w:r>
      <w:r>
        <w:rPr>
          <w:rFonts w:eastAsiaTheme="minorHAnsi"/>
          <w:lang w:val="sr-Cyrl-RS"/>
        </w:rPr>
        <w:t xml:space="preserve"> и других органа и организација. </w:t>
      </w:r>
      <w:r w:rsidRPr="006E5017">
        <w:rPr>
          <w:rFonts w:eastAsiaTheme="minorHAnsi"/>
          <w:lang w:val="sr-Cyrl-RS"/>
        </w:rPr>
        <w:t>Поред тога, делегација Министарства</w:t>
      </w:r>
      <w:r>
        <w:rPr>
          <w:rFonts w:eastAsiaTheme="minorHAnsi"/>
          <w:lang w:val="sr-Cyrl-RS"/>
        </w:rPr>
        <w:t xml:space="preserve"> је</w:t>
      </w:r>
      <w:r w:rsidRPr="006E5017">
        <w:rPr>
          <w:rFonts w:eastAsiaTheme="minorHAnsi"/>
          <w:lang w:val="sr-Cyrl-RS"/>
        </w:rPr>
        <w:t>, на маргинама Ст</w:t>
      </w:r>
      <w:r w:rsidRPr="006E5017">
        <w:rPr>
          <w:rFonts w:eastAsiaTheme="minorHAnsi"/>
          <w:lang w:val="en-US"/>
        </w:rPr>
        <w:t>o</w:t>
      </w:r>
      <w:r w:rsidRPr="006E5017">
        <w:rPr>
          <w:rFonts w:eastAsiaTheme="minorHAnsi"/>
          <w:lang w:val="sr-Cyrl-RS"/>
        </w:rPr>
        <w:t>кхолмског форума за родн</w:t>
      </w:r>
      <w:r>
        <w:rPr>
          <w:rFonts w:eastAsiaTheme="minorHAnsi"/>
          <w:lang w:val="sr-Cyrl-RS"/>
        </w:rPr>
        <w:t xml:space="preserve">у равноправност, реализовала </w:t>
      </w:r>
      <w:r w:rsidRPr="006E5017">
        <w:rPr>
          <w:rFonts w:eastAsiaTheme="minorHAnsi"/>
          <w:lang w:val="sr-Cyrl-RS"/>
        </w:rPr>
        <w:t>и посебне састанке са представницима: Агенције за родну равноправност Краљевине Шведске, Шведске агенције за</w:t>
      </w:r>
      <w:r>
        <w:rPr>
          <w:rFonts w:eastAsiaTheme="minorHAnsi"/>
          <w:lang w:val="sr-Cyrl-RS"/>
        </w:rPr>
        <w:t xml:space="preserve"> међународну развојну сарадњу и Нордијског савета</w:t>
      </w:r>
      <w:r w:rsidRPr="006E5017">
        <w:rPr>
          <w:rFonts w:eastAsiaTheme="minorHAnsi"/>
          <w:lang w:val="sr-Cyrl-RS"/>
        </w:rPr>
        <w:t>, на којима су изнети конкретни предлози за унапређење регионалне сарадње и билатералне сарадње у области родне равноправности</w:t>
      </w:r>
      <w:r>
        <w:rPr>
          <w:rFonts w:eastAsiaTheme="minorHAnsi"/>
          <w:lang w:val="sr-Cyrl-RS"/>
        </w:rPr>
        <w:t>. У вези са наведеним, истичемо да је Нордијски савет био покровитељ Регионалне конференције земаља Западног Балкана, која је релизована 10. децембра 2018. године у Београду у организацији ресорног Министарства и која је била посвећена размени искустава и добрих пракси у региону ради унапређења положаја жена на селу.</w:t>
      </w:r>
    </w:p>
    <w:p w:rsidR="00A25A3D" w:rsidRPr="00A274B5" w:rsidRDefault="00A25A3D" w:rsidP="00A25A3D">
      <w:pPr>
        <w:spacing w:before="60" w:line="259" w:lineRule="auto"/>
        <w:ind w:firstLine="720"/>
        <w:jc w:val="both"/>
        <w:rPr>
          <w:rFonts w:eastAsiaTheme="minorHAnsi"/>
          <w:lang w:val="sr-Cyrl-RS"/>
        </w:rPr>
      </w:pPr>
      <w:r>
        <w:rPr>
          <w:rFonts w:eastAsiaTheme="minorHAnsi"/>
          <w:lang w:val="sr-Cyrl-RS"/>
        </w:rPr>
        <w:t xml:space="preserve">Поводом обележавања </w:t>
      </w:r>
      <w:r>
        <w:rPr>
          <w:rFonts w:eastAsiaTheme="minorHAnsi"/>
          <w:lang w:val="sr-Latn-ME"/>
        </w:rPr>
        <w:t>Међународног</w:t>
      </w:r>
      <w:r w:rsidRPr="00A274B5">
        <w:rPr>
          <w:rFonts w:eastAsiaTheme="minorHAnsi"/>
          <w:lang w:val="sr-Latn-ME"/>
        </w:rPr>
        <w:t xml:space="preserve"> дан</w:t>
      </w:r>
      <w:r>
        <w:rPr>
          <w:rFonts w:eastAsiaTheme="minorHAnsi"/>
          <w:lang w:val="sr-Cyrl-RS"/>
        </w:rPr>
        <w:t>а</w:t>
      </w:r>
      <w:r w:rsidRPr="00A274B5">
        <w:rPr>
          <w:rFonts w:eastAsiaTheme="minorHAnsi"/>
          <w:lang w:val="sr-Latn-ME"/>
        </w:rPr>
        <w:t xml:space="preserve"> жена на селу</w:t>
      </w:r>
      <w:r>
        <w:rPr>
          <w:rFonts w:eastAsiaTheme="minorHAnsi"/>
          <w:lang w:val="sr-Cyrl-RS"/>
        </w:rPr>
        <w:t>, представници</w:t>
      </w:r>
      <w:r w:rsidRPr="00A274B5">
        <w:rPr>
          <w:rFonts w:eastAsiaTheme="minorHAnsi"/>
          <w:lang w:val="sr-Latn-ME"/>
        </w:rPr>
        <w:t xml:space="preserve"> Министарств</w:t>
      </w:r>
      <w:r>
        <w:rPr>
          <w:rFonts w:eastAsiaTheme="minorHAnsi"/>
          <w:lang w:val="sr-Cyrl-RS"/>
        </w:rPr>
        <w:t>а су</w:t>
      </w:r>
      <w:r w:rsidRPr="00A274B5">
        <w:rPr>
          <w:rFonts w:eastAsiaTheme="minorHAnsi"/>
          <w:lang w:val="sr-Latn-ME"/>
        </w:rPr>
        <w:t xml:space="preserve"> 15. октобра 2018. године </w:t>
      </w:r>
      <w:r>
        <w:rPr>
          <w:rFonts w:eastAsiaTheme="minorHAnsi"/>
          <w:lang w:val="sr-Latn-ME"/>
        </w:rPr>
        <w:t>обишли</w:t>
      </w:r>
      <w:r w:rsidRPr="00A274B5">
        <w:rPr>
          <w:rFonts w:eastAsiaTheme="minorHAnsi"/>
          <w:lang w:val="sr-Latn-ME"/>
        </w:rPr>
        <w:t xml:space="preserve"> </w:t>
      </w:r>
      <w:r w:rsidRPr="00A274B5">
        <w:rPr>
          <w:rFonts w:eastAsiaTheme="minorHAnsi"/>
          <w:lang w:val="sr-Cyrl-RS"/>
        </w:rPr>
        <w:t xml:space="preserve">сеоска </w:t>
      </w:r>
      <w:r>
        <w:rPr>
          <w:rFonts w:eastAsiaTheme="minorHAnsi"/>
          <w:lang w:val="sr-Cyrl-RS"/>
        </w:rPr>
        <w:t xml:space="preserve">домаћинства на територији </w:t>
      </w:r>
      <w:r w:rsidRPr="00A274B5">
        <w:rPr>
          <w:rFonts w:eastAsiaTheme="minorHAnsi"/>
          <w:lang w:val="sr-Latn-ME"/>
        </w:rPr>
        <w:t>Гра</w:t>
      </w:r>
      <w:r w:rsidRPr="00A274B5">
        <w:rPr>
          <w:rFonts w:eastAsiaTheme="minorHAnsi"/>
          <w:lang w:val="sr-Cyrl-RS"/>
        </w:rPr>
        <w:t>д</w:t>
      </w:r>
      <w:r>
        <w:rPr>
          <w:rFonts w:eastAsiaTheme="minorHAnsi"/>
          <w:lang w:val="sr-Cyrl-RS"/>
        </w:rPr>
        <w:t>а</w:t>
      </w:r>
      <w:r w:rsidRPr="00A274B5">
        <w:rPr>
          <w:rFonts w:eastAsiaTheme="minorHAnsi"/>
          <w:lang w:val="sr-Latn-ME"/>
        </w:rPr>
        <w:t xml:space="preserve"> Крушевц</w:t>
      </w:r>
      <w:r>
        <w:rPr>
          <w:rFonts w:eastAsiaTheme="minorHAnsi"/>
          <w:lang w:val="sr-Cyrl-RS"/>
        </w:rPr>
        <w:t>а</w:t>
      </w:r>
      <w:r w:rsidRPr="00A274B5">
        <w:rPr>
          <w:rFonts w:eastAsiaTheme="minorHAnsi"/>
          <w:lang w:val="sr-Latn-ME"/>
        </w:rPr>
        <w:t>, где су, заједно са предст</w:t>
      </w:r>
      <w:r>
        <w:rPr>
          <w:rFonts w:eastAsiaTheme="minorHAnsi"/>
          <w:lang w:val="sr-Cyrl-RS"/>
        </w:rPr>
        <w:t>а</w:t>
      </w:r>
      <w:r w:rsidRPr="00A274B5">
        <w:rPr>
          <w:rFonts w:eastAsiaTheme="minorHAnsi"/>
          <w:lang w:val="sr-Latn-ME"/>
        </w:rPr>
        <w:t>вницима</w:t>
      </w:r>
      <w:r>
        <w:rPr>
          <w:rFonts w:eastAsiaTheme="minorHAnsi"/>
          <w:lang w:val="sr-Cyrl-RS"/>
        </w:rPr>
        <w:t xml:space="preserve"> органа локалне самоуправе</w:t>
      </w:r>
      <w:r w:rsidRPr="00A274B5">
        <w:rPr>
          <w:rFonts w:eastAsiaTheme="minorHAnsi"/>
          <w:lang w:val="sr-Latn-ME"/>
        </w:rPr>
        <w:t xml:space="preserve"> разговарали</w:t>
      </w:r>
      <w:r>
        <w:rPr>
          <w:rFonts w:eastAsiaTheme="minorHAnsi"/>
          <w:lang w:val="sr-Cyrl-RS"/>
        </w:rPr>
        <w:t xml:space="preserve"> са </w:t>
      </w:r>
      <w:r w:rsidRPr="00A274B5">
        <w:rPr>
          <w:rFonts w:eastAsiaTheme="minorHAnsi"/>
          <w:lang w:val="sr-Cyrl-RS"/>
        </w:rPr>
        <w:t>жена</w:t>
      </w:r>
      <w:r>
        <w:rPr>
          <w:rFonts w:eastAsiaTheme="minorHAnsi"/>
          <w:lang w:val="sr-Cyrl-RS"/>
        </w:rPr>
        <w:t>ма</w:t>
      </w:r>
      <w:r w:rsidRPr="00A274B5">
        <w:rPr>
          <w:rFonts w:eastAsiaTheme="minorHAnsi"/>
          <w:lang w:val="sr-Cyrl-RS"/>
        </w:rPr>
        <w:t xml:space="preserve"> са села и члановима њихових домаћинстава </w:t>
      </w:r>
      <w:r>
        <w:rPr>
          <w:rFonts w:eastAsiaTheme="minorHAnsi"/>
          <w:lang w:val="sr-Cyrl-RS"/>
        </w:rPr>
        <w:t>о томе</w:t>
      </w:r>
      <w:r w:rsidRPr="00A274B5">
        <w:rPr>
          <w:rFonts w:eastAsiaTheme="minorHAnsi"/>
          <w:lang w:val="sr-Latn-ME"/>
        </w:rPr>
        <w:t xml:space="preserve"> на који се начин може побољшати и унапредити положај жена на селу.</w:t>
      </w:r>
      <w:r>
        <w:rPr>
          <w:rFonts w:eastAsiaTheme="minorHAnsi"/>
          <w:lang w:val="sr-Latn-ME"/>
        </w:rPr>
        <w:t xml:space="preserve"> </w:t>
      </w:r>
    </w:p>
    <w:p w:rsidR="00A25A3D" w:rsidRPr="00A274B5" w:rsidRDefault="00A25A3D" w:rsidP="00A25A3D">
      <w:pPr>
        <w:spacing w:before="60"/>
        <w:ind w:firstLine="720"/>
        <w:jc w:val="both"/>
        <w:rPr>
          <w:rFonts w:eastAsiaTheme="minorHAnsi"/>
          <w:lang w:val="sr-Latn-ME"/>
        </w:rPr>
      </w:pPr>
      <w:r>
        <w:rPr>
          <w:rFonts w:eastAsiaTheme="minorHAnsi"/>
          <w:lang w:val="sr-Cyrl-RS"/>
        </w:rPr>
        <w:t xml:space="preserve">Такође, треба истаћи да је наведено Министарство планирало и издвојило </w:t>
      </w:r>
      <w:r w:rsidRPr="00A274B5">
        <w:rPr>
          <w:rFonts w:eastAsiaTheme="minorHAnsi"/>
          <w:lang w:val="sr-Latn-ME"/>
        </w:rPr>
        <w:t>3.000.000</w:t>
      </w:r>
      <w:r>
        <w:rPr>
          <w:rFonts w:eastAsiaTheme="minorHAnsi"/>
          <w:lang w:val="sr-Cyrl-RS"/>
        </w:rPr>
        <w:t>,00</w:t>
      </w:r>
      <w:r w:rsidRPr="00A274B5">
        <w:rPr>
          <w:rFonts w:eastAsiaTheme="minorHAnsi"/>
          <w:lang w:val="sr-Cyrl-RS"/>
        </w:rPr>
        <w:t xml:space="preserve"> </w:t>
      </w:r>
      <w:r>
        <w:rPr>
          <w:rFonts w:eastAsiaTheme="minorHAnsi"/>
          <w:lang w:val="sr-Cyrl-RS"/>
        </w:rPr>
        <w:t>динара</w:t>
      </w:r>
      <w:r w:rsidRPr="00A274B5">
        <w:rPr>
          <w:rFonts w:eastAsiaTheme="minorHAnsi"/>
          <w:lang w:val="sr-Latn-ME"/>
        </w:rPr>
        <w:t xml:space="preserve"> </w:t>
      </w:r>
      <w:r>
        <w:rPr>
          <w:rFonts w:eastAsiaTheme="minorHAnsi"/>
          <w:lang w:val="sr-Cyrl-RS"/>
        </w:rPr>
        <w:t xml:space="preserve">буџетских средстава </w:t>
      </w:r>
      <w:r w:rsidRPr="00A274B5">
        <w:rPr>
          <w:rFonts w:eastAsiaTheme="minorHAnsi"/>
          <w:lang w:val="sr-Latn-ME"/>
        </w:rPr>
        <w:t>за реализацију пројеката удружења</w:t>
      </w:r>
      <w:r>
        <w:rPr>
          <w:rFonts w:eastAsiaTheme="minorHAnsi"/>
          <w:lang w:val="sr-Cyrl-RS"/>
        </w:rPr>
        <w:t xml:space="preserve"> у 2018. години</w:t>
      </w:r>
      <w:r w:rsidRPr="00A274B5">
        <w:rPr>
          <w:rFonts w:eastAsiaTheme="minorHAnsi"/>
          <w:lang w:val="sr-Latn-ME"/>
        </w:rPr>
        <w:t xml:space="preserve"> на тему економског оснаживања жена на селу. </w:t>
      </w:r>
      <w:r w:rsidRPr="00A274B5">
        <w:rPr>
          <w:rFonts w:eastAsiaTheme="minorHAnsi"/>
          <w:lang w:val="sr-Cyrl-RS"/>
        </w:rPr>
        <w:t xml:space="preserve">На основу Јавног конкурса и </w:t>
      </w:r>
      <w:r>
        <w:rPr>
          <w:rFonts w:eastAsiaTheme="minorHAnsi"/>
          <w:lang w:val="sr-Cyrl-RS"/>
        </w:rPr>
        <w:t xml:space="preserve">достављених 57 </w:t>
      </w:r>
      <w:r w:rsidRPr="00A274B5">
        <w:rPr>
          <w:rFonts w:eastAsiaTheme="minorHAnsi"/>
          <w:lang w:val="sr-Cyrl-RS"/>
        </w:rPr>
        <w:t xml:space="preserve">предлога пројеката </w:t>
      </w:r>
      <w:r>
        <w:rPr>
          <w:rFonts w:eastAsiaTheme="minorHAnsi"/>
          <w:lang w:val="sr-Cyrl-RS"/>
        </w:rPr>
        <w:t>комисија је изабрала</w:t>
      </w:r>
      <w:r w:rsidRPr="00A274B5">
        <w:rPr>
          <w:rFonts w:eastAsiaTheme="minorHAnsi"/>
          <w:lang w:val="sr-Cyrl-RS"/>
        </w:rPr>
        <w:t xml:space="preserve"> 11 удружења којима је укупно додељено 2.793.28 </w:t>
      </w:r>
      <w:r>
        <w:rPr>
          <w:rFonts w:eastAsiaTheme="minorHAnsi"/>
          <w:lang w:val="sr-Cyrl-RS"/>
        </w:rPr>
        <w:t xml:space="preserve">динара </w:t>
      </w:r>
      <w:r w:rsidRPr="00A274B5">
        <w:rPr>
          <w:rFonts w:eastAsiaTheme="minorHAnsi"/>
          <w:lang w:val="sr-Cyrl-RS"/>
        </w:rPr>
        <w:t>за реализацију пројеката намењених економском оснаживању жена на селу</w:t>
      </w:r>
      <w:r>
        <w:rPr>
          <w:rFonts w:eastAsiaTheme="minorHAnsi"/>
          <w:lang w:val="sr-Cyrl-RS"/>
        </w:rPr>
        <w:t>. Пројекти су, поред едукације жена на селу, садржали конкретна решења којима је омогућено побољшање економског положаја жена на селу и то: куповином и узгојем стоке или живине; набавком пластеника и расада; набавком семенског материјала и производњом лековитог биља итд. чиме је покренута производња која ће обезбедити одрживост изабраних пројеката и након шест месеци почетне имплементације.</w:t>
      </w:r>
    </w:p>
    <w:p w:rsidR="00A25A3D" w:rsidRDefault="00A25A3D" w:rsidP="00A25A3D">
      <w:pPr>
        <w:pStyle w:val="BodyText2"/>
        <w:spacing w:before="60"/>
        <w:ind w:firstLine="720"/>
        <w:rPr>
          <w:lang w:val="sr-Cyrl-RS"/>
        </w:rPr>
      </w:pPr>
    </w:p>
    <w:p w:rsidR="00556FC5" w:rsidRDefault="00556FC5" w:rsidP="00495FE3">
      <w:pPr>
        <w:pStyle w:val="BodyText2"/>
        <w:numPr>
          <w:ilvl w:val="0"/>
          <w:numId w:val="5"/>
        </w:numPr>
        <w:rPr>
          <w:b/>
          <w:lang w:val="sr-Cyrl-RS"/>
        </w:rPr>
      </w:pPr>
      <w:r w:rsidRPr="00556FC5">
        <w:rPr>
          <w:b/>
          <w:lang w:val="sr-Cyrl-RS"/>
        </w:rPr>
        <w:t>Остваривање начела равноправости полова у области здравствене заштите</w:t>
      </w:r>
    </w:p>
    <w:p w:rsidR="00495FE3" w:rsidRPr="00556FC5" w:rsidRDefault="00495FE3" w:rsidP="00495FE3">
      <w:pPr>
        <w:pStyle w:val="BodyText2"/>
        <w:ind w:left="720"/>
        <w:rPr>
          <w:b/>
          <w:lang w:val="sr-Cyrl-RS"/>
        </w:rPr>
      </w:pPr>
    </w:p>
    <w:p w:rsidR="00556FC5" w:rsidRDefault="00A22C93" w:rsidP="004358A3">
      <w:pPr>
        <w:pStyle w:val="BodyText2"/>
        <w:spacing w:before="60"/>
        <w:ind w:firstLine="720"/>
        <w:rPr>
          <w:iCs/>
          <w:lang w:val="sr-Cyrl-RS"/>
        </w:rPr>
      </w:pPr>
      <w:r>
        <w:rPr>
          <w:lang w:val="sr-Cyrl-RS"/>
        </w:rPr>
        <w:t xml:space="preserve">Остваривање права различитих полова у области здравствене заштите је регулисано чл. 24 и 25. </w:t>
      </w:r>
      <w:r w:rsidRPr="00A20DFC">
        <w:rPr>
          <w:i/>
          <w:lang w:val="sr-Cyrl-RS"/>
        </w:rPr>
        <w:t>Закона о равноправности полова</w:t>
      </w:r>
      <w:r>
        <w:rPr>
          <w:lang w:val="sr-Cyrl-RS"/>
        </w:rPr>
        <w:t xml:space="preserve">. </w:t>
      </w:r>
      <w:r w:rsidR="00495FE3">
        <w:rPr>
          <w:lang w:val="sr-Cyrl-RS"/>
        </w:rPr>
        <w:t>П</w:t>
      </w:r>
      <w:r>
        <w:rPr>
          <w:lang w:val="sr-Cyrl-RS"/>
        </w:rPr>
        <w:t>оред тога, п</w:t>
      </w:r>
      <w:r w:rsidR="00495FE3">
        <w:rPr>
          <w:lang w:val="sr-Cyrl-RS"/>
        </w:rPr>
        <w:t xml:space="preserve">раво на здравствену заштиту је једно од основних </w:t>
      </w:r>
      <w:r>
        <w:rPr>
          <w:lang w:val="sr-Cyrl-RS"/>
        </w:rPr>
        <w:t xml:space="preserve">људских </w:t>
      </w:r>
      <w:r w:rsidR="00495FE3">
        <w:rPr>
          <w:lang w:val="sr-Cyrl-RS"/>
        </w:rPr>
        <w:t>права и као такво</w:t>
      </w:r>
      <w:r>
        <w:rPr>
          <w:lang w:val="sr-Cyrl-RS"/>
        </w:rPr>
        <w:t>,</w:t>
      </w:r>
      <w:r w:rsidR="00495FE3">
        <w:rPr>
          <w:lang w:val="sr-Cyrl-RS"/>
        </w:rPr>
        <w:t xml:space="preserve"> ближе је регулисано </w:t>
      </w:r>
      <w:r w:rsidR="00495FE3" w:rsidRPr="009C169D">
        <w:rPr>
          <w:i/>
          <w:lang w:val="sr-Cyrl-RS"/>
        </w:rPr>
        <w:t>Законом о здравственој заштити</w:t>
      </w:r>
      <w:r w:rsidR="00495FE3">
        <w:rPr>
          <w:lang w:val="sr-Cyrl-RS"/>
        </w:rPr>
        <w:t xml:space="preserve"> </w:t>
      </w:r>
      <w:r w:rsidR="00495FE3" w:rsidRPr="00EC2E2A">
        <w:rPr>
          <w:iCs/>
          <w:lang w:val="ru-RU"/>
        </w:rPr>
        <w:t>(</w:t>
      </w:r>
      <w:r w:rsidR="00D5752F">
        <w:rPr>
          <w:iCs/>
          <w:lang w:val="sr-Cyrl-RS"/>
        </w:rPr>
        <w:t>„</w:t>
      </w:r>
      <w:r w:rsidR="000E0A48" w:rsidRPr="00A274B5">
        <w:rPr>
          <w:rFonts w:eastAsiaTheme="minorHAnsi"/>
          <w:lang w:val="sr-Latn-ME"/>
        </w:rPr>
        <w:t>Службени</w:t>
      </w:r>
      <w:r w:rsidR="00495FE3" w:rsidRPr="00EC2E2A">
        <w:rPr>
          <w:iCs/>
          <w:lang w:val="ru-RU"/>
        </w:rPr>
        <w:t xml:space="preserve"> гласник РС</w:t>
      </w:r>
      <w:r w:rsidR="00D5752F">
        <w:rPr>
          <w:iCs/>
          <w:lang w:val="sr-Cyrl-RS"/>
        </w:rPr>
        <w:t>“</w:t>
      </w:r>
      <w:r w:rsidR="00495FE3" w:rsidRPr="00EC2E2A">
        <w:rPr>
          <w:iCs/>
          <w:lang w:val="ru-RU"/>
        </w:rPr>
        <w:t>, бр. 107/2005, 72/2009 – др.</w:t>
      </w:r>
      <w:r w:rsidR="00495FE3" w:rsidRPr="00495FE3">
        <w:rPr>
          <w:iCs/>
          <w:lang w:val="sr-Cyrl-RS"/>
        </w:rPr>
        <w:t xml:space="preserve"> закон</w:t>
      </w:r>
      <w:r w:rsidR="00495FE3" w:rsidRPr="00EC2E2A">
        <w:rPr>
          <w:iCs/>
          <w:lang w:val="ru-RU"/>
        </w:rPr>
        <w:t>, 88/2010, 99/2010, 57/2011, 119/2012, 45/2013 - др.</w:t>
      </w:r>
      <w:r w:rsidR="00495FE3" w:rsidRPr="00495FE3">
        <w:rPr>
          <w:iCs/>
          <w:lang w:val="sr-Cyrl-RS"/>
        </w:rPr>
        <w:t xml:space="preserve"> </w:t>
      </w:r>
      <w:r w:rsidR="00495FE3">
        <w:rPr>
          <w:iCs/>
          <w:lang w:val="sr-Cyrl-RS"/>
        </w:rPr>
        <w:t>з</w:t>
      </w:r>
      <w:r w:rsidR="00495FE3" w:rsidRPr="00495FE3">
        <w:rPr>
          <w:iCs/>
          <w:lang w:val="sr-Cyrl-RS"/>
        </w:rPr>
        <w:t>акон,</w:t>
      </w:r>
      <w:r w:rsidR="00495FE3" w:rsidRPr="00EC2E2A">
        <w:rPr>
          <w:iCs/>
          <w:lang w:val="ru-RU"/>
        </w:rPr>
        <w:t xml:space="preserve"> 93/2014, 96/2015, 106/2015, 113/2017 - др.</w:t>
      </w:r>
      <w:r w:rsidR="00495FE3" w:rsidRPr="00495FE3">
        <w:rPr>
          <w:iCs/>
          <w:lang w:val="sr-Cyrl-RS"/>
        </w:rPr>
        <w:t xml:space="preserve"> закон</w:t>
      </w:r>
      <w:r w:rsidR="00495FE3" w:rsidRPr="00EC2E2A">
        <w:rPr>
          <w:iCs/>
          <w:lang w:val="ru-RU"/>
        </w:rPr>
        <w:t xml:space="preserve"> 105/2017 - др.</w:t>
      </w:r>
      <w:r w:rsidR="00495FE3" w:rsidRPr="00495FE3">
        <w:rPr>
          <w:iCs/>
          <w:lang w:val="sr-Cyrl-RS"/>
        </w:rPr>
        <w:t xml:space="preserve"> закон</w:t>
      </w:r>
      <w:r w:rsidR="00495FE3" w:rsidRPr="00EC2E2A">
        <w:rPr>
          <w:iCs/>
          <w:lang w:val="ru-RU"/>
        </w:rPr>
        <w:t>)</w:t>
      </w:r>
      <w:r w:rsidR="00E36AB1">
        <w:rPr>
          <w:iCs/>
          <w:lang w:val="sr-Cyrl-RS"/>
        </w:rPr>
        <w:t xml:space="preserve">. Будући да је посредна и непосредна дискриминација на основу </w:t>
      </w:r>
      <w:r w:rsidR="00D5752F">
        <w:rPr>
          <w:iCs/>
          <w:lang w:val="sr-Cyrl-RS"/>
        </w:rPr>
        <w:t>пола</w:t>
      </w:r>
      <w:r w:rsidR="00E36AB1">
        <w:rPr>
          <w:iCs/>
          <w:lang w:val="sr-Cyrl-RS"/>
        </w:rPr>
        <w:t xml:space="preserve"> присутна и у овој области, </w:t>
      </w:r>
      <w:r w:rsidR="00E36AB1" w:rsidRPr="00D5752F">
        <w:rPr>
          <w:i/>
          <w:iCs/>
          <w:lang w:val="sr-Cyrl-RS"/>
        </w:rPr>
        <w:t>Закон о равноправности полова</w:t>
      </w:r>
      <w:r w:rsidR="00E36AB1">
        <w:rPr>
          <w:iCs/>
          <w:lang w:val="sr-Cyrl-RS"/>
        </w:rPr>
        <w:t xml:space="preserve"> тежи ка сузбијању сваког вида дискриминације и ограничавања здравствене заштите.</w:t>
      </w:r>
    </w:p>
    <w:p w:rsidR="00344571" w:rsidRPr="00556FC5" w:rsidRDefault="00556FC5" w:rsidP="004358A3">
      <w:pPr>
        <w:pStyle w:val="BodyText2"/>
        <w:spacing w:before="60"/>
        <w:ind w:firstLine="720"/>
        <w:rPr>
          <w:lang w:val="sr-Cyrl-RS"/>
        </w:rPr>
      </w:pPr>
      <w:r w:rsidRPr="00556FC5">
        <w:rPr>
          <w:lang w:val="sr-Cyrl-RS"/>
        </w:rPr>
        <w:lastRenderedPageBreak/>
        <w:t>У извештају који је д</w:t>
      </w:r>
      <w:r w:rsidR="00D5752F">
        <w:rPr>
          <w:lang w:val="sr-Cyrl-RS"/>
        </w:rPr>
        <w:t>оставило Министарство здравља</w:t>
      </w:r>
      <w:r w:rsidRPr="00556FC5">
        <w:rPr>
          <w:lang w:val="sr-Cyrl-RS"/>
        </w:rPr>
        <w:t xml:space="preserve"> у вези </w:t>
      </w:r>
      <w:r w:rsidR="00D5752F">
        <w:rPr>
          <w:lang w:val="sr-Cyrl-RS"/>
        </w:rPr>
        <w:t>с</w:t>
      </w:r>
      <w:r w:rsidRPr="00556FC5">
        <w:rPr>
          <w:lang w:val="sr-Cyrl-RS"/>
        </w:rPr>
        <w:t>провођењ</w:t>
      </w:r>
      <w:r w:rsidR="00D5752F">
        <w:rPr>
          <w:lang w:val="sr-Cyrl-RS"/>
        </w:rPr>
        <w:t>а</w:t>
      </w:r>
      <w:r w:rsidRPr="00556FC5">
        <w:rPr>
          <w:lang w:val="sr-Cyrl-RS"/>
        </w:rPr>
        <w:t xml:space="preserve"> </w:t>
      </w:r>
      <w:r w:rsidRPr="00D5752F">
        <w:rPr>
          <w:i/>
          <w:lang w:val="sr-Cyrl-RS"/>
        </w:rPr>
        <w:t xml:space="preserve">Закона о равноправности полова </w:t>
      </w:r>
      <w:r w:rsidRPr="00556FC5">
        <w:rPr>
          <w:lang w:val="sr-Cyrl-RS"/>
        </w:rPr>
        <w:t xml:space="preserve">из надлежности прецизираних чланом 24. </w:t>
      </w:r>
      <w:r w:rsidR="00D5752F">
        <w:rPr>
          <w:lang w:val="sr-Cyrl-RS"/>
        </w:rPr>
        <w:t>тог з</w:t>
      </w:r>
      <w:r w:rsidRPr="00556FC5">
        <w:rPr>
          <w:lang w:val="sr-Cyrl-RS"/>
        </w:rPr>
        <w:t>акона</w:t>
      </w:r>
      <w:r w:rsidR="00D5752F">
        <w:rPr>
          <w:lang w:val="sr-Cyrl-RS"/>
        </w:rPr>
        <w:t>,</w:t>
      </w:r>
      <w:r w:rsidRPr="00556FC5">
        <w:rPr>
          <w:lang w:val="sr-Cyrl-RS"/>
        </w:rPr>
        <w:t xml:space="preserve"> наводи се да је </w:t>
      </w:r>
      <w:r w:rsidR="009C169D">
        <w:rPr>
          <w:i/>
          <w:lang w:val="sr-Cyrl-RS"/>
        </w:rPr>
        <w:t>Законом о здравственој заштити</w:t>
      </w:r>
      <w:r w:rsidR="00344571">
        <w:rPr>
          <w:lang w:val="sr-Cyrl-RS"/>
        </w:rPr>
        <w:t>, између осталог, прописано д</w:t>
      </w:r>
      <w:r w:rsidRPr="00556FC5">
        <w:rPr>
          <w:lang w:val="sr-Cyrl-RS"/>
        </w:rPr>
        <w:t>а право на здравствену заштиту има</w:t>
      </w:r>
      <w:r w:rsidR="009C169D">
        <w:rPr>
          <w:lang w:val="sr-Cyrl-RS"/>
        </w:rPr>
        <w:t xml:space="preserve"> сваки</w:t>
      </w:r>
      <w:r w:rsidRPr="00556FC5">
        <w:rPr>
          <w:lang w:val="sr-Cyrl-RS"/>
        </w:rPr>
        <w:t xml:space="preserve"> грађанин Републике Србије, као и друго лице које има пребивалиште или боравиште у Републици</w:t>
      </w:r>
      <w:r w:rsidR="009C169D">
        <w:rPr>
          <w:lang w:val="sr-Cyrl-RS"/>
        </w:rPr>
        <w:t xml:space="preserve"> Србији</w:t>
      </w:r>
      <w:r w:rsidRPr="00556FC5">
        <w:rPr>
          <w:lang w:val="sr-Cyrl-RS"/>
        </w:rPr>
        <w:t>, који има и дужност да чува и унапређује своје и здравље других грађана, као и</w:t>
      </w:r>
      <w:r w:rsidR="00344571">
        <w:rPr>
          <w:lang w:val="sr-Cyrl-RS"/>
        </w:rPr>
        <w:t xml:space="preserve"> услове животне и радне средине.</w:t>
      </w:r>
      <w:r w:rsidR="009C169D">
        <w:rPr>
          <w:lang w:val="sr-Cyrl-RS"/>
        </w:rPr>
        <w:t xml:space="preserve"> </w:t>
      </w:r>
      <w:r w:rsidRPr="00556FC5">
        <w:rPr>
          <w:lang w:val="sr-Cyrl-RS"/>
        </w:rPr>
        <w:t>Истим законом је утврђено начело правичности које се остварује забраном дискриминације приликом пружања здравствене заштите по основу pace, пола, старости, националне припадности, социјалног порекла, вероисповести, политичког или другог убеђења, имовног стања, културе, језика, врсте болести, психичког или телесног инвалидитета</w:t>
      </w:r>
      <w:r w:rsidR="00E36AB1">
        <w:rPr>
          <w:lang w:val="sr-Cyrl-RS"/>
        </w:rPr>
        <w:t xml:space="preserve">. </w:t>
      </w:r>
      <w:r w:rsidR="00344571" w:rsidRPr="00556FC5">
        <w:rPr>
          <w:lang w:val="sr-Cyrl-RS"/>
        </w:rPr>
        <w:t xml:space="preserve">Дакле, </w:t>
      </w:r>
      <w:r w:rsidR="00344571" w:rsidRPr="00344571">
        <w:rPr>
          <w:i/>
          <w:lang w:val="sr-Cyrl-RS"/>
        </w:rPr>
        <w:t xml:space="preserve">Закон </w:t>
      </w:r>
      <w:r w:rsidR="00344571" w:rsidRPr="00D5752F">
        <w:rPr>
          <w:i/>
          <w:lang w:val="sr-Cyrl-RS"/>
        </w:rPr>
        <w:t>о здравственој заштити</w:t>
      </w:r>
      <w:r w:rsidR="00344571" w:rsidRPr="00556FC5">
        <w:rPr>
          <w:lang w:val="sr-Cyrl-RS"/>
        </w:rPr>
        <w:t>, као и подзаконска акта</w:t>
      </w:r>
      <w:r w:rsidR="00344571">
        <w:rPr>
          <w:lang w:val="sr-Cyrl-RS"/>
        </w:rPr>
        <w:t xml:space="preserve"> која су донета за спровођење тог з</w:t>
      </w:r>
      <w:r w:rsidR="00344571" w:rsidRPr="00556FC5">
        <w:rPr>
          <w:lang w:val="sr-Cyrl-RS"/>
        </w:rPr>
        <w:t xml:space="preserve">акона, не садрже </w:t>
      </w:r>
      <w:r w:rsidR="00344571">
        <w:rPr>
          <w:lang w:val="sr-Cyrl-RS"/>
        </w:rPr>
        <w:t xml:space="preserve">дискриминаторне </w:t>
      </w:r>
      <w:r w:rsidR="00344571" w:rsidRPr="00556FC5">
        <w:rPr>
          <w:lang w:val="sr-Cyrl-RS"/>
        </w:rPr>
        <w:t>одредб</w:t>
      </w:r>
      <w:r w:rsidR="00344571">
        <w:rPr>
          <w:lang w:val="sr-Cyrl-RS"/>
        </w:rPr>
        <w:t>е по било ком основу, укључујући и пол.</w:t>
      </w:r>
    </w:p>
    <w:p w:rsidR="00556FC5" w:rsidRPr="00556FC5" w:rsidRDefault="00556FC5" w:rsidP="004358A3">
      <w:pPr>
        <w:pStyle w:val="BodyText2"/>
        <w:tabs>
          <w:tab w:val="left" w:pos="993"/>
        </w:tabs>
        <w:spacing w:before="60"/>
        <w:ind w:firstLine="720"/>
        <w:rPr>
          <w:lang w:val="sr-Cyrl-RS"/>
        </w:rPr>
      </w:pPr>
      <w:r w:rsidRPr="009C169D">
        <w:rPr>
          <w:i/>
          <w:lang w:val="sr-Cyrl-RS"/>
        </w:rPr>
        <w:t>Нацртом закона о здравственој заштити</w:t>
      </w:r>
      <w:r w:rsidRPr="00556FC5">
        <w:rPr>
          <w:lang w:val="sr-Cyrl-RS"/>
        </w:rPr>
        <w:t xml:space="preserve"> (чији поступак доношења је у току), ово начело </w:t>
      </w:r>
      <w:r w:rsidR="00997795">
        <w:rPr>
          <w:lang w:val="sr-Cyrl-RS"/>
        </w:rPr>
        <w:t xml:space="preserve">је </w:t>
      </w:r>
      <w:r w:rsidRPr="00556FC5">
        <w:rPr>
          <w:lang w:val="sr-Cyrl-RS"/>
        </w:rPr>
        <w:t>унапр</w:t>
      </w:r>
      <w:r w:rsidR="00997795">
        <w:rPr>
          <w:lang w:val="sr-Cyrl-RS"/>
        </w:rPr>
        <w:t>еђено на начин да подразумева „</w:t>
      </w:r>
      <w:r w:rsidRPr="00556FC5">
        <w:rPr>
          <w:lang w:val="sr-Cyrl-RS"/>
        </w:rPr>
        <w:t>забрану дискриминације у пружању здравствене заштите по основу pace, пола, рода, сексуалне оријентације и родног идентитета, старости, националне припадности, социјалног порекла, вероисповести, политичког или другог убеђења, имовног стања, културе, језика, здравственог стања, врсте болести, психичког или телесног инвалидитета, као и другог личног својства које</w:t>
      </w:r>
      <w:r w:rsidR="00997795">
        <w:rPr>
          <w:lang w:val="sr-Cyrl-RS"/>
        </w:rPr>
        <w:t xml:space="preserve"> може бити узрок дискриминације“.</w:t>
      </w:r>
    </w:p>
    <w:p w:rsidR="00556FC5" w:rsidRPr="00556FC5" w:rsidRDefault="00556FC5" w:rsidP="004358A3">
      <w:pPr>
        <w:pStyle w:val="BodyText2"/>
        <w:spacing w:before="60"/>
        <w:ind w:firstLine="720"/>
        <w:rPr>
          <w:lang w:val="sr-Cyrl-RS"/>
        </w:rPr>
      </w:pPr>
      <w:r w:rsidRPr="00344571">
        <w:rPr>
          <w:i/>
          <w:lang w:val="sr-Cyrl-RS"/>
        </w:rPr>
        <w:t>Законом о правима пацијената</w:t>
      </w:r>
      <w:r w:rsidRPr="00556FC5">
        <w:rPr>
          <w:lang w:val="sr-Cyrl-RS"/>
        </w:rPr>
        <w:t xml:space="preserve"> („</w:t>
      </w:r>
      <w:r w:rsidR="000E0A48" w:rsidRPr="00A274B5">
        <w:rPr>
          <w:rFonts w:eastAsiaTheme="minorHAnsi"/>
          <w:lang w:val="sr-Latn-ME"/>
        </w:rPr>
        <w:t>Службени</w:t>
      </w:r>
      <w:r w:rsidR="000E0A48" w:rsidRPr="00556FC5">
        <w:rPr>
          <w:lang w:val="sr-Cyrl-RS"/>
        </w:rPr>
        <w:t xml:space="preserve"> </w:t>
      </w:r>
      <w:r w:rsidRPr="00556FC5">
        <w:rPr>
          <w:lang w:val="sr-Cyrl-RS"/>
        </w:rPr>
        <w:t>гласник РС“, бр</w:t>
      </w:r>
      <w:r w:rsidR="00344571">
        <w:rPr>
          <w:lang w:val="sr-Cyrl-RS"/>
        </w:rPr>
        <w:t>ој</w:t>
      </w:r>
      <w:r w:rsidRPr="00556FC5">
        <w:rPr>
          <w:lang w:val="sr-Cyrl-RS"/>
        </w:rPr>
        <w:t xml:space="preserve"> 45/13) прописано је укупно 19 права пацијената, међу којима је и право на доступност здравствене заштите, на </w:t>
      </w:r>
      <w:r w:rsidR="00344571">
        <w:rPr>
          <w:lang w:val="sr-Cyrl-RS"/>
        </w:rPr>
        <w:t xml:space="preserve">тај </w:t>
      </w:r>
      <w:r w:rsidRPr="00556FC5">
        <w:rPr>
          <w:lang w:val="sr-Cyrl-RS"/>
        </w:rPr>
        <w:t>начин да пацијент има право на доступну и квалитетну здравствену заштиту, у складу са својим здравственим стањем, а у границама материјалних могућности система здравствене заштите, те да, у поступку остваривања здравствене заштите, пацијент има право на једнак приступ здравственој служби, без дискриминације у односу на финансијске могућности, место становања, врсту обољења, време приступа здравственој служби или у односу на неку другу различитост која може да буде узрок дискриминације.</w:t>
      </w:r>
    </w:p>
    <w:p w:rsidR="00556FC5" w:rsidRPr="00556FC5" w:rsidRDefault="00556FC5" w:rsidP="004358A3">
      <w:pPr>
        <w:pStyle w:val="BodyText2"/>
        <w:spacing w:before="60"/>
        <w:ind w:firstLine="720"/>
        <w:rPr>
          <w:lang w:val="sr-Cyrl-RS"/>
        </w:rPr>
      </w:pPr>
      <w:r w:rsidRPr="00344571">
        <w:rPr>
          <w:i/>
          <w:lang w:val="sr-Cyrl-RS"/>
        </w:rPr>
        <w:t>Законом о заштити лица са менталним сметњама</w:t>
      </w:r>
      <w:r w:rsidRPr="00556FC5">
        <w:rPr>
          <w:lang w:val="sr-Cyrl-RS"/>
        </w:rPr>
        <w:t xml:space="preserve"> („</w:t>
      </w:r>
      <w:r w:rsidR="000E0A48" w:rsidRPr="00A274B5">
        <w:rPr>
          <w:rFonts w:eastAsiaTheme="minorHAnsi"/>
          <w:lang w:val="sr-Latn-ME"/>
        </w:rPr>
        <w:t>Службени</w:t>
      </w:r>
      <w:r w:rsidR="00344571">
        <w:rPr>
          <w:lang w:val="sr-Cyrl-RS"/>
        </w:rPr>
        <w:t xml:space="preserve"> гласник РС“ број</w:t>
      </w:r>
      <w:r w:rsidRPr="00556FC5">
        <w:rPr>
          <w:lang w:val="sr-Cyrl-RS"/>
        </w:rPr>
        <w:t xml:space="preserve"> 45/13) прописано је да се заштита лица са менталним сметњама врши без дискриминације по основу</w:t>
      </w:r>
      <w:r w:rsidR="00344571">
        <w:rPr>
          <w:lang w:val="sr-Cyrl-RS"/>
        </w:rPr>
        <w:t>:</w:t>
      </w:r>
      <w:r w:rsidRPr="00556FC5">
        <w:rPr>
          <w:lang w:val="sr-Cyrl-RS"/>
        </w:rPr>
        <w:t xml:space="preserve"> pace, пола, рођења, језика, држављанства, националне припадности, вероисповести, политичког или другог </w:t>
      </w:r>
      <w:r w:rsidR="00344571">
        <w:rPr>
          <w:lang w:val="sr-Cyrl-RS"/>
        </w:rPr>
        <w:t>уверења,</w:t>
      </w:r>
      <w:r w:rsidRPr="00556FC5">
        <w:rPr>
          <w:lang w:val="sr-Cyrl-RS"/>
        </w:rPr>
        <w:t xml:space="preserve"> образовања, правног или социјалног статуса, имовног стања, узраста, инвалидитета или би</w:t>
      </w:r>
      <w:r w:rsidR="00953D6D">
        <w:rPr>
          <w:lang w:val="sr-Cyrl-RS"/>
        </w:rPr>
        <w:t>ло којег другог личног својства,</w:t>
      </w:r>
      <w:r w:rsidRPr="00556FC5">
        <w:rPr>
          <w:lang w:val="sr-Cyrl-RS"/>
        </w:rPr>
        <w:t xml:space="preserve"> те да је дискриминација на основу менталних сметњи забрањена.</w:t>
      </w:r>
    </w:p>
    <w:p w:rsidR="00176D3D" w:rsidRDefault="00556FC5" w:rsidP="004358A3">
      <w:pPr>
        <w:pStyle w:val="BodyText2"/>
        <w:spacing w:before="60"/>
        <w:ind w:firstLine="720"/>
        <w:rPr>
          <w:lang w:val="sr-Cyrl-RS"/>
        </w:rPr>
      </w:pPr>
      <w:r w:rsidRPr="00556FC5">
        <w:rPr>
          <w:lang w:val="sr-Cyrl-RS"/>
        </w:rPr>
        <w:t>Министарство здравља преко здравствених инспектора врши надзор над спровођењем закона којима се уређују области здравствене заштите, здравственог осигурања, права пацијената и права лица са менталним сметњама и, у случају утврђених неправил</w:t>
      </w:r>
      <w:r w:rsidR="004A79B6">
        <w:rPr>
          <w:lang w:val="sr-Cyrl-RS"/>
        </w:rPr>
        <w:t xml:space="preserve">ности, предузима прописане мере. У вези са наведеним, улога здравствених инспектора требала би да буде препозната и у спровођењу </w:t>
      </w:r>
      <w:r w:rsidR="004A79B6" w:rsidRPr="00A22C93">
        <w:rPr>
          <w:i/>
          <w:lang w:val="sr-Cyrl-RS"/>
        </w:rPr>
        <w:t>Закона о равноправности полова</w:t>
      </w:r>
      <w:r w:rsidR="004A79B6">
        <w:rPr>
          <w:lang w:val="sr-Cyrl-RS"/>
        </w:rPr>
        <w:t xml:space="preserve"> </w:t>
      </w:r>
      <w:r w:rsidR="00A20DFC">
        <w:rPr>
          <w:lang w:val="sr-Cyrl-RS"/>
        </w:rPr>
        <w:t>(</w:t>
      </w:r>
      <w:r w:rsidR="004A79B6">
        <w:rPr>
          <w:lang w:val="sr-Cyrl-RS"/>
        </w:rPr>
        <w:t xml:space="preserve">или </w:t>
      </w:r>
      <w:r w:rsidR="00A20DFC">
        <w:rPr>
          <w:lang w:val="sr-Cyrl-RS"/>
        </w:rPr>
        <w:t xml:space="preserve">будућег </w:t>
      </w:r>
      <w:r w:rsidR="00A20DFC" w:rsidRPr="00A20DFC">
        <w:rPr>
          <w:lang w:val="sr-Cyrl-RS"/>
        </w:rPr>
        <w:t>з</w:t>
      </w:r>
      <w:r w:rsidR="004A79B6" w:rsidRPr="00A20DFC">
        <w:rPr>
          <w:lang w:val="sr-Cyrl-RS"/>
        </w:rPr>
        <w:t>акона о родној равноправности</w:t>
      </w:r>
      <w:r w:rsidR="00A20DFC">
        <w:rPr>
          <w:i/>
          <w:lang w:val="sr-Cyrl-RS"/>
        </w:rPr>
        <w:t>),</w:t>
      </w:r>
      <w:r w:rsidR="004A79B6">
        <w:rPr>
          <w:lang w:val="sr-Cyrl-RS"/>
        </w:rPr>
        <w:t xml:space="preserve"> ради заштите </w:t>
      </w:r>
      <w:r w:rsidR="00A22C93">
        <w:rPr>
          <w:lang w:val="sr-Cyrl-RS"/>
        </w:rPr>
        <w:t xml:space="preserve">од дискриминације по основу пола, односно рода и остваривања </w:t>
      </w:r>
      <w:r w:rsidR="004A79B6">
        <w:rPr>
          <w:lang w:val="sr-Cyrl-RS"/>
        </w:rPr>
        <w:t>права запослених и пацијената у здравственим установама</w:t>
      </w:r>
      <w:r w:rsidR="00A22C93">
        <w:rPr>
          <w:lang w:val="sr-Cyrl-RS"/>
        </w:rPr>
        <w:t>,</w:t>
      </w:r>
      <w:r w:rsidR="004A79B6">
        <w:rPr>
          <w:lang w:val="sr-Cyrl-RS"/>
        </w:rPr>
        <w:t xml:space="preserve"> без обзира на њихов пол, односно род.</w:t>
      </w:r>
    </w:p>
    <w:p w:rsidR="00344571" w:rsidRPr="005404C4" w:rsidRDefault="009C169D" w:rsidP="004358A3">
      <w:pPr>
        <w:pStyle w:val="BodyText2"/>
        <w:spacing w:before="60"/>
        <w:ind w:firstLine="720"/>
        <w:rPr>
          <w:lang w:val="sr-Cyrl-RS"/>
        </w:rPr>
      </w:pPr>
      <w:r>
        <w:rPr>
          <w:lang w:val="sr-Cyrl-RS"/>
        </w:rPr>
        <w:t xml:space="preserve">Према подацима РЗС </w:t>
      </w:r>
      <w:r w:rsidR="005404C4">
        <w:t xml:space="preserve">из 2016. године, </w:t>
      </w:r>
      <w:r>
        <w:rPr>
          <w:lang w:val="sr-Cyrl-RS"/>
        </w:rPr>
        <w:t xml:space="preserve">објављеним у публикацији </w:t>
      </w:r>
      <w:r w:rsidRPr="009C169D">
        <w:rPr>
          <w:i/>
          <w:lang w:val="sr-Cyrl-RS"/>
        </w:rPr>
        <w:t>„Жене и мушкарци у Србији 2017“</w:t>
      </w:r>
      <w:r>
        <w:rPr>
          <w:lang w:val="sr-Cyrl-RS"/>
        </w:rPr>
        <w:t xml:space="preserve"> </w:t>
      </w:r>
      <w:r w:rsidR="00997795">
        <w:rPr>
          <w:lang w:val="sr-Cyrl-RS"/>
        </w:rPr>
        <w:t xml:space="preserve">чак </w:t>
      </w:r>
      <w:r>
        <w:t>85% жена и 86% мушкараца није посетило лекара у последњих годину дана, иако је имало здравствених проблема. Као главне разлоге навели су да нису могли финансијски да приуште посету лекару (26%), да су очекивали да ће им се здравствено стање стабилизовати (24%) и постојање листе чекања на преглед (14%). Такође, према ист</w:t>
      </w:r>
      <w:r w:rsidR="00D07901">
        <w:rPr>
          <w:lang w:val="sr-Cyrl-RS"/>
        </w:rPr>
        <w:t>ом извору</w:t>
      </w:r>
      <w:r>
        <w:t>, распрострањеност пушења већа је код припадника мушког пола, док жене преовлађују међу лицима која никада нису пушила. Међу особама са инвалидитетом, веће је учешће жена (58%) него мушкараца (42%). У периоду 2</w:t>
      </w:r>
      <w:r w:rsidR="00A20DFC">
        <w:t>006-</w:t>
      </w:r>
      <w:r>
        <w:t xml:space="preserve">2016. године број дана хоспитализације повећао се за милион код жена односно за 1,2 милиона код мушкараца. Најчешћи узроци хоспитализације жена су спонтани порођај и </w:t>
      </w:r>
      <w:r>
        <w:lastRenderedPageBreak/>
        <w:t>порођај царским резом код једноплодне трудноће, а код мушкараца разлог је препонска кила односно ангина пекторис. Према подацима из 2016. године, скоро два пута је више мушкараца него жена који умру у старосној доби од 30 до 59 година, и то углавном од болести крвотока и тумора. Четири пута више мушкараца него жена умире услед саобраћајних повреда</w:t>
      </w:r>
      <w:r w:rsidR="00D07901">
        <w:t>.</w:t>
      </w:r>
      <w:r>
        <w:t xml:space="preserve"> Према подацима за 2016. годину, три пута више мушкараца него жена извршило је самоубиство.</w:t>
      </w:r>
      <w:r w:rsidR="005404C4">
        <w:rPr>
          <w:lang w:val="sr-Cyrl-RS"/>
        </w:rPr>
        <w:t xml:space="preserve"> На основу наведених показатеља, стиче се утисак д</w:t>
      </w:r>
      <w:r w:rsidR="00090C96">
        <w:rPr>
          <w:lang w:val="sr-Cyrl-RS"/>
        </w:rPr>
        <w:t>а мушкој популацији треба посве</w:t>
      </w:r>
      <w:r w:rsidR="005404C4">
        <w:rPr>
          <w:lang w:val="sr-Cyrl-RS"/>
        </w:rPr>
        <w:t xml:space="preserve">тити много већу пажњу у </w:t>
      </w:r>
      <w:r w:rsidR="00090C96">
        <w:rPr>
          <w:lang w:val="sr-Cyrl-RS"/>
        </w:rPr>
        <w:t xml:space="preserve">будућим </w:t>
      </w:r>
      <w:r w:rsidR="005404C4">
        <w:rPr>
          <w:lang w:val="sr-Cyrl-RS"/>
        </w:rPr>
        <w:t>кампањама за превентивну здравствену заштиту становништва.</w:t>
      </w:r>
    </w:p>
    <w:p w:rsidR="00A22C93" w:rsidRDefault="00A22C93" w:rsidP="004358A3">
      <w:pPr>
        <w:pStyle w:val="BodyText2"/>
        <w:spacing w:before="60"/>
        <w:ind w:firstLine="720"/>
        <w:rPr>
          <w:lang w:val="sr-Cyrl-RS"/>
        </w:rPr>
      </w:pPr>
    </w:p>
    <w:p w:rsidR="00A065F0" w:rsidRDefault="00A065F0" w:rsidP="004358A3">
      <w:pPr>
        <w:pStyle w:val="BodyText2"/>
        <w:spacing w:before="60"/>
        <w:ind w:firstLine="720"/>
        <w:jc w:val="center"/>
        <w:rPr>
          <w:b/>
          <w:lang w:val="sr-Cyrl-RS"/>
        </w:rPr>
      </w:pPr>
      <w:r w:rsidRPr="00304161">
        <w:rPr>
          <w:b/>
          <w:lang w:val="sr-Latn-RS"/>
        </w:rPr>
        <w:t xml:space="preserve">III </w:t>
      </w:r>
      <w:r w:rsidRPr="00304161">
        <w:rPr>
          <w:b/>
          <w:lang w:val="sr-Cyrl-RS"/>
        </w:rPr>
        <w:t>ПОРОДИЧНИ ОДНОСИ</w:t>
      </w:r>
    </w:p>
    <w:p w:rsidR="00884495" w:rsidRDefault="00884495" w:rsidP="00884495">
      <w:pPr>
        <w:pStyle w:val="BodyText2"/>
        <w:spacing w:before="60"/>
        <w:ind w:firstLine="720"/>
        <w:rPr>
          <w:b/>
          <w:lang w:val="sr-Cyrl-RS"/>
        </w:rPr>
      </w:pPr>
    </w:p>
    <w:p w:rsidR="004945DD" w:rsidRDefault="00A25A3D" w:rsidP="00884495">
      <w:pPr>
        <w:pStyle w:val="BodyText2"/>
        <w:spacing w:before="60"/>
        <w:ind w:firstLine="720"/>
        <w:rPr>
          <w:lang w:val="sr-Cyrl-RS"/>
        </w:rPr>
      </w:pPr>
      <w:r w:rsidRPr="00A25A3D">
        <w:rPr>
          <w:lang w:val="sr-Cyrl-RS"/>
        </w:rPr>
        <w:t xml:space="preserve">У време доношења </w:t>
      </w:r>
      <w:r w:rsidRPr="00884495">
        <w:rPr>
          <w:i/>
          <w:lang w:val="sr-Cyrl-RS"/>
        </w:rPr>
        <w:t>Закона о равноправности полова</w:t>
      </w:r>
      <w:r w:rsidRPr="00A25A3D">
        <w:rPr>
          <w:lang w:val="sr-Cyrl-RS"/>
        </w:rPr>
        <w:t xml:space="preserve"> (2009) био је на снази </w:t>
      </w:r>
      <w:r w:rsidRPr="00884495">
        <w:rPr>
          <w:i/>
          <w:lang w:val="sr-Cyrl-RS"/>
        </w:rPr>
        <w:t>Породични закон</w:t>
      </w:r>
      <w:r w:rsidRPr="00A25A3D">
        <w:rPr>
          <w:lang w:val="sr-Cyrl-RS"/>
        </w:rPr>
        <w:t xml:space="preserve"> </w:t>
      </w:r>
      <w:r w:rsidR="00884495">
        <w:rPr>
          <w:lang w:val="sr-Cyrl-RS"/>
        </w:rPr>
        <w:t>(„Службени гласник РС“ број 18/</w:t>
      </w:r>
      <w:r w:rsidRPr="00A25A3D">
        <w:rPr>
          <w:lang w:val="sr-Cyrl-RS"/>
        </w:rPr>
        <w:t>2005)</w:t>
      </w:r>
      <w:r>
        <w:rPr>
          <w:lang w:val="sr-Cyrl-RS"/>
        </w:rPr>
        <w:t xml:space="preserve"> којим су</w:t>
      </w:r>
      <w:r>
        <w:t xml:space="preserve"> уређ</w:t>
      </w:r>
      <w:r>
        <w:rPr>
          <w:lang w:val="sr-Cyrl-RS"/>
        </w:rPr>
        <w:t>ени</w:t>
      </w:r>
      <w:r>
        <w:t xml:space="preserve">: брак и односи у браку, односи у ванбрачној заједници, односи детета и родитеља, усвојење, хранитељство, старатељство, издржавање, имовински односи у породици, заштита од насиља у породици, поступци у вези са </w:t>
      </w:r>
      <w:r w:rsidR="00884495">
        <w:t>породичним односима</w:t>
      </w:r>
      <w:r w:rsidR="00051923">
        <w:rPr>
          <w:lang w:val="sr-Cyrl-RS"/>
        </w:rPr>
        <w:t>,</w:t>
      </w:r>
      <w:r w:rsidR="00884495">
        <w:t xml:space="preserve"> лично име и сл. </w:t>
      </w:r>
      <w:r w:rsidR="00884495">
        <w:rPr>
          <w:lang w:val="sr-Cyrl-RS"/>
        </w:rPr>
        <w:t>У члану 3. став 1. наведеног закона, б</w:t>
      </w:r>
      <w:r w:rsidR="00884495">
        <w:t>рак је</w:t>
      </w:r>
      <w:r w:rsidR="00884495">
        <w:rPr>
          <w:lang w:val="sr-Cyrl-RS"/>
        </w:rPr>
        <w:t xml:space="preserve"> дефинисан као</w:t>
      </w:r>
      <w:r w:rsidR="00051923">
        <w:rPr>
          <w:lang w:val="sr-Cyrl-RS"/>
        </w:rPr>
        <w:t>:</w:t>
      </w:r>
      <w:r w:rsidR="00884495">
        <w:t xml:space="preserve"> </w:t>
      </w:r>
      <w:r w:rsidR="00884495">
        <w:rPr>
          <w:lang w:val="sr-Cyrl-RS"/>
        </w:rPr>
        <w:t>„</w:t>
      </w:r>
      <w:r w:rsidR="00884495">
        <w:t>законом уређена заједница живота жене и мушкарца</w:t>
      </w:r>
      <w:r w:rsidR="00884495">
        <w:rPr>
          <w:lang w:val="sr-Cyrl-RS"/>
        </w:rPr>
        <w:t xml:space="preserve">“. </w:t>
      </w:r>
      <w:r w:rsidR="004945DD">
        <w:rPr>
          <w:lang w:val="sr-Cyrl-RS"/>
        </w:rPr>
        <w:t xml:space="preserve">Према </w:t>
      </w:r>
      <w:r w:rsidR="004945DD" w:rsidRPr="006A1FA2">
        <w:rPr>
          <w:i/>
          <w:lang w:val="sr-Cyrl-RS"/>
        </w:rPr>
        <w:t>Стратегији подстицања рађања</w:t>
      </w:r>
      <w:r w:rsidR="004945DD">
        <w:rPr>
          <w:lang w:val="sr-Cyrl-RS"/>
        </w:rPr>
        <w:t>, која је донета у Републици Србији 16. марта 2018. године („Службени гласник</w:t>
      </w:r>
      <w:r w:rsidR="004502EE">
        <w:rPr>
          <w:lang w:val="sr-Cyrl-RS"/>
        </w:rPr>
        <w:t xml:space="preserve"> РС</w:t>
      </w:r>
      <w:r w:rsidR="004945DD">
        <w:rPr>
          <w:lang w:val="sr-Cyrl-RS"/>
        </w:rPr>
        <w:t>“ број 13/18), „</w:t>
      </w:r>
      <w:r w:rsidR="004945DD" w:rsidRPr="00EC2E2A">
        <w:rPr>
          <w:lang w:val="ru-RU"/>
        </w:rPr>
        <w:t xml:space="preserve">Савремена породица није више само нуклеарна, комплементарна брачна унија, са оцем храниоцем и мајком која се стара и брине о деци. Све се више практикују разноврсни алтернативни животни стилови у условима пораста развода, продуженог животног века, велике просторне, професионалне, социјалне мобилности, доживотног </w:t>
      </w:r>
      <w:r w:rsidR="00051923">
        <w:rPr>
          <w:lang w:val="ru-RU"/>
        </w:rPr>
        <w:t>образовања и личног усавршавања.</w:t>
      </w:r>
      <w:r w:rsidR="00051923">
        <w:rPr>
          <w:lang w:val="sr-Cyrl-RS"/>
        </w:rPr>
        <w:t>“</w:t>
      </w:r>
      <w:r w:rsidR="00051923">
        <w:rPr>
          <w:lang w:val="ru-RU"/>
        </w:rPr>
        <w:t xml:space="preserve"> </w:t>
      </w:r>
      <w:r w:rsidR="004945DD">
        <w:rPr>
          <w:lang w:val="sr-Cyrl-RS"/>
        </w:rPr>
        <w:t>У наведеној С</w:t>
      </w:r>
      <w:r w:rsidR="004945DD" w:rsidRPr="00C070D8">
        <w:rPr>
          <w:lang w:val="sr-Cyrl-RS"/>
        </w:rPr>
        <w:t>тратегиј</w:t>
      </w:r>
      <w:r w:rsidR="004945DD">
        <w:rPr>
          <w:lang w:val="sr-Cyrl-RS"/>
        </w:rPr>
        <w:t>и се, између осталог, истиче и д</w:t>
      </w:r>
      <w:r w:rsidR="00051923">
        <w:rPr>
          <w:lang w:val="sr-Cyrl-RS"/>
        </w:rPr>
        <w:t>а је рађање слободан избор</w:t>
      </w:r>
      <w:r w:rsidR="004945DD">
        <w:rPr>
          <w:lang w:val="sr-Cyrl-RS"/>
        </w:rPr>
        <w:t xml:space="preserve"> еманциповане жене. </w:t>
      </w:r>
      <w:r w:rsidR="004945DD" w:rsidRPr="00C070D8">
        <w:rPr>
          <w:lang w:val="sr-Cyrl-RS"/>
        </w:rPr>
        <w:t>Стратегија предвиђа веће укључивање мушкараца у послове у вези са бригом о деци и старањем о домаћинству, као и мере подршке државних органа родитељству у оквиру популационе политике</w:t>
      </w:r>
      <w:r w:rsidR="004945DD">
        <w:rPr>
          <w:lang w:val="sr-Cyrl-RS"/>
        </w:rPr>
        <w:t xml:space="preserve"> </w:t>
      </w:r>
      <w:r w:rsidR="004945DD" w:rsidRPr="00C070D8">
        <w:rPr>
          <w:lang w:val="sr-Cyrl-RS"/>
        </w:rPr>
        <w:t xml:space="preserve">кроз ублажавање економске цене подизања детета, усклађивање рада и родитељства, снижавање психолошке цене родитељства, очување и унапређење репродуктивног здравља, решавање проблема неплодности, здраво материнство, популациону едукацију и </w:t>
      </w:r>
      <w:r w:rsidR="004945DD">
        <w:rPr>
          <w:lang w:val="sr-Cyrl-RS"/>
        </w:rPr>
        <w:t>веће укључивање</w:t>
      </w:r>
      <w:r w:rsidR="004945DD" w:rsidRPr="00C070D8">
        <w:rPr>
          <w:lang w:val="sr-Cyrl-RS"/>
        </w:rPr>
        <w:t xml:space="preserve"> локалне самоуправе</w:t>
      </w:r>
      <w:r w:rsidR="004945DD">
        <w:rPr>
          <w:lang w:val="sr-Cyrl-RS"/>
        </w:rPr>
        <w:t xml:space="preserve"> у примену ових мера</w:t>
      </w:r>
      <w:r w:rsidR="004945DD" w:rsidRPr="00C070D8">
        <w:rPr>
          <w:lang w:val="sr-Cyrl-RS"/>
        </w:rPr>
        <w:t>.</w:t>
      </w:r>
    </w:p>
    <w:p w:rsidR="00B65770" w:rsidRDefault="00B65770" w:rsidP="004358A3">
      <w:pPr>
        <w:pStyle w:val="BodyText2"/>
        <w:spacing w:before="60"/>
        <w:ind w:firstLine="720"/>
      </w:pPr>
      <w:r>
        <w:t>Пр</w:t>
      </w:r>
      <w:r>
        <w:rPr>
          <w:lang w:val="sr-Cyrl-RS"/>
        </w:rPr>
        <w:t>ема подацима РЗС садржаним у публикацији „</w:t>
      </w:r>
      <w:r w:rsidRPr="00B65770">
        <w:rPr>
          <w:i/>
          <w:lang w:val="sr-Cyrl-RS"/>
        </w:rPr>
        <w:t>Жене и мушкарци у Републици Србији 2017</w:t>
      </w:r>
      <w:r w:rsidR="00821575">
        <w:rPr>
          <w:i/>
          <w:lang w:val="sr-Cyrl-RS"/>
        </w:rPr>
        <w:t>.</w:t>
      </w:r>
      <w:r w:rsidRPr="00B65770">
        <w:rPr>
          <w:i/>
          <w:lang w:val="sr-Cyrl-RS"/>
        </w:rPr>
        <w:t xml:space="preserve">“ </w:t>
      </w:r>
      <w:r>
        <w:rPr>
          <w:lang w:val="sr-Cyrl-RS"/>
        </w:rPr>
        <w:t>пр</w:t>
      </w:r>
      <w:r>
        <w:t xml:space="preserve">осечно домаћинство у Републици Србији има три члана. Мушкарци преовлађују као лица на која се води домаћинство у свим вишечланим домаћинствима. Међутим, према подацима </w:t>
      </w:r>
      <w:r w:rsidR="00181A4C">
        <w:rPr>
          <w:lang w:val="sr-Cyrl-RS"/>
        </w:rPr>
        <w:t xml:space="preserve">из </w:t>
      </w:r>
      <w:r>
        <w:t>последња два пописа</w:t>
      </w:r>
      <w:r>
        <w:rPr>
          <w:lang w:val="sr-Cyrl-RS"/>
        </w:rPr>
        <w:t xml:space="preserve"> становништва</w:t>
      </w:r>
      <w:r>
        <w:t>, приметан је благи пораст жена као носиоца домаћинства (4%). У самачким домаћинст</w:t>
      </w:r>
      <w:r w:rsidR="00884495">
        <w:t>вима већа је заступљеност жена са</w:t>
      </w:r>
      <w:r>
        <w:t xml:space="preserve"> 60% према 40%</w:t>
      </w:r>
      <w:r w:rsidR="00884495">
        <w:rPr>
          <w:lang w:val="sr-Cyrl-RS"/>
        </w:rPr>
        <w:t xml:space="preserve"> мушкараца</w:t>
      </w:r>
      <w:r>
        <w:t>. Тако, код самачких домаћинстава чији су носиоци домаћинства стари 65 и више година готово три четвртине су жене, док међу „самцима” млађим од 50 година има 61% мушкараца. Од укупног броја породица 30% чине породице брачних/ванбрачних партнера без деце. Кад</w:t>
      </w:r>
      <w:r>
        <w:rPr>
          <w:lang w:val="sr-Cyrl-RS"/>
        </w:rPr>
        <w:t>а</w:t>
      </w:r>
      <w:r>
        <w:t xml:space="preserve"> је реч о једнородитељским породицама 79% припада типу „мајка с децом”. Преко 70% ових породица има </w:t>
      </w:r>
      <w:r w:rsidR="00CA2E1D">
        <w:t>само једно дете. У периоду 1986-</w:t>
      </w:r>
      <w:r>
        <w:t xml:space="preserve">2016. године забележен је константан пад закључених бракова, којих је у 2016. години било за око трећину мање него 1986. године. </w:t>
      </w:r>
    </w:p>
    <w:p w:rsidR="00B65770" w:rsidRDefault="00821575" w:rsidP="004358A3">
      <w:pPr>
        <w:pStyle w:val="BodyText2"/>
        <w:spacing w:before="60"/>
        <w:ind w:firstLine="720"/>
      </w:pPr>
      <w:r>
        <w:t>Више од половине</w:t>
      </w:r>
      <w:r w:rsidR="00D82C9C">
        <w:rPr>
          <w:lang w:val="sr-Cyrl-RS"/>
        </w:rPr>
        <w:t xml:space="preserve"> мушкараца (</w:t>
      </w:r>
      <w:r w:rsidR="00D82C9C">
        <w:t>57% мушкараца</w:t>
      </w:r>
      <w:r w:rsidR="00D82C9C">
        <w:rPr>
          <w:lang w:val="sr-Cyrl-RS"/>
        </w:rPr>
        <w:t>) и жена (</w:t>
      </w:r>
      <w:r>
        <w:rPr>
          <w:lang w:val="sr-Cyrl-RS"/>
        </w:rPr>
        <w:t>5</w:t>
      </w:r>
      <w:r w:rsidR="00B65770">
        <w:t>3% жена</w:t>
      </w:r>
      <w:r w:rsidR="00D82C9C">
        <w:rPr>
          <w:lang w:val="sr-Cyrl-RS"/>
        </w:rPr>
        <w:t>)</w:t>
      </w:r>
      <w:r w:rsidR="00B65770">
        <w:t xml:space="preserve"> </w:t>
      </w:r>
      <w:r>
        <w:rPr>
          <w:lang w:val="sr-Cyrl-RS"/>
        </w:rPr>
        <w:t xml:space="preserve">од укупног броја становника тог пола, </w:t>
      </w:r>
      <w:r w:rsidR="00B65770">
        <w:t>старијих од 15 година</w:t>
      </w:r>
      <w:r>
        <w:rPr>
          <w:lang w:val="sr-Cyrl-RS"/>
        </w:rPr>
        <w:t>,</w:t>
      </w:r>
      <w:r w:rsidR="00B65770">
        <w:t xml:space="preserve"> живи у браку. Међу неудатим/неожењеним, жена је за 10% мање од мушкараца (23% према 33%). Међутим, жене су заступљеније међу разведеним лицима, док су у категорији удовица/удовац жене чак 3,4 пута заступљеније од мушкараца. Међу становништвом старости 15 и више година</w:t>
      </w:r>
      <w:r w:rsidR="00D82C9C" w:rsidRPr="00D82C9C">
        <w:t xml:space="preserve"> </w:t>
      </w:r>
      <w:r w:rsidR="00D82C9C">
        <w:rPr>
          <w:lang w:val="sr-Cyrl-RS"/>
        </w:rPr>
        <w:t xml:space="preserve">који су </w:t>
      </w:r>
      <w:r w:rsidR="00D82C9C">
        <w:t>неудате/неожењени је</w:t>
      </w:r>
      <w:r w:rsidR="00B65770">
        <w:t xml:space="preserve"> 80% жена и 81% мушкараца који живе у ванбрачној заједници. Жене које живе у ванбрачној заједници старе су у просеку 39, а мушкарци 42 године. Број деце коју рађају мајке старе од 15 до 24 године знатно је опао у </w:t>
      </w:r>
      <w:r w:rsidR="00B65770">
        <w:rPr>
          <w:lang w:val="sr-Cyrl-RS"/>
        </w:rPr>
        <w:t>периоду од 2012. до 2017. године</w:t>
      </w:r>
      <w:r w:rsidR="00B65770">
        <w:t xml:space="preserve">, док се повећао број деце коју рађају мајке после </w:t>
      </w:r>
      <w:r w:rsidR="00627333">
        <w:t xml:space="preserve">35. године </w:t>
      </w:r>
      <w:r w:rsidR="00627333">
        <w:lastRenderedPageBreak/>
        <w:t>старости. Такође, у анализираних</w:t>
      </w:r>
      <w:r w:rsidR="00B65770">
        <w:t xml:space="preserve"> пет година повећао се број деце која су рођена ван брака. Стопа укупног фертилитета порасла је са 1,4, колико је износила 2006. године, на 1,5 у 2016. години. </w:t>
      </w:r>
    </w:p>
    <w:p w:rsidR="00EC2E2A" w:rsidRDefault="00EC2E2A" w:rsidP="004358A3">
      <w:pPr>
        <w:pStyle w:val="BodyText2"/>
        <w:spacing w:before="60"/>
        <w:ind w:firstLine="720"/>
      </w:pPr>
    </w:p>
    <w:p w:rsidR="00EC2E2A" w:rsidRPr="00EC2E2A" w:rsidRDefault="00EC2E2A" w:rsidP="004358A3">
      <w:pPr>
        <w:pStyle w:val="ListParagraph"/>
        <w:numPr>
          <w:ilvl w:val="0"/>
          <w:numId w:val="16"/>
        </w:numPr>
        <w:spacing w:before="60"/>
        <w:ind w:right="-22"/>
        <w:jc w:val="both"/>
        <w:rPr>
          <w:rFonts w:ascii="Times New Roman" w:hAnsi="Times New Roman" w:cs="Times New Roman"/>
          <w:b/>
          <w:sz w:val="24"/>
          <w:szCs w:val="24"/>
          <w:lang w:val="ru-RU"/>
        </w:rPr>
      </w:pPr>
      <w:r w:rsidRPr="00EC2E2A">
        <w:rPr>
          <w:rFonts w:ascii="Times New Roman" w:hAnsi="Times New Roman" w:cs="Times New Roman"/>
          <w:b/>
          <w:sz w:val="24"/>
          <w:szCs w:val="24"/>
          <w:lang w:val="ru-RU"/>
        </w:rPr>
        <w:t>Спречавање насиља у породици и заштита жртава</w:t>
      </w:r>
    </w:p>
    <w:p w:rsidR="005367CC" w:rsidRDefault="00A065F0" w:rsidP="004358A3">
      <w:pPr>
        <w:spacing w:before="60"/>
        <w:ind w:right="-22" w:firstLine="709"/>
        <w:jc w:val="both"/>
        <w:rPr>
          <w:rFonts w:eastAsia="Calibri"/>
          <w:lang w:val="sr-Cyrl-RS"/>
        </w:rPr>
      </w:pPr>
      <w:r w:rsidRPr="00EC2E2A">
        <w:rPr>
          <w:lang w:val="ru-RU"/>
        </w:rPr>
        <w:t xml:space="preserve">Законска регулатива у Републици Србији у </w:t>
      </w:r>
      <w:r w:rsidR="00884495">
        <w:rPr>
          <w:lang w:val="ru-RU"/>
        </w:rPr>
        <w:t>вези</w:t>
      </w:r>
      <w:r w:rsidR="00181A4C">
        <w:rPr>
          <w:lang w:val="sr-Cyrl-RS"/>
        </w:rPr>
        <w:t xml:space="preserve"> спречавања</w:t>
      </w:r>
      <w:r w:rsidRPr="00EC2E2A">
        <w:rPr>
          <w:lang w:val="ru-RU"/>
        </w:rPr>
        <w:t xml:space="preserve"> насиља </w:t>
      </w:r>
      <w:r w:rsidR="00EC2E2A">
        <w:rPr>
          <w:lang w:val="ru-RU"/>
        </w:rPr>
        <w:t xml:space="preserve">у породици </w:t>
      </w:r>
      <w:r w:rsidRPr="00EC2E2A">
        <w:rPr>
          <w:lang w:val="ru-RU"/>
        </w:rPr>
        <w:t xml:space="preserve">значајно је унапређена </w:t>
      </w:r>
      <w:r w:rsidRPr="005367CC">
        <w:rPr>
          <w:lang w:val="sr-Cyrl-RS"/>
        </w:rPr>
        <w:t xml:space="preserve">у </w:t>
      </w:r>
      <w:r w:rsidRPr="00EC2E2A">
        <w:rPr>
          <w:lang w:val="ru-RU"/>
        </w:rPr>
        <w:t>последњ</w:t>
      </w:r>
      <w:r w:rsidRPr="005367CC">
        <w:rPr>
          <w:lang w:val="sr-Cyrl-RS"/>
        </w:rPr>
        <w:t>е</w:t>
      </w:r>
      <w:r w:rsidR="00D85669">
        <w:rPr>
          <w:lang w:val="ru-RU"/>
        </w:rPr>
        <w:t xml:space="preserve"> две деценије од</w:t>
      </w:r>
      <w:r w:rsidRPr="00EC2E2A">
        <w:rPr>
          <w:lang w:val="ru-RU"/>
        </w:rPr>
        <w:t xml:space="preserve">редбама које су унете у </w:t>
      </w:r>
      <w:r w:rsidRPr="00D85669">
        <w:rPr>
          <w:i/>
          <w:lang w:val="ru-RU"/>
        </w:rPr>
        <w:t>Кривични за</w:t>
      </w:r>
      <w:r w:rsidR="004945DD" w:rsidRPr="00D85669">
        <w:rPr>
          <w:i/>
          <w:lang w:val="ru-RU"/>
        </w:rPr>
        <w:t xml:space="preserve">коник Републике Србије </w:t>
      </w:r>
      <w:r w:rsidR="004945DD" w:rsidRPr="00EC2E2A">
        <w:rPr>
          <w:lang w:val="ru-RU"/>
        </w:rPr>
        <w:t>(чл</w:t>
      </w:r>
      <w:r w:rsidR="004945DD" w:rsidRPr="005367CC">
        <w:rPr>
          <w:lang w:val="sr-Cyrl-RS"/>
        </w:rPr>
        <w:t>анови</w:t>
      </w:r>
      <w:r w:rsidR="004945DD" w:rsidRPr="00EC2E2A">
        <w:rPr>
          <w:lang w:val="ru-RU"/>
        </w:rPr>
        <w:t xml:space="preserve"> 194. </w:t>
      </w:r>
      <w:r w:rsidRPr="00EC2E2A">
        <w:rPr>
          <w:lang w:val="ru-RU"/>
        </w:rPr>
        <w:t>ставови од 1</w:t>
      </w:r>
      <w:r w:rsidR="004945DD" w:rsidRPr="005367CC">
        <w:rPr>
          <w:lang w:val="sr-Cyrl-RS"/>
        </w:rPr>
        <w:t>.</w:t>
      </w:r>
      <w:r w:rsidRPr="00EC2E2A">
        <w:rPr>
          <w:lang w:val="ru-RU"/>
        </w:rPr>
        <w:t xml:space="preserve"> до 5.), </w:t>
      </w:r>
      <w:r w:rsidRPr="00D85669">
        <w:rPr>
          <w:i/>
          <w:lang w:val="ru-RU"/>
        </w:rPr>
        <w:t>Породични закон</w:t>
      </w:r>
      <w:r w:rsidRPr="00EC2E2A">
        <w:rPr>
          <w:lang w:val="ru-RU"/>
        </w:rPr>
        <w:t xml:space="preserve"> (2005) (чл</w:t>
      </w:r>
      <w:r w:rsidR="004945DD" w:rsidRPr="005367CC">
        <w:rPr>
          <w:lang w:val="sr-Cyrl-RS"/>
        </w:rPr>
        <w:t>.</w:t>
      </w:r>
      <w:r w:rsidRPr="00EC2E2A">
        <w:rPr>
          <w:lang w:val="ru-RU"/>
        </w:rPr>
        <w:t xml:space="preserve"> 197-200</w:t>
      </w:r>
      <w:r w:rsidR="0014646B">
        <w:rPr>
          <w:lang w:val="ru-RU"/>
        </w:rPr>
        <w:t>.</w:t>
      </w:r>
      <w:r w:rsidRPr="00EC2E2A">
        <w:rPr>
          <w:lang w:val="ru-RU"/>
        </w:rPr>
        <w:t xml:space="preserve"> и чл</w:t>
      </w:r>
      <w:r w:rsidR="004945DD" w:rsidRPr="005367CC">
        <w:rPr>
          <w:lang w:val="sr-Cyrl-RS"/>
        </w:rPr>
        <w:t>ан</w:t>
      </w:r>
      <w:r w:rsidRPr="00EC2E2A">
        <w:rPr>
          <w:lang w:val="ru-RU"/>
        </w:rPr>
        <w:t xml:space="preserve"> 285</w:t>
      </w:r>
      <w:r w:rsidR="0014646B">
        <w:rPr>
          <w:lang w:val="ru-RU"/>
        </w:rPr>
        <w:t>.</w:t>
      </w:r>
      <w:r w:rsidRPr="00EC2E2A">
        <w:rPr>
          <w:lang w:val="ru-RU"/>
        </w:rPr>
        <w:t xml:space="preserve">), </w:t>
      </w:r>
      <w:r w:rsidRPr="00D85669">
        <w:rPr>
          <w:i/>
          <w:lang w:val="ru-RU"/>
        </w:rPr>
        <w:t>Закон о равноправности полова</w:t>
      </w:r>
      <w:r w:rsidRPr="00EC2E2A">
        <w:rPr>
          <w:lang w:val="ru-RU"/>
        </w:rPr>
        <w:t xml:space="preserve"> (2009) и </w:t>
      </w:r>
      <w:r w:rsidRPr="00D85669">
        <w:rPr>
          <w:i/>
          <w:lang w:val="ru-RU"/>
        </w:rPr>
        <w:t>Закон о</w:t>
      </w:r>
      <w:r w:rsidR="004945DD" w:rsidRPr="00D85669">
        <w:rPr>
          <w:i/>
          <w:lang w:val="ru-RU"/>
        </w:rPr>
        <w:t xml:space="preserve"> забрани дискриминације</w:t>
      </w:r>
      <w:r w:rsidR="004945DD" w:rsidRPr="00EC2E2A">
        <w:rPr>
          <w:lang w:val="ru-RU"/>
        </w:rPr>
        <w:t xml:space="preserve"> (2009)</w:t>
      </w:r>
      <w:r w:rsidR="00181A4C">
        <w:rPr>
          <w:lang w:val="sr-Cyrl-RS"/>
        </w:rPr>
        <w:t>. Ипак,</w:t>
      </w:r>
      <w:r w:rsidR="004945DD" w:rsidRPr="00EC2E2A">
        <w:rPr>
          <w:lang w:val="ru-RU"/>
        </w:rPr>
        <w:t xml:space="preserve"> чињеница је да овај </w:t>
      </w:r>
      <w:r w:rsidR="00181A4C">
        <w:rPr>
          <w:lang w:val="sr-Cyrl-RS"/>
        </w:rPr>
        <w:t>проблем целовито регулисан тек</w:t>
      </w:r>
      <w:r w:rsidR="004945DD" w:rsidRPr="00EC2E2A">
        <w:rPr>
          <w:lang w:val="ru-RU"/>
        </w:rPr>
        <w:t xml:space="preserve"> доношењем </w:t>
      </w:r>
      <w:r w:rsidR="005367CC" w:rsidRPr="005367CC">
        <w:rPr>
          <w:rFonts w:eastAsia="Calibri"/>
          <w:i/>
          <w:lang w:val="sr-Cyrl-RS"/>
        </w:rPr>
        <w:t>Закон</w:t>
      </w:r>
      <w:r w:rsidR="005367CC">
        <w:rPr>
          <w:rFonts w:eastAsia="Calibri"/>
          <w:i/>
          <w:lang w:val="sr-Cyrl-RS"/>
        </w:rPr>
        <w:t>а</w:t>
      </w:r>
      <w:r w:rsidR="005367CC" w:rsidRPr="005367CC">
        <w:rPr>
          <w:rFonts w:eastAsia="Calibri"/>
          <w:i/>
          <w:lang w:val="sr-Cyrl-RS"/>
        </w:rPr>
        <w:t xml:space="preserve"> о спречавању насиља у породици</w:t>
      </w:r>
      <w:r w:rsidR="005367CC" w:rsidRPr="005367CC">
        <w:rPr>
          <w:rFonts w:eastAsia="Calibri"/>
          <w:lang w:val="sr-Cyrl-RS"/>
        </w:rPr>
        <w:t xml:space="preserve"> </w:t>
      </w:r>
      <w:r w:rsidR="0016698E">
        <w:rPr>
          <w:rFonts w:eastAsia="Calibri"/>
          <w:lang w:val="sr-Cyrl-RS"/>
        </w:rPr>
        <w:t xml:space="preserve">(2016) </w:t>
      </w:r>
      <w:r w:rsidR="005367CC" w:rsidRPr="005367CC">
        <w:rPr>
          <w:rFonts w:eastAsia="Calibri"/>
          <w:lang w:val="sr-Cyrl-RS"/>
        </w:rPr>
        <w:t>којим је омогућено привремено удаљење насилника из куће и привремена забрана контактирања и приласка жртви</w:t>
      </w:r>
      <w:r w:rsidR="0014646B">
        <w:rPr>
          <w:rFonts w:eastAsia="Calibri"/>
          <w:lang w:val="sr-Cyrl-RS"/>
        </w:rPr>
        <w:t xml:space="preserve"> насиља</w:t>
      </w:r>
      <w:r w:rsidR="005367CC">
        <w:rPr>
          <w:rFonts w:eastAsia="Calibri"/>
          <w:lang w:val="sr-Cyrl-RS"/>
        </w:rPr>
        <w:t>. Овај закон је</w:t>
      </w:r>
      <w:r w:rsidR="005367CC" w:rsidRPr="005367CC">
        <w:rPr>
          <w:lang w:val="sr-Latn-RS"/>
        </w:rPr>
        <w:t xml:space="preserve"> усвојен је 23. новембра 2016. године</w:t>
      </w:r>
      <w:r w:rsidR="005367CC">
        <w:rPr>
          <w:lang w:val="sr-Cyrl-RS"/>
        </w:rPr>
        <w:t>, а његова п</w:t>
      </w:r>
      <w:r w:rsidR="005367CC" w:rsidRPr="005367CC">
        <w:rPr>
          <w:rFonts w:eastAsia="Calibri"/>
          <w:lang w:val="sr-Cyrl-RS"/>
        </w:rPr>
        <w:t xml:space="preserve">римена </w:t>
      </w:r>
      <w:r w:rsidR="005367CC">
        <w:rPr>
          <w:rFonts w:eastAsia="Calibri"/>
          <w:lang w:val="sr-Cyrl-RS"/>
        </w:rPr>
        <w:t>за</w:t>
      </w:r>
      <w:r w:rsidR="005367CC" w:rsidRPr="005367CC">
        <w:rPr>
          <w:rFonts w:eastAsia="Calibri"/>
          <w:lang w:val="sr-Cyrl-RS"/>
        </w:rPr>
        <w:t>поч</w:t>
      </w:r>
      <w:r w:rsidR="005367CC">
        <w:rPr>
          <w:rFonts w:eastAsia="Calibri"/>
          <w:lang w:val="sr-Cyrl-RS"/>
        </w:rPr>
        <w:t>ела је од 1. јуна 2017. године</w:t>
      </w:r>
      <w:r w:rsidR="005367CC" w:rsidRPr="005367CC">
        <w:rPr>
          <w:lang w:val="sr-Latn-RS"/>
        </w:rPr>
        <w:t>.</w:t>
      </w:r>
      <w:r w:rsidR="005367CC" w:rsidRPr="005367CC">
        <w:rPr>
          <w:rFonts w:eastAsia="Calibri"/>
          <w:lang w:val="sr-Cyrl-RS"/>
        </w:rPr>
        <w:t xml:space="preserve"> Такође, поменути закон предвиђа и координисани рад и сарадњу јавних тужилаштава, полиције и центара за социјални рад кроз заједничко тело – Групу за координацију и сарадњу. </w:t>
      </w:r>
      <w:r w:rsidR="00D85669" w:rsidRPr="005367CC">
        <w:rPr>
          <w:rFonts w:eastAsia="Calibri"/>
          <w:lang w:val="sr-Cyrl-RS"/>
        </w:rPr>
        <w:t xml:space="preserve">Према </w:t>
      </w:r>
      <w:r w:rsidR="00D85669" w:rsidRPr="005367CC">
        <w:rPr>
          <w:rFonts w:eastAsia="Calibri"/>
          <w:i/>
          <w:lang w:val="sr-Cyrl-RS"/>
        </w:rPr>
        <w:t>Закону о спречавању насиља у породици</w:t>
      </w:r>
      <w:r w:rsidR="00D85669" w:rsidRPr="005367CC">
        <w:rPr>
          <w:rFonts w:eastAsia="Calibri"/>
          <w:lang w:val="sr-Cyrl-RS"/>
        </w:rPr>
        <w:t xml:space="preserve"> координаторску улогу у спречавању насиља у породици има основно јавно тужилаштво, које у смислу члана 25. и 26. Закона организује и рукововоди састанцима Групе за координацију и</w:t>
      </w:r>
      <w:r w:rsidR="00D85669" w:rsidRPr="00EC2E2A">
        <w:rPr>
          <w:rFonts w:eastAsia="Calibri"/>
          <w:lang w:val="ru-RU"/>
        </w:rPr>
        <w:t xml:space="preserve"> </w:t>
      </w:r>
      <w:r w:rsidR="00D85669" w:rsidRPr="005367CC">
        <w:rPr>
          <w:rFonts w:eastAsia="Calibri"/>
          <w:lang w:val="sr-Cyrl-RS"/>
        </w:rPr>
        <w:t xml:space="preserve">сарадњу. </w:t>
      </w:r>
      <w:r w:rsidR="005367CC" w:rsidRPr="005367CC">
        <w:rPr>
          <w:rFonts w:eastAsia="Calibri"/>
          <w:lang w:val="sr-Cyrl-RS"/>
        </w:rPr>
        <w:t>Циљ доношења закона је да се уреди организација и поступање државних органа и установа и тиме омогући спречавање насиља у породици као и бржа, благовремена и делотворна заштита и подршка жртвама насиља у породици.</w:t>
      </w:r>
      <w:r w:rsidR="005367CC">
        <w:rPr>
          <w:rFonts w:eastAsia="Calibri"/>
          <w:lang w:val="sr-Cyrl-RS"/>
        </w:rPr>
        <w:t xml:space="preserve"> </w:t>
      </w:r>
      <w:r w:rsidR="00167B8A" w:rsidRPr="00A31200">
        <w:rPr>
          <w:lang w:val="sr-Cyrl-RS"/>
        </w:rPr>
        <w:t>Поред наведеног, у</w:t>
      </w:r>
      <w:r w:rsidR="00167B8A" w:rsidRPr="00EC2E2A">
        <w:rPr>
          <w:lang w:val="ru-RU"/>
        </w:rPr>
        <w:t xml:space="preserve"> Влади Србије</w:t>
      </w:r>
      <w:r w:rsidR="00167B8A" w:rsidRPr="00A31200">
        <w:rPr>
          <w:lang w:val="sr-Cyrl-RS"/>
        </w:rPr>
        <w:t xml:space="preserve"> је </w:t>
      </w:r>
      <w:r w:rsidR="00167B8A" w:rsidRPr="00A31200">
        <w:rPr>
          <w:rFonts w:eastAsia="Calibri"/>
          <w:lang w:val="sr-Cyrl-RS"/>
        </w:rPr>
        <w:t xml:space="preserve">у јулу 2017. године </w:t>
      </w:r>
      <w:r w:rsidR="00167B8A" w:rsidRPr="00A31200">
        <w:rPr>
          <w:lang w:val="sr-Cyrl-RS"/>
        </w:rPr>
        <w:t>образован</w:t>
      </w:r>
      <w:r w:rsidR="00167B8A" w:rsidRPr="00A31200">
        <w:rPr>
          <w:rFonts w:eastAsia="Calibri"/>
          <w:lang w:val="sr-Cyrl-RS"/>
        </w:rPr>
        <w:t xml:space="preserve"> </w:t>
      </w:r>
      <w:r w:rsidR="00167B8A" w:rsidRPr="00EC2E2A">
        <w:rPr>
          <w:rFonts w:eastAsia="Calibri"/>
          <w:lang w:val="ru-RU"/>
        </w:rPr>
        <w:t>Савет за сузбијање насиља у породици, који прати примену овог закона и побољшава координисање и делотворност</w:t>
      </w:r>
      <w:r w:rsidR="00167B8A" w:rsidRPr="00A31200">
        <w:rPr>
          <w:rFonts w:eastAsia="Calibri"/>
          <w:lang w:val="sr-Cyrl-RS"/>
        </w:rPr>
        <w:t xml:space="preserve"> </w:t>
      </w:r>
      <w:r w:rsidR="00167B8A" w:rsidRPr="00EC2E2A">
        <w:rPr>
          <w:rFonts w:eastAsia="Calibri"/>
          <w:lang w:val="ru-RU"/>
        </w:rPr>
        <w:t>спречавања насиља у породици и заштиту од насиља у породици</w:t>
      </w:r>
      <w:r w:rsidR="00167B8A" w:rsidRPr="00A31200">
        <w:rPr>
          <w:rFonts w:eastAsia="Calibri"/>
          <w:lang w:val="sr-Cyrl-RS"/>
        </w:rPr>
        <w:t>, на основу ч</w:t>
      </w:r>
      <w:r w:rsidR="00167B8A" w:rsidRPr="00A31200">
        <w:rPr>
          <w:rFonts w:eastAsia="Calibri"/>
          <w:lang w:val="sr-Cyrl-BA"/>
        </w:rPr>
        <w:t>лана 35. поменутог закона, на чијем је челу министарка правде</w:t>
      </w:r>
      <w:r w:rsidR="00627333">
        <w:rPr>
          <w:rFonts w:eastAsia="Calibri"/>
          <w:lang w:val="sr-Cyrl-BA"/>
        </w:rPr>
        <w:t>.</w:t>
      </w:r>
    </w:p>
    <w:p w:rsidR="005367CC" w:rsidRPr="005367CC" w:rsidRDefault="0016698E" w:rsidP="004358A3">
      <w:pPr>
        <w:spacing w:before="60"/>
        <w:ind w:right="-22" w:firstLine="709"/>
        <w:jc w:val="both"/>
        <w:rPr>
          <w:lang w:val="sr-Cyrl-RS"/>
        </w:rPr>
      </w:pPr>
      <w:r>
        <w:rPr>
          <w:bdr w:val="none" w:sz="0" w:space="0" w:color="auto" w:frame="1"/>
          <w:lang w:val="sr-Cyrl-RS"/>
        </w:rPr>
        <w:t>Према расположивим подацима, у</w:t>
      </w:r>
      <w:r w:rsidR="005367CC" w:rsidRPr="005367CC">
        <w:rPr>
          <w:bdr w:val="none" w:sz="0" w:space="0" w:color="auto" w:frame="1"/>
          <w:lang w:val="sr-Cyrl-CS"/>
        </w:rPr>
        <w:t xml:space="preserve"> 2018. години</w:t>
      </w:r>
      <w:r w:rsidR="005367CC" w:rsidRPr="00EC2E2A">
        <w:rPr>
          <w:lang w:val="ru-RU"/>
        </w:rPr>
        <w:t xml:space="preserve"> у Србији је било 30 смртних случајева </w:t>
      </w:r>
      <w:r w:rsidR="005367CC" w:rsidRPr="005367CC">
        <w:rPr>
          <w:lang w:val="sr-Cyrl-RS"/>
        </w:rPr>
        <w:t xml:space="preserve">услед </w:t>
      </w:r>
      <w:r w:rsidR="005367CC" w:rsidRPr="00EC2E2A">
        <w:rPr>
          <w:lang w:val="ru-RU"/>
        </w:rPr>
        <w:t>насиљ</w:t>
      </w:r>
      <w:r w:rsidR="005367CC" w:rsidRPr="005367CC">
        <w:rPr>
          <w:lang w:val="sr-Cyrl-RS"/>
        </w:rPr>
        <w:t>а</w:t>
      </w:r>
      <w:r w:rsidR="005367CC" w:rsidRPr="00EC2E2A">
        <w:rPr>
          <w:lang w:val="ru-RU"/>
        </w:rPr>
        <w:t xml:space="preserve"> у породици, од чега су 23 жене и седам мушкараца, а од 1. јуна </w:t>
      </w:r>
      <w:r w:rsidR="005367CC" w:rsidRPr="005367CC">
        <w:rPr>
          <w:lang w:val="sr-Cyrl-RS"/>
        </w:rPr>
        <w:t>2017. године</w:t>
      </w:r>
      <w:r w:rsidR="005367CC" w:rsidRPr="00EC2E2A">
        <w:rPr>
          <w:lang w:val="ru-RU"/>
        </w:rPr>
        <w:t xml:space="preserve"> до 30. јуна 2018. године, укупно је пријављено 44.728 случајева насиља у породици</w:t>
      </w:r>
      <w:r w:rsidR="005367CC" w:rsidRPr="005367CC">
        <w:rPr>
          <w:lang w:val="sr-Cyrl-RS"/>
        </w:rPr>
        <w:t>.</w:t>
      </w:r>
    </w:p>
    <w:p w:rsidR="00EE4994" w:rsidRDefault="00EE4994" w:rsidP="004358A3">
      <w:pPr>
        <w:pStyle w:val="BodyText2"/>
        <w:spacing w:before="60"/>
        <w:ind w:firstLine="720"/>
        <w:rPr>
          <w:lang w:val="sr-Cyrl-RS"/>
        </w:rPr>
      </w:pPr>
      <w:r>
        <w:t xml:space="preserve">Домен насиља у оквиру овог извештаја </w:t>
      </w:r>
      <w:r>
        <w:rPr>
          <w:lang w:val="sr-Cyrl-RS"/>
        </w:rPr>
        <w:t xml:space="preserve">РЗС у </w:t>
      </w:r>
      <w:r w:rsidRPr="00EE4994">
        <w:rPr>
          <w:i/>
          <w:lang w:val="sr-Cyrl-RS"/>
        </w:rPr>
        <w:t>Индексу родне равноправности</w:t>
      </w:r>
      <w:r>
        <w:rPr>
          <w:lang w:val="sr-Cyrl-RS"/>
        </w:rPr>
        <w:t xml:space="preserve"> објављеном 2018. године </w:t>
      </w:r>
      <w:r>
        <w:t>приказан је на основу појединачних индикатора</w:t>
      </w:r>
      <w:r>
        <w:rPr>
          <w:lang w:val="sr-Cyrl-RS"/>
        </w:rPr>
        <w:t>,</w:t>
      </w:r>
      <w:r>
        <w:t xml:space="preserve"> а не на основу индекса који за овај домен израчунава EIGE. Истраживање које је спровела Организација за европску безбедност и сарадњу (О</w:t>
      </w:r>
      <w:r>
        <w:rPr>
          <w:lang w:val="en-US"/>
        </w:rPr>
        <w:t>SCE</w:t>
      </w:r>
      <w:r>
        <w:t>) о благостању и безбедности жена, током лета</w:t>
      </w:r>
      <w:r>
        <w:rPr>
          <w:lang w:val="sr-Cyrl-RS"/>
        </w:rPr>
        <w:t xml:space="preserve"> 2018. године</w:t>
      </w:r>
      <w:r w:rsidRPr="00EE4994">
        <w:rPr>
          <w:lang w:val="ru-RU"/>
        </w:rPr>
        <w:t>,</w:t>
      </w:r>
      <w:r>
        <w:t xml:space="preserve"> представља</w:t>
      </w:r>
      <w:r>
        <w:rPr>
          <w:lang w:val="sr-Cyrl-RS"/>
        </w:rPr>
        <w:t>ће</w:t>
      </w:r>
      <w:r>
        <w:t xml:space="preserve"> основу за израчунавање </w:t>
      </w:r>
      <w:r>
        <w:rPr>
          <w:lang w:val="sr-Cyrl-RS"/>
        </w:rPr>
        <w:t xml:space="preserve">поменутог </w:t>
      </w:r>
      <w:r>
        <w:t>индекса</w:t>
      </w:r>
      <w:r>
        <w:rPr>
          <w:lang w:val="sr-Cyrl-RS"/>
        </w:rPr>
        <w:t>.</w:t>
      </w:r>
      <w:r>
        <w:t xml:space="preserve"> Ови подаци указују на то да је нешто више од петине жена од навршених 15 година доживело физичко и/или сексуално насиље од стране партнера или других особа. Већа опасност од ових форми насиља налази се у партнерским односима него у било којим другим, на шта указује двоструко виша стопа физичког </w:t>
      </w:r>
      <w:r>
        <w:rPr>
          <w:lang w:val="sr-Cyrl-RS"/>
        </w:rPr>
        <w:t>насиља</w:t>
      </w:r>
      <w:r w:rsidR="004502EE">
        <w:rPr>
          <w:lang w:val="sr-Cyrl-RS"/>
        </w:rPr>
        <w:t xml:space="preserve"> у односу на остале видове насиља</w:t>
      </w:r>
      <w:r>
        <w:rPr>
          <w:lang w:val="sr-Cyrl-RS"/>
        </w:rPr>
        <w:t>.</w:t>
      </w:r>
    </w:p>
    <w:p w:rsidR="000146A2" w:rsidRDefault="005367CC" w:rsidP="004358A3">
      <w:pPr>
        <w:suppressAutoHyphens/>
        <w:spacing w:before="60" w:line="240" w:lineRule="atLeast"/>
        <w:ind w:right="-22" w:firstLine="709"/>
        <w:jc w:val="both"/>
        <w:rPr>
          <w:rFonts w:eastAsia="Calibri"/>
          <w:lang w:val="sr-Cyrl-RS"/>
        </w:rPr>
      </w:pPr>
      <w:r w:rsidRPr="005367CC">
        <w:rPr>
          <w:rFonts w:eastAsia="Calibri"/>
          <w:lang w:val="sr-Cyrl-RS"/>
        </w:rPr>
        <w:t xml:space="preserve">Центри за социјални рад </w:t>
      </w:r>
      <w:r w:rsidR="00D85669">
        <w:rPr>
          <w:rFonts w:eastAsia="Calibri"/>
          <w:lang w:val="sr-Cyrl-RS"/>
        </w:rPr>
        <w:t xml:space="preserve"> (у даљем тексту: ЦСР) </w:t>
      </w:r>
      <w:r w:rsidRPr="005367CC">
        <w:rPr>
          <w:rFonts w:eastAsia="Calibri"/>
          <w:lang w:val="sr-Cyrl-RS"/>
        </w:rPr>
        <w:t>су дужни да, у циљу ефикасне примене овог закона, сарађују са полицијом, тужилаштвом и судом у датим роковима и да предузимањем мера из своје надлежности делотворно и координисано спречавају насиље у породици и вршење кривичних дела одређених овим законом</w:t>
      </w:r>
      <w:r w:rsidR="00627333">
        <w:rPr>
          <w:rFonts w:eastAsia="Calibri"/>
          <w:lang w:val="sr-Cyrl-RS"/>
        </w:rPr>
        <w:t>,</w:t>
      </w:r>
      <w:r w:rsidRPr="005367CC">
        <w:rPr>
          <w:rFonts w:eastAsia="Calibri"/>
          <w:lang w:val="sr-Cyrl-RS"/>
        </w:rPr>
        <w:t xml:space="preserve"> као и да пруже заштиту</w:t>
      </w:r>
      <w:r w:rsidR="00627333">
        <w:rPr>
          <w:rFonts w:eastAsia="Calibri"/>
          <w:lang w:val="sr-Cyrl-RS"/>
        </w:rPr>
        <w:t xml:space="preserve"> лицу које трпи насиље</w:t>
      </w:r>
      <w:r w:rsidRPr="005367CC">
        <w:rPr>
          <w:rFonts w:eastAsia="Calibri"/>
          <w:lang w:val="sr-Cyrl-RS"/>
        </w:rPr>
        <w:t>,</w:t>
      </w:r>
      <w:r w:rsidR="00627333">
        <w:rPr>
          <w:rFonts w:eastAsia="Calibri"/>
          <w:lang w:val="sr-Cyrl-RS"/>
        </w:rPr>
        <w:t xml:space="preserve"> затим</w:t>
      </w:r>
      <w:r w:rsidRPr="005367CC">
        <w:rPr>
          <w:rFonts w:eastAsia="Calibri"/>
          <w:lang w:val="sr-Cyrl-RS"/>
        </w:rPr>
        <w:t xml:space="preserve"> правну и психосоцијалну </w:t>
      </w:r>
      <w:r w:rsidR="00627333" w:rsidRPr="005367CC">
        <w:rPr>
          <w:rFonts w:eastAsia="Calibri"/>
          <w:lang w:val="sr-Cyrl-RS"/>
        </w:rPr>
        <w:t xml:space="preserve">помоћ </w:t>
      </w:r>
      <w:r w:rsidRPr="005367CC">
        <w:rPr>
          <w:rFonts w:eastAsia="Calibri"/>
          <w:lang w:val="sr-Cyrl-RS"/>
        </w:rPr>
        <w:t xml:space="preserve">и другу подршку </w:t>
      </w:r>
      <w:r w:rsidR="00627333">
        <w:rPr>
          <w:rFonts w:eastAsia="Calibri"/>
          <w:lang w:val="sr-Cyrl-RS"/>
        </w:rPr>
        <w:t xml:space="preserve">неопходну </w:t>
      </w:r>
      <w:r w:rsidRPr="005367CC">
        <w:rPr>
          <w:rFonts w:eastAsia="Calibri"/>
          <w:lang w:val="sr-Cyrl-RS"/>
        </w:rPr>
        <w:t xml:space="preserve">ради њеног опоравка, оснаживања и осамостаљивања. </w:t>
      </w:r>
      <w:r w:rsidR="0016698E">
        <w:rPr>
          <w:rFonts w:eastAsia="Calibri"/>
          <w:lang w:val="sr-Cyrl-RS"/>
        </w:rPr>
        <w:t xml:space="preserve">Иако у време доношења </w:t>
      </w:r>
      <w:r w:rsidR="0016698E" w:rsidRPr="00D85669">
        <w:rPr>
          <w:rFonts w:eastAsia="Calibri"/>
          <w:i/>
          <w:lang w:val="sr-Cyrl-RS"/>
        </w:rPr>
        <w:t>Закона о равноправности полова</w:t>
      </w:r>
      <w:r w:rsidR="0016698E">
        <w:rPr>
          <w:rFonts w:eastAsia="Calibri"/>
          <w:lang w:val="sr-Cyrl-RS"/>
        </w:rPr>
        <w:t xml:space="preserve"> феномен насиља у породици није био обухваћен посебним законом, извештавње по том основу је предвиђено у оквиру поглавља који се бави породичним односима јер је број жена жртава насиља у породици три пута већи у односу на супротан пол. </w:t>
      </w:r>
    </w:p>
    <w:p w:rsidR="0016698E" w:rsidRPr="00EE2BF3" w:rsidRDefault="0016698E" w:rsidP="004358A3">
      <w:pPr>
        <w:suppressAutoHyphens/>
        <w:spacing w:before="60" w:line="240" w:lineRule="atLeast"/>
        <w:ind w:right="-22" w:firstLine="709"/>
        <w:jc w:val="both"/>
        <w:rPr>
          <w:lang w:val="ru-RU"/>
        </w:rPr>
      </w:pPr>
      <w:r w:rsidRPr="0016698E">
        <w:rPr>
          <w:lang w:val="ru-RU"/>
        </w:rPr>
        <w:t xml:space="preserve">Званична статистика указује да је распрострањеност насиља над женама у Србији таква да је свака друга жена искусила неки облик насиља у породици током свог живота, односно 54,2% жена, </w:t>
      </w:r>
      <w:r w:rsidRPr="00A31200">
        <w:rPr>
          <w:lang w:val="sr-Cyrl-RS"/>
        </w:rPr>
        <w:t>али</w:t>
      </w:r>
      <w:r w:rsidRPr="0016698E">
        <w:rPr>
          <w:lang w:val="ru-RU"/>
        </w:rPr>
        <w:t xml:space="preserve"> свега 10% жена пријављује физичко насиље</w:t>
      </w:r>
      <w:r w:rsidRPr="00A31200">
        <w:rPr>
          <w:lang w:val="ru-RU"/>
        </w:rPr>
        <w:t xml:space="preserve">. Свака пета </w:t>
      </w:r>
      <w:r w:rsidRPr="00B01710">
        <w:rPr>
          <w:lang w:val="ru-RU"/>
        </w:rPr>
        <w:t>жена у Србији (22%) каже да је била изложена телесном насиљу</w:t>
      </w:r>
      <w:r w:rsidR="00D85669">
        <w:rPr>
          <w:lang w:val="ru-RU"/>
        </w:rPr>
        <w:t>, а</w:t>
      </w:r>
      <w:r w:rsidRPr="00EE2BF3">
        <w:rPr>
          <w:lang w:val="ru-RU"/>
        </w:rPr>
        <w:t xml:space="preserve"> свака трећа жена у Србији (32%) била је изложена психолошком </w:t>
      </w:r>
      <w:r w:rsidRPr="00EE2BF3">
        <w:rPr>
          <w:lang w:val="ru-RU"/>
        </w:rPr>
        <w:lastRenderedPageBreak/>
        <w:t>насиљу само у једној години. Поред наведеног, важно је истаћи да се све већи број насиља у породици дешава на рел</w:t>
      </w:r>
      <w:r w:rsidRPr="00A31200">
        <w:rPr>
          <w:lang w:val="sr-Cyrl-RS"/>
        </w:rPr>
        <w:t>а</w:t>
      </w:r>
      <w:r w:rsidRPr="00EE2BF3">
        <w:rPr>
          <w:lang w:val="ru-RU"/>
        </w:rPr>
        <w:t>ци</w:t>
      </w:r>
      <w:r w:rsidRPr="00A31200">
        <w:rPr>
          <w:lang w:val="sr-Cyrl-RS"/>
        </w:rPr>
        <w:t>ји</w:t>
      </w:r>
      <w:r w:rsidRPr="00EE2BF3">
        <w:rPr>
          <w:lang w:val="ru-RU"/>
        </w:rPr>
        <w:t xml:space="preserve"> између одрасле деце (чешће му</w:t>
      </w:r>
      <w:r w:rsidRPr="00A31200">
        <w:rPr>
          <w:lang w:val="sr-Cyrl-RS"/>
        </w:rPr>
        <w:t>ш</w:t>
      </w:r>
      <w:r w:rsidRPr="00EE2BF3">
        <w:rPr>
          <w:lang w:val="ru-RU"/>
        </w:rPr>
        <w:t xml:space="preserve">ког пола) и родитеља који живе у заједничком породичном домаћинству. Насиље се испољава према једном или оба родитеља, који не морају </w:t>
      </w:r>
      <w:r w:rsidR="0042566C">
        <w:rPr>
          <w:lang w:val="ru-RU"/>
        </w:rPr>
        <w:t>нужно бити остарели и болесни.</w:t>
      </w:r>
    </w:p>
    <w:p w:rsidR="00B01710" w:rsidRPr="00EA1C43" w:rsidRDefault="005367CC" w:rsidP="004358A3">
      <w:pPr>
        <w:spacing w:before="60"/>
        <w:ind w:right="-22" w:firstLine="709"/>
        <w:contextualSpacing/>
        <w:jc w:val="both"/>
        <w:rPr>
          <w:rFonts w:eastAsia="Calibri"/>
          <w:lang w:val="sr-Cyrl-RS"/>
        </w:rPr>
      </w:pPr>
      <w:r w:rsidRPr="005367CC">
        <w:rPr>
          <w:rFonts w:eastAsia="Arial Unicode MS"/>
          <w:lang w:val="sr-Cyrl-RS" w:eastAsia="en-GB"/>
        </w:rPr>
        <w:t xml:space="preserve">У примени </w:t>
      </w:r>
      <w:r w:rsidRPr="005367CC">
        <w:rPr>
          <w:rFonts w:eastAsia="Arial Unicode MS"/>
          <w:i/>
          <w:lang w:val="sr-Cyrl-RS" w:eastAsia="en-GB"/>
        </w:rPr>
        <w:t>Закона о спречавању насиља у породици</w:t>
      </w:r>
      <w:r w:rsidRPr="005367CC">
        <w:rPr>
          <w:rFonts w:eastAsia="Arial Unicode MS"/>
          <w:lang w:val="sr-Cyrl-RS" w:eastAsia="en-GB"/>
        </w:rPr>
        <w:t xml:space="preserve">, орган старатељства је дужан да поступа у складу са стандардима стручног рада прописаних </w:t>
      </w:r>
      <w:r w:rsidRPr="00E9280B">
        <w:rPr>
          <w:rFonts w:eastAsia="Arial Unicode MS"/>
          <w:i/>
          <w:lang w:val="sr-Cyrl-RS" w:eastAsia="en-GB"/>
        </w:rPr>
        <w:t>Правилником о организацији, нормативима и стандардима рада центра за социјални рад</w:t>
      </w:r>
      <w:r w:rsidRPr="005367CC">
        <w:rPr>
          <w:rFonts w:eastAsia="Arial Unicode MS"/>
          <w:lang w:val="sr-Cyrl-RS" w:eastAsia="en-GB"/>
        </w:rPr>
        <w:t xml:space="preserve">, </w:t>
      </w:r>
      <w:r w:rsidRPr="005367CC">
        <w:rPr>
          <w:rFonts w:eastAsia="Arial Unicode MS"/>
          <w:i/>
          <w:lang w:val="sr-Cyrl-RS" w:eastAsia="en-GB"/>
        </w:rPr>
        <w:t xml:space="preserve">Посебним протоколом о поступању центара за социјални рад – органа старатељства у случајевима насиља у породици и према женама у </w:t>
      </w:r>
      <w:r w:rsidRPr="00181A4C">
        <w:rPr>
          <w:rFonts w:eastAsia="Arial Unicode MS"/>
          <w:i/>
          <w:lang w:val="sr-Cyrl-RS" w:eastAsia="en-GB"/>
        </w:rPr>
        <w:t>партнерским односима</w:t>
      </w:r>
      <w:r w:rsidRPr="005367CC">
        <w:rPr>
          <w:rFonts w:eastAsia="Arial Unicode MS"/>
          <w:lang w:val="sr-Cyrl-RS" w:eastAsia="en-GB"/>
        </w:rPr>
        <w:t xml:space="preserve"> из марта 2013. године.</w:t>
      </w:r>
      <w:r w:rsidR="000146A2">
        <w:rPr>
          <w:rFonts w:eastAsia="Arial Unicode MS"/>
          <w:lang w:val="sr-Cyrl-RS" w:eastAsia="en-GB"/>
        </w:rPr>
        <w:t xml:space="preserve"> </w:t>
      </w:r>
      <w:r w:rsidR="0003595E" w:rsidRPr="00882DD1">
        <w:rPr>
          <w:rFonts w:eastAsia="Calibri"/>
          <w:lang w:val="sr-Cyrl-RS"/>
        </w:rPr>
        <w:t xml:space="preserve">Министар за рад, запошљавање, борачка и социјална питања донео је обавезујуће </w:t>
      </w:r>
      <w:r w:rsidR="0003595E" w:rsidRPr="00882DD1">
        <w:rPr>
          <w:rFonts w:eastAsia="Calibri"/>
          <w:i/>
          <w:lang w:val="sr-Cyrl-RS"/>
        </w:rPr>
        <w:t>Упутство о реализацији обавеза центара за социјални рад у примени Закона о спречавању насиља у породици</w:t>
      </w:r>
      <w:r w:rsidR="00BE58A2">
        <w:rPr>
          <w:rFonts w:eastAsia="Calibri"/>
          <w:lang w:val="sr-Cyrl-RS"/>
        </w:rPr>
        <w:t xml:space="preserve"> 14. јула </w:t>
      </w:r>
      <w:r w:rsidR="0003595E" w:rsidRPr="00882DD1">
        <w:rPr>
          <w:rFonts w:eastAsia="Calibri"/>
          <w:lang w:val="sr-Cyrl-RS"/>
        </w:rPr>
        <w:t xml:space="preserve">2017. године. Осим тога, министар за рад, запошљавање, борачка и социјална питања и министар просвете, науке и технолошког развоја донели су </w:t>
      </w:r>
      <w:r w:rsidR="0003595E" w:rsidRPr="00882DD1">
        <w:rPr>
          <w:rFonts w:eastAsia="Calibri"/>
          <w:i/>
          <w:lang w:val="sr-Cyrl-RS"/>
        </w:rPr>
        <w:t>Упутство о поступању установа образовња и васпитања и центара за социјални рад – органа старатељства у заштити деце од насиља</w:t>
      </w:r>
      <w:r w:rsidR="00BE58A2">
        <w:rPr>
          <w:rFonts w:eastAsia="Calibri"/>
          <w:lang w:val="sr-Cyrl-RS"/>
        </w:rPr>
        <w:t xml:space="preserve"> </w:t>
      </w:r>
      <w:r w:rsidR="0042566C">
        <w:rPr>
          <w:rFonts w:eastAsia="Calibri"/>
          <w:lang w:val="sr-Cyrl-RS"/>
        </w:rPr>
        <w:t>3.</w:t>
      </w:r>
      <w:r w:rsidR="00BE58A2">
        <w:rPr>
          <w:rFonts w:eastAsia="Calibri"/>
          <w:lang w:val="sr-Cyrl-RS"/>
        </w:rPr>
        <w:t xml:space="preserve"> априла </w:t>
      </w:r>
      <w:r w:rsidR="0042566C">
        <w:rPr>
          <w:rFonts w:eastAsia="Calibri"/>
          <w:lang w:val="sr-Cyrl-RS"/>
        </w:rPr>
        <w:t>2018. године.</w:t>
      </w:r>
      <w:r w:rsidR="000146A2">
        <w:rPr>
          <w:rFonts w:eastAsia="Calibri"/>
          <w:lang w:val="sr-Cyrl-RS"/>
        </w:rPr>
        <w:t xml:space="preserve"> Такође, </w:t>
      </w:r>
      <w:r w:rsidRPr="00EC2E2A">
        <w:rPr>
          <w:rFonts w:eastAsia="Calibri"/>
          <w:i/>
          <w:lang w:val="ru-RU"/>
        </w:rPr>
        <w:t>Закон</w:t>
      </w:r>
      <w:r w:rsidRPr="005367CC">
        <w:rPr>
          <w:rFonts w:eastAsia="Calibri"/>
          <w:i/>
          <w:lang w:val="sr-Cyrl-BA"/>
        </w:rPr>
        <w:t>ом</w:t>
      </w:r>
      <w:r w:rsidRPr="00EC2E2A">
        <w:rPr>
          <w:rFonts w:eastAsia="Calibri"/>
          <w:i/>
          <w:lang w:val="ru-RU"/>
        </w:rPr>
        <w:t xml:space="preserve"> о спречавању насиља у породици</w:t>
      </w:r>
      <w:r w:rsidRPr="00EC2E2A">
        <w:rPr>
          <w:rFonts w:eastAsia="Calibri"/>
          <w:lang w:val="ru-RU"/>
        </w:rPr>
        <w:t xml:space="preserve"> </w:t>
      </w:r>
      <w:r w:rsidRPr="005367CC">
        <w:rPr>
          <w:rFonts w:eastAsia="Calibri"/>
          <w:lang w:val="sr-Cyrl-RS"/>
        </w:rPr>
        <w:t xml:space="preserve">уводи се обавеза вођења евиденција о случајевима насиља у породици. Евиденције воде полицијске управе, основни судови, основно јавно тужилаштво и центри за социјални рад. Централна евиденција </w:t>
      </w:r>
      <w:r>
        <w:rPr>
          <w:rFonts w:eastAsia="Calibri"/>
          <w:lang w:val="sr-Cyrl-RS"/>
        </w:rPr>
        <w:t>није успостављена у 2018. години и у процесу је успостављања, која по закону треба да се води</w:t>
      </w:r>
      <w:r w:rsidRPr="005367CC">
        <w:rPr>
          <w:rFonts w:eastAsia="Calibri"/>
          <w:lang w:val="sr-Cyrl-RS"/>
        </w:rPr>
        <w:t xml:space="preserve"> у Републичком јавном тужилаштву. </w:t>
      </w:r>
      <w:r>
        <w:rPr>
          <w:rFonts w:eastAsia="Calibri"/>
          <w:lang w:val="sr-Cyrl-RS"/>
        </w:rPr>
        <w:t>Када су у питању е</w:t>
      </w:r>
      <w:r w:rsidRPr="005367CC">
        <w:rPr>
          <w:rFonts w:eastAsia="Calibri"/>
          <w:lang w:val="sr-Cyrl-RS"/>
        </w:rPr>
        <w:t>виденције центара за социјални рад</w:t>
      </w:r>
      <w:r w:rsidR="00B01710">
        <w:rPr>
          <w:rFonts w:eastAsia="Calibri"/>
          <w:lang w:val="sr-Cyrl-RS"/>
        </w:rPr>
        <w:t xml:space="preserve"> о поступању у случајевима насиља у породици</w:t>
      </w:r>
      <w:r>
        <w:rPr>
          <w:rFonts w:eastAsia="Calibri"/>
          <w:lang w:val="sr-Cyrl-RS"/>
        </w:rPr>
        <w:t xml:space="preserve"> у 201</w:t>
      </w:r>
      <w:r w:rsidR="00D85669">
        <w:rPr>
          <w:rFonts w:eastAsia="Calibri"/>
          <w:lang w:val="sr-Cyrl-RS"/>
        </w:rPr>
        <w:t>8. години</w:t>
      </w:r>
      <w:r w:rsidR="00B01710">
        <w:rPr>
          <w:rFonts w:eastAsia="Calibri"/>
          <w:lang w:val="sr-Cyrl-RS"/>
        </w:rPr>
        <w:t>,</w:t>
      </w:r>
      <w:r>
        <w:rPr>
          <w:rFonts w:eastAsia="Calibri"/>
          <w:lang w:val="sr-Cyrl-RS"/>
        </w:rPr>
        <w:t xml:space="preserve"> оне се воде на нивоу 170 </w:t>
      </w:r>
      <w:r w:rsidR="00D85669">
        <w:rPr>
          <w:rFonts w:eastAsia="Calibri"/>
          <w:lang w:val="sr-Cyrl-RS"/>
        </w:rPr>
        <w:t>ЦСР</w:t>
      </w:r>
      <w:r w:rsidR="00B01710" w:rsidRPr="00EA1C43">
        <w:rPr>
          <w:rFonts w:eastAsia="Calibri"/>
          <w:lang w:val="sr-Cyrl-RS"/>
        </w:rPr>
        <w:t xml:space="preserve"> </w:t>
      </w:r>
      <w:r w:rsidR="00D85669">
        <w:rPr>
          <w:rFonts w:eastAsia="Calibri"/>
          <w:lang w:val="sr-Cyrl-RS"/>
        </w:rPr>
        <w:t xml:space="preserve">и обрађују у РЗСЗ </w:t>
      </w:r>
      <w:r w:rsidR="00B01710" w:rsidRPr="00EA1C43">
        <w:rPr>
          <w:rFonts w:eastAsia="Calibri"/>
          <w:lang w:val="sr-Cyrl-RS"/>
        </w:rPr>
        <w:t>(Табела 6).</w:t>
      </w:r>
    </w:p>
    <w:p w:rsidR="004B0148" w:rsidRPr="00005DC6" w:rsidRDefault="004B0148" w:rsidP="00EA1C43">
      <w:pPr>
        <w:pStyle w:val="BodyText2"/>
        <w:spacing w:before="120"/>
        <w:ind w:firstLine="720"/>
        <w:jc w:val="center"/>
        <w:rPr>
          <w:b/>
          <w:lang w:val="sr-Cyrl-RS"/>
        </w:rPr>
      </w:pPr>
      <w:r w:rsidRPr="00EA1C43">
        <w:rPr>
          <w:b/>
          <w:lang w:val="sr-Cyrl-RS"/>
        </w:rPr>
        <w:t>Табела</w:t>
      </w:r>
      <w:r w:rsidRPr="004B0148">
        <w:rPr>
          <w:b/>
          <w:lang w:val="sr-Cyrl-RS"/>
        </w:rPr>
        <w:t xml:space="preserve"> 6: Подаци Р</w:t>
      </w:r>
      <w:r>
        <w:rPr>
          <w:b/>
          <w:lang w:val="sr-Cyrl-RS"/>
        </w:rPr>
        <w:t>епубличког завода за социјалну заштиту</w:t>
      </w:r>
      <w:r w:rsidRPr="004B0148">
        <w:rPr>
          <w:b/>
          <w:lang w:val="sr-Cyrl-RS"/>
        </w:rPr>
        <w:t xml:space="preserve"> у вези послова центара за с</w:t>
      </w:r>
      <w:r>
        <w:rPr>
          <w:b/>
          <w:lang w:val="sr-Cyrl-RS"/>
        </w:rPr>
        <w:t>оција</w:t>
      </w:r>
      <w:r w:rsidRPr="004B0148">
        <w:rPr>
          <w:b/>
          <w:lang w:val="sr-Cyrl-RS"/>
        </w:rPr>
        <w:t xml:space="preserve">лни рад ради заштите </w:t>
      </w:r>
      <w:r w:rsidR="00D85669">
        <w:rPr>
          <w:b/>
          <w:lang w:val="sr-Cyrl-RS"/>
        </w:rPr>
        <w:t xml:space="preserve">лица </w:t>
      </w:r>
      <w:r w:rsidRPr="004B0148">
        <w:rPr>
          <w:b/>
          <w:lang w:val="sr-Cyrl-RS"/>
        </w:rPr>
        <w:t>од насиља у породици</w:t>
      </w:r>
      <w:r w:rsidR="00005DC6" w:rsidRPr="00EC2E2A">
        <w:rPr>
          <w:b/>
          <w:lang w:val="ru-RU"/>
        </w:rPr>
        <w:t xml:space="preserve"> 2013-2017. </w:t>
      </w:r>
      <w:r w:rsidR="00005DC6">
        <w:rPr>
          <w:b/>
          <w:lang w:val="sr-Cyrl-RS"/>
        </w:rPr>
        <w:t>године</w:t>
      </w:r>
    </w:p>
    <w:p w:rsidR="00005DC6" w:rsidRPr="00EA1C43" w:rsidRDefault="00005DC6" w:rsidP="004B0148">
      <w:pPr>
        <w:pStyle w:val="BodyText2"/>
        <w:ind w:firstLine="720"/>
        <w:jc w:val="center"/>
        <w:rPr>
          <w:b/>
          <w:sz w:val="16"/>
          <w:szCs w:val="16"/>
          <w:lang w:val="ru-RU"/>
        </w:rPr>
      </w:pPr>
    </w:p>
    <w:tbl>
      <w:tblPr>
        <w:tblW w:w="10022" w:type="dxa"/>
        <w:tblLook w:val="04A0" w:firstRow="1" w:lastRow="0" w:firstColumn="1" w:lastColumn="0" w:noHBand="0" w:noVBand="1"/>
      </w:tblPr>
      <w:tblGrid>
        <w:gridCol w:w="3397"/>
        <w:gridCol w:w="1105"/>
        <w:gridCol w:w="1500"/>
        <w:gridCol w:w="1300"/>
        <w:gridCol w:w="1360"/>
        <w:gridCol w:w="1360"/>
      </w:tblGrid>
      <w:tr w:rsidR="004B0148" w:rsidRPr="006F3994" w:rsidTr="00EA41C1">
        <w:trPr>
          <w:trHeight w:val="300"/>
        </w:trPr>
        <w:tc>
          <w:tcPr>
            <w:tcW w:w="10022" w:type="dxa"/>
            <w:gridSpan w:val="6"/>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4B0148" w:rsidRPr="00EC2E2A" w:rsidRDefault="004B0148" w:rsidP="00005DC6">
            <w:pPr>
              <w:jc w:val="center"/>
              <w:rPr>
                <w:b/>
                <w:bCs/>
                <w:sz w:val="20"/>
                <w:szCs w:val="20"/>
                <w:lang w:val="ru-RU"/>
              </w:rPr>
            </w:pPr>
            <w:r w:rsidRPr="00EC2E2A">
              <w:rPr>
                <w:b/>
                <w:bCs/>
                <w:sz w:val="20"/>
                <w:szCs w:val="20"/>
                <w:lang w:val="ru-RU"/>
              </w:rPr>
              <w:t>ПОСЛОВИ ЗАШТИТЕ ОД НАСИЉА У ПОРОДИЦИ</w:t>
            </w:r>
          </w:p>
        </w:tc>
      </w:tr>
      <w:tr w:rsidR="004B0148" w:rsidRPr="006F3994" w:rsidTr="00EA41C1">
        <w:trPr>
          <w:trHeight w:val="300"/>
        </w:trPr>
        <w:tc>
          <w:tcPr>
            <w:tcW w:w="10022" w:type="dxa"/>
            <w:gridSpan w:val="6"/>
            <w:tcBorders>
              <w:top w:val="single" w:sz="4" w:space="0" w:color="auto"/>
              <w:left w:val="single" w:sz="4" w:space="0" w:color="auto"/>
              <w:bottom w:val="single" w:sz="4" w:space="0" w:color="auto"/>
              <w:right w:val="single" w:sz="4" w:space="0" w:color="000000"/>
            </w:tcBorders>
            <w:shd w:val="clear" w:color="auto" w:fill="00B0F0"/>
            <w:vAlign w:val="center"/>
            <w:hideMark/>
          </w:tcPr>
          <w:p w:rsidR="004B0148" w:rsidRPr="00EC2E2A" w:rsidRDefault="004B0148" w:rsidP="00EA1C43">
            <w:pPr>
              <w:jc w:val="center"/>
              <w:rPr>
                <w:b/>
                <w:bCs/>
                <w:sz w:val="20"/>
                <w:szCs w:val="20"/>
                <w:lang w:val="ru-RU"/>
              </w:rPr>
            </w:pPr>
            <w:r w:rsidRPr="00EC2E2A">
              <w:rPr>
                <w:b/>
                <w:bCs/>
                <w:sz w:val="20"/>
                <w:szCs w:val="20"/>
                <w:lang w:val="ru-RU"/>
              </w:rPr>
              <w:t xml:space="preserve">Број пријава за насиље у породици </w:t>
            </w:r>
            <w:r w:rsidR="00EA1C43">
              <w:rPr>
                <w:b/>
                <w:bCs/>
                <w:sz w:val="20"/>
                <w:szCs w:val="20"/>
                <w:lang w:val="ru-RU"/>
              </w:rPr>
              <w:t xml:space="preserve">и парт. односима </w:t>
            </w:r>
            <w:r w:rsidRPr="00EC2E2A">
              <w:rPr>
                <w:b/>
                <w:bCs/>
                <w:sz w:val="20"/>
                <w:szCs w:val="20"/>
                <w:lang w:val="ru-RU"/>
              </w:rPr>
              <w:t xml:space="preserve">на евиденцији ЦСР и број жртава насиља </w:t>
            </w:r>
            <w:r w:rsidR="00EA1C43">
              <w:rPr>
                <w:b/>
                <w:bCs/>
                <w:sz w:val="20"/>
                <w:szCs w:val="20"/>
                <w:lang w:val="ru-RU"/>
              </w:rPr>
              <w:t>2</w:t>
            </w:r>
            <w:r w:rsidRPr="00EC2E2A">
              <w:rPr>
                <w:b/>
                <w:bCs/>
                <w:sz w:val="20"/>
                <w:szCs w:val="20"/>
                <w:lang w:val="ru-RU"/>
              </w:rPr>
              <w:t>013 - 2017.</w:t>
            </w:r>
          </w:p>
        </w:tc>
      </w:tr>
      <w:tr w:rsidR="004B0148" w:rsidRPr="006F3994" w:rsidTr="00EA1C43">
        <w:trPr>
          <w:trHeight w:val="300"/>
        </w:trPr>
        <w:tc>
          <w:tcPr>
            <w:tcW w:w="339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B0148" w:rsidRPr="00A31200" w:rsidRDefault="004B0148" w:rsidP="00005DC6">
            <w:pPr>
              <w:rPr>
                <w:b/>
                <w:bCs/>
                <w:sz w:val="20"/>
                <w:szCs w:val="20"/>
                <w:lang w:val="en-US"/>
              </w:rPr>
            </w:pPr>
            <w:r w:rsidRPr="00A31200">
              <w:rPr>
                <w:b/>
                <w:bCs/>
                <w:sz w:val="20"/>
                <w:szCs w:val="20"/>
                <w:lang w:val="en-US"/>
              </w:rPr>
              <w:t>Број породица</w:t>
            </w:r>
          </w:p>
        </w:tc>
        <w:tc>
          <w:tcPr>
            <w:tcW w:w="6625" w:type="dxa"/>
            <w:gridSpan w:val="5"/>
            <w:tcBorders>
              <w:top w:val="single" w:sz="4" w:space="0" w:color="auto"/>
              <w:left w:val="nil"/>
              <w:bottom w:val="single" w:sz="4" w:space="0" w:color="auto"/>
              <w:right w:val="single" w:sz="4" w:space="0" w:color="000000"/>
            </w:tcBorders>
            <w:shd w:val="clear" w:color="000000" w:fill="FFFFFF"/>
            <w:vAlign w:val="center"/>
            <w:hideMark/>
          </w:tcPr>
          <w:p w:rsidR="004B0148" w:rsidRPr="00EC2E2A" w:rsidRDefault="004B0148" w:rsidP="00005DC6">
            <w:pPr>
              <w:jc w:val="center"/>
              <w:rPr>
                <w:b/>
                <w:bCs/>
                <w:sz w:val="20"/>
                <w:szCs w:val="20"/>
                <w:lang w:val="ru-RU"/>
              </w:rPr>
            </w:pPr>
            <w:r w:rsidRPr="00EC2E2A">
              <w:rPr>
                <w:b/>
                <w:bCs/>
                <w:sz w:val="20"/>
                <w:szCs w:val="20"/>
                <w:lang w:val="ru-RU"/>
              </w:rPr>
              <w:t>2013. Број жртава насиља према старости</w:t>
            </w:r>
          </w:p>
        </w:tc>
      </w:tr>
      <w:tr w:rsidR="004B0148" w:rsidRPr="00A31200" w:rsidTr="00EA1C43">
        <w:trPr>
          <w:trHeight w:val="300"/>
        </w:trPr>
        <w:tc>
          <w:tcPr>
            <w:tcW w:w="3397" w:type="dxa"/>
            <w:vMerge/>
            <w:tcBorders>
              <w:top w:val="single" w:sz="4" w:space="0" w:color="auto"/>
              <w:left w:val="single" w:sz="4" w:space="0" w:color="auto"/>
              <w:bottom w:val="single" w:sz="4" w:space="0" w:color="000000"/>
              <w:right w:val="single" w:sz="4" w:space="0" w:color="000000"/>
            </w:tcBorders>
            <w:vAlign w:val="center"/>
            <w:hideMark/>
          </w:tcPr>
          <w:p w:rsidR="004B0148" w:rsidRPr="00EC2E2A" w:rsidRDefault="004B0148" w:rsidP="00005DC6">
            <w:pPr>
              <w:rPr>
                <w:b/>
                <w:bCs/>
                <w:sz w:val="20"/>
                <w:szCs w:val="20"/>
                <w:lang w:val="ru-RU"/>
              </w:rPr>
            </w:pP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Деца</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Млади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Одрасли</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Старији</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2013, Укупно</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B0148" w:rsidRPr="00A31200" w:rsidRDefault="004B0148" w:rsidP="00005DC6">
            <w:pPr>
              <w:rPr>
                <w:sz w:val="20"/>
                <w:szCs w:val="20"/>
                <w:lang w:val="en-US"/>
              </w:rPr>
            </w:pPr>
            <w:r w:rsidRPr="00A31200">
              <w:rPr>
                <w:sz w:val="20"/>
                <w:szCs w:val="20"/>
                <w:lang w:val="en-US"/>
              </w:rPr>
              <w:t>Биолошке породице</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3603</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763</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3857</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1179</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9402</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Усвојитељске породице</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2</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3</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Хранитељске и друге породице</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32</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12</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6</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53</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b/>
                <w:bCs/>
                <w:sz w:val="20"/>
                <w:szCs w:val="20"/>
                <w:lang w:val="en-US"/>
              </w:rPr>
            </w:pPr>
            <w:r w:rsidRPr="00A31200">
              <w:rPr>
                <w:b/>
                <w:bCs/>
                <w:sz w:val="20"/>
                <w:szCs w:val="20"/>
                <w:lang w:val="en-US"/>
              </w:rPr>
              <w:t>УКУПНО</w:t>
            </w:r>
          </w:p>
        </w:tc>
        <w:tc>
          <w:tcPr>
            <w:tcW w:w="1105"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3637</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767</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3869</w:t>
            </w:r>
          </w:p>
        </w:tc>
        <w:tc>
          <w:tcPr>
            <w:tcW w:w="136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1185</w:t>
            </w:r>
          </w:p>
        </w:tc>
        <w:tc>
          <w:tcPr>
            <w:tcW w:w="136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9458</w:t>
            </w:r>
          </w:p>
        </w:tc>
      </w:tr>
      <w:tr w:rsidR="004B0148" w:rsidRPr="006F3994" w:rsidTr="00EA1C43">
        <w:trPr>
          <w:trHeight w:val="300"/>
        </w:trPr>
        <w:tc>
          <w:tcPr>
            <w:tcW w:w="339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B0148" w:rsidRPr="00A31200" w:rsidRDefault="004B0148" w:rsidP="00005DC6">
            <w:pPr>
              <w:rPr>
                <w:b/>
                <w:bCs/>
                <w:sz w:val="20"/>
                <w:szCs w:val="20"/>
                <w:lang w:val="en-US"/>
              </w:rPr>
            </w:pPr>
            <w:r w:rsidRPr="00A31200">
              <w:rPr>
                <w:b/>
                <w:bCs/>
                <w:sz w:val="20"/>
                <w:szCs w:val="20"/>
                <w:lang w:val="en-US"/>
              </w:rPr>
              <w:t>Број породица</w:t>
            </w:r>
          </w:p>
        </w:tc>
        <w:tc>
          <w:tcPr>
            <w:tcW w:w="6625" w:type="dxa"/>
            <w:gridSpan w:val="5"/>
            <w:tcBorders>
              <w:top w:val="single" w:sz="4" w:space="0" w:color="auto"/>
              <w:left w:val="nil"/>
              <w:bottom w:val="single" w:sz="4" w:space="0" w:color="auto"/>
              <w:right w:val="single" w:sz="4" w:space="0" w:color="000000"/>
            </w:tcBorders>
            <w:shd w:val="clear" w:color="000000" w:fill="FFFFFF"/>
            <w:vAlign w:val="center"/>
            <w:hideMark/>
          </w:tcPr>
          <w:p w:rsidR="004B0148" w:rsidRPr="00EC2E2A" w:rsidRDefault="004B0148" w:rsidP="00005DC6">
            <w:pPr>
              <w:jc w:val="center"/>
              <w:rPr>
                <w:b/>
                <w:bCs/>
                <w:sz w:val="20"/>
                <w:szCs w:val="20"/>
                <w:lang w:val="ru-RU"/>
              </w:rPr>
            </w:pPr>
            <w:r w:rsidRPr="00EC2E2A">
              <w:rPr>
                <w:b/>
                <w:bCs/>
                <w:sz w:val="20"/>
                <w:szCs w:val="20"/>
                <w:lang w:val="ru-RU"/>
              </w:rPr>
              <w:t>2014. Број жртава насиља према старости</w:t>
            </w:r>
          </w:p>
        </w:tc>
      </w:tr>
      <w:tr w:rsidR="004B0148" w:rsidRPr="00A31200" w:rsidTr="00EA1C43">
        <w:trPr>
          <w:trHeight w:val="300"/>
        </w:trPr>
        <w:tc>
          <w:tcPr>
            <w:tcW w:w="3397" w:type="dxa"/>
            <w:vMerge/>
            <w:tcBorders>
              <w:top w:val="single" w:sz="4" w:space="0" w:color="auto"/>
              <w:left w:val="single" w:sz="4" w:space="0" w:color="auto"/>
              <w:bottom w:val="single" w:sz="4" w:space="0" w:color="000000"/>
              <w:right w:val="single" w:sz="4" w:space="0" w:color="000000"/>
            </w:tcBorders>
            <w:vAlign w:val="center"/>
            <w:hideMark/>
          </w:tcPr>
          <w:p w:rsidR="004B0148" w:rsidRPr="00EC2E2A" w:rsidRDefault="004B0148" w:rsidP="00005DC6">
            <w:pPr>
              <w:rPr>
                <w:b/>
                <w:bCs/>
                <w:sz w:val="20"/>
                <w:szCs w:val="20"/>
                <w:lang w:val="ru-RU"/>
              </w:rPr>
            </w:pP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Деца</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Млади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Одрасли</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Старији</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2014, Укупно</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B0148" w:rsidRPr="00A31200" w:rsidRDefault="004B0148" w:rsidP="00005DC6">
            <w:pPr>
              <w:rPr>
                <w:sz w:val="20"/>
                <w:szCs w:val="20"/>
                <w:lang w:val="en-US"/>
              </w:rPr>
            </w:pPr>
            <w:r w:rsidRPr="00A31200">
              <w:rPr>
                <w:sz w:val="20"/>
                <w:szCs w:val="20"/>
                <w:lang w:val="en-US"/>
              </w:rPr>
              <w:t>Биолошке породице</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4820</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1002</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5705</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1527</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13054</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Усвојитељске породице</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4B0148" w:rsidRPr="00A31200" w:rsidRDefault="004B0148" w:rsidP="00005DC6">
            <w:pPr>
              <w:jc w:val="center"/>
              <w:rPr>
                <w:sz w:val="20"/>
                <w:szCs w:val="20"/>
                <w:lang w:val="en-US"/>
              </w:rPr>
            </w:pPr>
            <w:r w:rsidRPr="00A31200">
              <w:rPr>
                <w:sz w:val="20"/>
                <w:szCs w:val="20"/>
                <w:lang w:val="en-US"/>
              </w:rPr>
              <w:t>2</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Хранитељске и друге породице</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116</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51</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170</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32</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369</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b/>
                <w:bCs/>
                <w:sz w:val="20"/>
                <w:szCs w:val="20"/>
                <w:lang w:val="en-US"/>
              </w:rPr>
            </w:pPr>
            <w:r w:rsidRPr="00A31200">
              <w:rPr>
                <w:b/>
                <w:bCs/>
                <w:sz w:val="20"/>
                <w:szCs w:val="20"/>
                <w:lang w:val="en-US"/>
              </w:rPr>
              <w:t>УКУПНО</w:t>
            </w:r>
          </w:p>
        </w:tc>
        <w:tc>
          <w:tcPr>
            <w:tcW w:w="1105"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4938</w:t>
            </w:r>
          </w:p>
        </w:tc>
        <w:tc>
          <w:tcPr>
            <w:tcW w:w="150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1053</w:t>
            </w:r>
          </w:p>
        </w:tc>
        <w:tc>
          <w:tcPr>
            <w:tcW w:w="130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5875</w:t>
            </w:r>
          </w:p>
        </w:tc>
        <w:tc>
          <w:tcPr>
            <w:tcW w:w="1360" w:type="dxa"/>
            <w:tcBorders>
              <w:top w:val="single" w:sz="4" w:space="0" w:color="auto"/>
              <w:left w:val="nil"/>
              <w:bottom w:val="single" w:sz="4" w:space="0" w:color="auto"/>
              <w:right w:val="single" w:sz="4" w:space="0" w:color="000000"/>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1559</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13425</w:t>
            </w:r>
          </w:p>
        </w:tc>
      </w:tr>
      <w:tr w:rsidR="004B0148" w:rsidRPr="006F3994" w:rsidTr="00EA1C43">
        <w:trPr>
          <w:trHeight w:val="300"/>
        </w:trPr>
        <w:tc>
          <w:tcPr>
            <w:tcW w:w="339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B0148" w:rsidRPr="00A31200" w:rsidRDefault="004B0148" w:rsidP="00005DC6">
            <w:pPr>
              <w:rPr>
                <w:b/>
                <w:bCs/>
                <w:sz w:val="20"/>
                <w:szCs w:val="20"/>
                <w:lang w:val="en-US"/>
              </w:rPr>
            </w:pPr>
            <w:r w:rsidRPr="00A31200">
              <w:rPr>
                <w:b/>
                <w:bCs/>
                <w:sz w:val="20"/>
                <w:szCs w:val="20"/>
                <w:lang w:val="en-US"/>
              </w:rPr>
              <w:t>Број породица</w:t>
            </w:r>
          </w:p>
        </w:tc>
        <w:tc>
          <w:tcPr>
            <w:tcW w:w="6625" w:type="dxa"/>
            <w:gridSpan w:val="5"/>
            <w:tcBorders>
              <w:top w:val="single" w:sz="4" w:space="0" w:color="auto"/>
              <w:left w:val="nil"/>
              <w:bottom w:val="single" w:sz="4" w:space="0" w:color="auto"/>
              <w:right w:val="single" w:sz="4" w:space="0" w:color="000000"/>
            </w:tcBorders>
            <w:shd w:val="clear" w:color="000000" w:fill="FFFFFF"/>
            <w:vAlign w:val="center"/>
            <w:hideMark/>
          </w:tcPr>
          <w:p w:rsidR="004B0148" w:rsidRPr="00EC2E2A" w:rsidRDefault="004B0148" w:rsidP="00005DC6">
            <w:pPr>
              <w:jc w:val="center"/>
              <w:rPr>
                <w:b/>
                <w:bCs/>
                <w:sz w:val="20"/>
                <w:szCs w:val="20"/>
                <w:lang w:val="ru-RU"/>
              </w:rPr>
            </w:pPr>
            <w:r w:rsidRPr="00EC2E2A">
              <w:rPr>
                <w:b/>
                <w:bCs/>
                <w:sz w:val="20"/>
                <w:szCs w:val="20"/>
                <w:lang w:val="ru-RU"/>
              </w:rPr>
              <w:t>2015. Број жртава насиља према старости</w:t>
            </w:r>
          </w:p>
        </w:tc>
      </w:tr>
      <w:tr w:rsidR="004B0148" w:rsidRPr="00A31200" w:rsidTr="00EA1C43">
        <w:trPr>
          <w:trHeight w:val="300"/>
        </w:trPr>
        <w:tc>
          <w:tcPr>
            <w:tcW w:w="3397" w:type="dxa"/>
            <w:vMerge/>
            <w:tcBorders>
              <w:top w:val="single" w:sz="4" w:space="0" w:color="auto"/>
              <w:left w:val="single" w:sz="4" w:space="0" w:color="auto"/>
              <w:bottom w:val="single" w:sz="4" w:space="0" w:color="000000"/>
              <w:right w:val="single" w:sz="4" w:space="0" w:color="000000"/>
            </w:tcBorders>
            <w:vAlign w:val="center"/>
            <w:hideMark/>
          </w:tcPr>
          <w:p w:rsidR="004B0148" w:rsidRPr="00EC2E2A" w:rsidRDefault="004B0148" w:rsidP="00005DC6">
            <w:pPr>
              <w:rPr>
                <w:b/>
                <w:bCs/>
                <w:sz w:val="20"/>
                <w:szCs w:val="20"/>
                <w:lang w:val="ru-RU"/>
              </w:rPr>
            </w:pP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Деца</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Млади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Одрасли</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Старији</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2015, Укупно</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B0148" w:rsidRPr="00A31200" w:rsidRDefault="004B0148" w:rsidP="00005DC6">
            <w:pPr>
              <w:rPr>
                <w:sz w:val="20"/>
                <w:szCs w:val="20"/>
                <w:lang w:val="en-US"/>
              </w:rPr>
            </w:pPr>
            <w:r w:rsidRPr="00A31200">
              <w:rPr>
                <w:sz w:val="20"/>
                <w:szCs w:val="20"/>
                <w:lang w:val="en-US"/>
              </w:rPr>
              <w:t>Биолошке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6411</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1428</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8162</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2204</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18205</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Усвојитељске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Хранитељске и друге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107</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60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301</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68</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536</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b/>
                <w:bCs/>
                <w:sz w:val="20"/>
                <w:szCs w:val="20"/>
                <w:lang w:val="en-US"/>
              </w:rPr>
            </w:pPr>
            <w:r w:rsidRPr="00A31200">
              <w:rPr>
                <w:b/>
                <w:bCs/>
                <w:sz w:val="20"/>
                <w:szCs w:val="20"/>
                <w:lang w:val="en-US"/>
              </w:rPr>
              <w:t>УКУПНО</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6519</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1488</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8464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2272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18743</w:t>
            </w:r>
          </w:p>
        </w:tc>
      </w:tr>
      <w:tr w:rsidR="004B0148" w:rsidRPr="006F3994" w:rsidTr="00EA1C43">
        <w:trPr>
          <w:trHeight w:val="300"/>
        </w:trPr>
        <w:tc>
          <w:tcPr>
            <w:tcW w:w="339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B0148" w:rsidRPr="00A31200" w:rsidRDefault="004B0148" w:rsidP="00005DC6">
            <w:pPr>
              <w:rPr>
                <w:b/>
                <w:bCs/>
                <w:sz w:val="20"/>
                <w:szCs w:val="20"/>
                <w:lang w:val="en-US"/>
              </w:rPr>
            </w:pPr>
            <w:r w:rsidRPr="00A31200">
              <w:rPr>
                <w:b/>
                <w:bCs/>
                <w:sz w:val="20"/>
                <w:szCs w:val="20"/>
                <w:lang w:val="en-US"/>
              </w:rPr>
              <w:t>Број породица</w:t>
            </w:r>
          </w:p>
        </w:tc>
        <w:tc>
          <w:tcPr>
            <w:tcW w:w="6625" w:type="dxa"/>
            <w:gridSpan w:val="5"/>
            <w:tcBorders>
              <w:top w:val="single" w:sz="4" w:space="0" w:color="auto"/>
              <w:left w:val="nil"/>
              <w:bottom w:val="single" w:sz="4" w:space="0" w:color="auto"/>
              <w:right w:val="single" w:sz="4" w:space="0" w:color="000000"/>
            </w:tcBorders>
            <w:shd w:val="clear" w:color="000000" w:fill="FFFFFF"/>
            <w:vAlign w:val="center"/>
            <w:hideMark/>
          </w:tcPr>
          <w:p w:rsidR="004B0148" w:rsidRPr="00EC2E2A" w:rsidRDefault="004B0148" w:rsidP="00005DC6">
            <w:pPr>
              <w:jc w:val="center"/>
              <w:rPr>
                <w:b/>
                <w:bCs/>
                <w:sz w:val="20"/>
                <w:szCs w:val="20"/>
                <w:lang w:val="ru-RU"/>
              </w:rPr>
            </w:pPr>
            <w:r w:rsidRPr="00EC2E2A">
              <w:rPr>
                <w:b/>
                <w:bCs/>
                <w:sz w:val="20"/>
                <w:szCs w:val="20"/>
                <w:lang w:val="ru-RU"/>
              </w:rPr>
              <w:t>2016. Број жртава насиља према старости</w:t>
            </w:r>
          </w:p>
        </w:tc>
      </w:tr>
      <w:tr w:rsidR="004B0148" w:rsidRPr="00A31200" w:rsidTr="00EA1C43">
        <w:trPr>
          <w:trHeight w:val="300"/>
        </w:trPr>
        <w:tc>
          <w:tcPr>
            <w:tcW w:w="3397" w:type="dxa"/>
            <w:vMerge/>
            <w:tcBorders>
              <w:top w:val="single" w:sz="4" w:space="0" w:color="auto"/>
              <w:left w:val="single" w:sz="4" w:space="0" w:color="auto"/>
              <w:bottom w:val="single" w:sz="4" w:space="0" w:color="000000"/>
              <w:right w:val="single" w:sz="4" w:space="0" w:color="000000"/>
            </w:tcBorders>
            <w:vAlign w:val="center"/>
            <w:hideMark/>
          </w:tcPr>
          <w:p w:rsidR="004B0148" w:rsidRPr="00EC2E2A" w:rsidRDefault="004B0148" w:rsidP="00005DC6">
            <w:pPr>
              <w:rPr>
                <w:b/>
                <w:bCs/>
                <w:sz w:val="20"/>
                <w:szCs w:val="20"/>
                <w:lang w:val="ru-RU"/>
              </w:rPr>
            </w:pP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Деца</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Млади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Одрасли</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Старији</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2016, Укупно</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B0148" w:rsidRPr="00A31200" w:rsidRDefault="004B0148" w:rsidP="00005DC6">
            <w:pPr>
              <w:rPr>
                <w:sz w:val="20"/>
                <w:szCs w:val="20"/>
                <w:lang w:val="en-US"/>
              </w:rPr>
            </w:pPr>
            <w:r w:rsidRPr="00A31200">
              <w:rPr>
                <w:sz w:val="20"/>
                <w:szCs w:val="20"/>
                <w:lang w:val="en-US"/>
              </w:rPr>
              <w:lastRenderedPageBreak/>
              <w:t>Биолошке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6929</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1917</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10634</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2933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22413</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Усвојитељске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Хранитељске и друге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100</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57</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529</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117</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803</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b/>
                <w:bCs/>
                <w:sz w:val="20"/>
                <w:szCs w:val="20"/>
                <w:lang w:val="en-US"/>
              </w:rPr>
            </w:pPr>
            <w:r w:rsidRPr="00A31200">
              <w:rPr>
                <w:b/>
                <w:bCs/>
                <w:sz w:val="20"/>
                <w:szCs w:val="20"/>
                <w:lang w:val="en-US"/>
              </w:rPr>
              <w:t>УКУПНО</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7030</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1975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11163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3050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23218</w:t>
            </w:r>
          </w:p>
        </w:tc>
      </w:tr>
      <w:tr w:rsidR="004B0148" w:rsidRPr="006F3994" w:rsidTr="00EA1C43">
        <w:trPr>
          <w:trHeight w:val="300"/>
        </w:trPr>
        <w:tc>
          <w:tcPr>
            <w:tcW w:w="339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B0148" w:rsidRPr="00A31200" w:rsidRDefault="004B0148" w:rsidP="00005DC6">
            <w:pPr>
              <w:rPr>
                <w:b/>
                <w:bCs/>
                <w:sz w:val="20"/>
                <w:szCs w:val="20"/>
                <w:lang w:val="en-US"/>
              </w:rPr>
            </w:pPr>
            <w:r w:rsidRPr="00A31200">
              <w:rPr>
                <w:b/>
                <w:bCs/>
                <w:sz w:val="20"/>
                <w:szCs w:val="20"/>
                <w:lang w:val="en-US"/>
              </w:rPr>
              <w:t>Број породица</w:t>
            </w:r>
          </w:p>
        </w:tc>
        <w:tc>
          <w:tcPr>
            <w:tcW w:w="6625" w:type="dxa"/>
            <w:gridSpan w:val="5"/>
            <w:tcBorders>
              <w:top w:val="single" w:sz="4" w:space="0" w:color="auto"/>
              <w:left w:val="nil"/>
              <w:bottom w:val="single" w:sz="4" w:space="0" w:color="auto"/>
              <w:right w:val="single" w:sz="4" w:space="0" w:color="000000"/>
            </w:tcBorders>
            <w:shd w:val="clear" w:color="000000" w:fill="FFFFFF"/>
            <w:vAlign w:val="center"/>
            <w:hideMark/>
          </w:tcPr>
          <w:p w:rsidR="004B0148" w:rsidRPr="00EC2E2A" w:rsidRDefault="004B0148" w:rsidP="00005DC6">
            <w:pPr>
              <w:jc w:val="center"/>
              <w:rPr>
                <w:b/>
                <w:bCs/>
                <w:sz w:val="20"/>
                <w:szCs w:val="20"/>
                <w:lang w:val="ru-RU"/>
              </w:rPr>
            </w:pPr>
            <w:r w:rsidRPr="00EC2E2A">
              <w:rPr>
                <w:b/>
                <w:bCs/>
                <w:sz w:val="20"/>
                <w:szCs w:val="20"/>
                <w:lang w:val="ru-RU"/>
              </w:rPr>
              <w:t>2017. Број жртава насиља према старости</w:t>
            </w:r>
          </w:p>
        </w:tc>
      </w:tr>
      <w:tr w:rsidR="004B0148" w:rsidRPr="00A31200" w:rsidTr="00EA1C43">
        <w:trPr>
          <w:trHeight w:val="300"/>
        </w:trPr>
        <w:tc>
          <w:tcPr>
            <w:tcW w:w="3397" w:type="dxa"/>
            <w:vMerge/>
            <w:tcBorders>
              <w:top w:val="single" w:sz="4" w:space="0" w:color="auto"/>
              <w:left w:val="single" w:sz="4" w:space="0" w:color="auto"/>
              <w:bottom w:val="single" w:sz="4" w:space="0" w:color="000000"/>
              <w:right w:val="single" w:sz="4" w:space="0" w:color="000000"/>
            </w:tcBorders>
            <w:vAlign w:val="center"/>
            <w:hideMark/>
          </w:tcPr>
          <w:p w:rsidR="004B0148" w:rsidRPr="00EC2E2A" w:rsidRDefault="004B0148" w:rsidP="00005DC6">
            <w:pPr>
              <w:rPr>
                <w:b/>
                <w:bCs/>
                <w:sz w:val="20"/>
                <w:szCs w:val="20"/>
                <w:lang w:val="ru-RU"/>
              </w:rPr>
            </w:pP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Деца</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Млади</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Одрасли</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Старији</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2017, Укупно</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B0148" w:rsidRPr="00A31200" w:rsidRDefault="004B0148" w:rsidP="00005DC6">
            <w:pPr>
              <w:rPr>
                <w:sz w:val="20"/>
                <w:szCs w:val="20"/>
                <w:lang w:val="en-US"/>
              </w:rPr>
            </w:pPr>
            <w:r w:rsidRPr="00A31200">
              <w:rPr>
                <w:sz w:val="20"/>
                <w:szCs w:val="20"/>
                <w:lang w:val="en-US"/>
              </w:rPr>
              <w:t>Биолошке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8206</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2799</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15228</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3168</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29401</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Усвојитељске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2</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Хранитељске и друге породице</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41</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41</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EA1C43">
            <w:pPr>
              <w:rPr>
                <w:sz w:val="20"/>
                <w:szCs w:val="20"/>
                <w:lang w:val="en-US"/>
              </w:rPr>
            </w:pPr>
            <w:r w:rsidRPr="00A31200">
              <w:rPr>
                <w:sz w:val="20"/>
                <w:szCs w:val="20"/>
                <w:lang w:val="en-US"/>
              </w:rPr>
              <w:t>Сродничка</w:t>
            </w:r>
            <w:r w:rsidR="00EA1C43">
              <w:rPr>
                <w:sz w:val="20"/>
                <w:szCs w:val="20"/>
                <w:lang w:val="sr-Cyrl-RS"/>
              </w:rPr>
              <w:t>/</w:t>
            </w:r>
            <w:r w:rsidRPr="00A31200">
              <w:rPr>
                <w:sz w:val="20"/>
                <w:szCs w:val="20"/>
                <w:lang w:val="en-US"/>
              </w:rPr>
              <w:t xml:space="preserve">старатељска </w:t>
            </w:r>
            <w:r w:rsidR="00EA1C43">
              <w:rPr>
                <w:sz w:val="20"/>
                <w:szCs w:val="20"/>
                <w:lang w:val="sr-Cyrl-RS"/>
              </w:rPr>
              <w:t>п</w:t>
            </w:r>
            <w:r w:rsidRPr="00A31200">
              <w:rPr>
                <w:sz w:val="20"/>
                <w:szCs w:val="20"/>
                <w:lang w:val="en-US"/>
              </w:rPr>
              <w:t>ородица</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48</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6</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95</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55</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204</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Самачко домаћинство</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13</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319</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418</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750</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sz w:val="20"/>
                <w:szCs w:val="20"/>
                <w:lang w:val="en-US"/>
              </w:rPr>
            </w:pPr>
            <w:r w:rsidRPr="00A31200">
              <w:rPr>
                <w:sz w:val="20"/>
                <w:szCs w:val="20"/>
                <w:lang w:val="en-US"/>
              </w:rPr>
              <w:t>Друге породице</w:t>
            </w:r>
          </w:p>
        </w:tc>
        <w:tc>
          <w:tcPr>
            <w:tcW w:w="1105"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0</w:t>
            </w:r>
          </w:p>
        </w:tc>
        <w:tc>
          <w:tcPr>
            <w:tcW w:w="15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91</w:t>
            </w:r>
          </w:p>
        </w:tc>
        <w:tc>
          <w:tcPr>
            <w:tcW w:w="130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437</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212</w:t>
            </w:r>
          </w:p>
        </w:tc>
        <w:tc>
          <w:tcPr>
            <w:tcW w:w="1360" w:type="dxa"/>
            <w:tcBorders>
              <w:top w:val="single" w:sz="4" w:space="0" w:color="auto"/>
              <w:left w:val="nil"/>
              <w:bottom w:val="single" w:sz="4" w:space="0" w:color="auto"/>
              <w:right w:val="single" w:sz="4" w:space="0" w:color="000000"/>
            </w:tcBorders>
            <w:shd w:val="clear" w:color="000000" w:fill="FFFFFF"/>
            <w:vAlign w:val="center"/>
            <w:hideMark/>
          </w:tcPr>
          <w:p w:rsidR="004B0148" w:rsidRPr="00A31200" w:rsidRDefault="004B0148" w:rsidP="00005DC6">
            <w:pPr>
              <w:jc w:val="center"/>
              <w:rPr>
                <w:sz w:val="20"/>
                <w:szCs w:val="20"/>
                <w:lang w:val="en-US"/>
              </w:rPr>
            </w:pPr>
            <w:r w:rsidRPr="00A31200">
              <w:rPr>
                <w:sz w:val="20"/>
                <w:szCs w:val="20"/>
                <w:lang w:val="en-US"/>
              </w:rPr>
              <w:t>740</w:t>
            </w:r>
          </w:p>
        </w:tc>
      </w:tr>
      <w:tr w:rsidR="004B0148" w:rsidRPr="00A31200" w:rsidTr="00EA1C43">
        <w:trPr>
          <w:trHeight w:val="300"/>
        </w:trPr>
        <w:tc>
          <w:tcPr>
            <w:tcW w:w="339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B0148" w:rsidRPr="00A31200" w:rsidRDefault="004B0148" w:rsidP="00005DC6">
            <w:pPr>
              <w:rPr>
                <w:b/>
                <w:bCs/>
                <w:sz w:val="20"/>
                <w:szCs w:val="20"/>
                <w:lang w:val="en-US"/>
              </w:rPr>
            </w:pPr>
            <w:r w:rsidRPr="00A31200">
              <w:rPr>
                <w:b/>
                <w:bCs/>
                <w:sz w:val="20"/>
                <w:szCs w:val="20"/>
                <w:lang w:val="en-US"/>
              </w:rPr>
              <w:t>УКУПНО</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8297</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2909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16079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B0148" w:rsidRPr="00A31200" w:rsidRDefault="004B0148" w:rsidP="00005DC6">
            <w:pPr>
              <w:jc w:val="center"/>
              <w:rPr>
                <w:b/>
                <w:bCs/>
                <w:sz w:val="20"/>
                <w:szCs w:val="20"/>
                <w:lang w:val="en-US"/>
              </w:rPr>
            </w:pPr>
            <w:r w:rsidRPr="00A31200">
              <w:rPr>
                <w:b/>
                <w:bCs/>
                <w:sz w:val="20"/>
                <w:szCs w:val="20"/>
                <w:lang w:val="en-US"/>
              </w:rPr>
              <w:t>3853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B0148" w:rsidRPr="00A31200" w:rsidRDefault="004B0148" w:rsidP="00005DC6">
            <w:pPr>
              <w:jc w:val="center"/>
              <w:rPr>
                <w:b/>
                <w:bCs/>
                <w:sz w:val="20"/>
                <w:szCs w:val="20"/>
                <w:lang w:val="en-US"/>
              </w:rPr>
            </w:pPr>
            <w:r w:rsidRPr="00A31200">
              <w:rPr>
                <w:b/>
                <w:bCs/>
                <w:sz w:val="20"/>
                <w:szCs w:val="20"/>
                <w:lang w:val="en-US"/>
              </w:rPr>
              <w:t>31138</w:t>
            </w:r>
          </w:p>
        </w:tc>
      </w:tr>
    </w:tbl>
    <w:p w:rsidR="00981487" w:rsidRDefault="00981487" w:rsidP="000146A2">
      <w:pPr>
        <w:spacing w:before="60"/>
        <w:ind w:right="-22" w:firstLine="709"/>
        <w:jc w:val="both"/>
        <w:rPr>
          <w:rFonts w:eastAsia="Calibri"/>
          <w:lang w:val="sr-Cyrl-RS"/>
        </w:rPr>
      </w:pPr>
    </w:p>
    <w:p w:rsidR="000146A2" w:rsidRPr="00882DD1" w:rsidRDefault="000146A2" w:rsidP="000146A2">
      <w:pPr>
        <w:spacing w:before="60"/>
        <w:ind w:right="-22" w:firstLine="709"/>
        <w:jc w:val="both"/>
        <w:rPr>
          <w:lang w:val="sr-Cyrl-RS"/>
        </w:rPr>
      </w:pPr>
      <w:r>
        <w:rPr>
          <w:rFonts w:eastAsia="Calibri"/>
          <w:lang w:val="sr-Cyrl-RS"/>
        </w:rPr>
        <w:t>Извештаји ЦСР за 2018. годину</w:t>
      </w:r>
      <w:r w:rsidRPr="005367CC">
        <w:rPr>
          <w:rFonts w:eastAsia="Calibri"/>
          <w:lang w:val="sr-Cyrl-RS"/>
        </w:rPr>
        <w:t xml:space="preserve"> </w:t>
      </w:r>
      <w:r>
        <w:rPr>
          <w:rFonts w:eastAsia="Calibri"/>
          <w:lang w:val="sr-Cyrl-RS"/>
        </w:rPr>
        <w:t xml:space="preserve">се достављају електронским путем на прописаним упитницима, који су родно сензитивни, РЗСЗ закључно са мартом 2019. године и обрађују се и јавно саопштавају закључно са јуном </w:t>
      </w:r>
      <w:r w:rsidR="00A619F0">
        <w:rPr>
          <w:rFonts w:eastAsia="Calibri"/>
          <w:lang w:val="sr-Cyrl-RS"/>
        </w:rPr>
        <w:t xml:space="preserve">2019. </w:t>
      </w:r>
      <w:r>
        <w:rPr>
          <w:rFonts w:eastAsia="Calibri"/>
          <w:lang w:val="sr-Cyrl-RS"/>
        </w:rPr>
        <w:t>за претходну календарску годину</w:t>
      </w:r>
      <w:r w:rsidR="00A619F0">
        <w:rPr>
          <w:rFonts w:eastAsia="Calibri"/>
          <w:lang w:val="sr-Cyrl-RS"/>
        </w:rPr>
        <w:t xml:space="preserve"> (2018)</w:t>
      </w:r>
      <w:r>
        <w:rPr>
          <w:rFonts w:eastAsia="Calibri"/>
          <w:lang w:val="sr-Cyrl-RS"/>
        </w:rPr>
        <w:t>. Наведени извештаји, између осталог, садрже и</w:t>
      </w:r>
      <w:r w:rsidRPr="005367CC">
        <w:rPr>
          <w:rFonts w:eastAsia="Calibri"/>
          <w:lang w:val="sr-Cyrl-RS"/>
        </w:rPr>
        <w:t xml:space="preserve"> пода</w:t>
      </w:r>
      <w:r>
        <w:rPr>
          <w:rFonts w:eastAsia="Calibri"/>
          <w:lang w:val="sr-Cyrl-RS"/>
        </w:rPr>
        <w:t>тке</w:t>
      </w:r>
      <w:r w:rsidRPr="005367CC">
        <w:rPr>
          <w:rFonts w:eastAsia="Calibri"/>
          <w:lang w:val="sr-Cyrl-RS"/>
        </w:rPr>
        <w:t xml:space="preserve"> о: броју пријављених случајева породичног и партнерског насиља, узрасту жртава, доминантној врсти насиља, извору пријаве (полиција, сама жртва,</w:t>
      </w:r>
      <w:r>
        <w:rPr>
          <w:rFonts w:eastAsia="Calibri"/>
          <w:lang w:val="sr-Cyrl-RS"/>
        </w:rPr>
        <w:t xml:space="preserve"> </w:t>
      </w:r>
      <w:r w:rsidRPr="005367CC">
        <w:rPr>
          <w:rFonts w:eastAsia="Calibri"/>
          <w:lang w:val="sr-Cyrl-RS"/>
        </w:rPr>
        <w:t>јавне установе, удружења итд.), ко су починиоци насиља у породици према сродству са жртвом, које су услуге пружене жртвама насиља, поступцима које је центар предузимао у случајевима заштите деце од насиља у породици као и у заштити пунолетних жртава насиља, о броју изречених мера заштите од насиља у породици у поступцима пред судовима, о броју обавештења</w:t>
      </w:r>
      <w:r>
        <w:rPr>
          <w:rFonts w:eastAsia="Calibri"/>
          <w:lang w:val="sr-Cyrl-RS"/>
        </w:rPr>
        <w:t xml:space="preserve"> тужилаштву и полицији које је ЦСР</w:t>
      </w:r>
      <w:r w:rsidRPr="005367CC">
        <w:rPr>
          <w:rFonts w:eastAsia="Calibri"/>
          <w:lang w:val="sr-Cyrl-RS"/>
        </w:rPr>
        <w:t xml:space="preserve"> доставио, о броју налаза и мишљења које је</w:t>
      </w:r>
      <w:r>
        <w:rPr>
          <w:rFonts w:eastAsia="Calibri"/>
          <w:lang w:val="sr-Cyrl-RS"/>
        </w:rPr>
        <w:t xml:space="preserve"> центар,</w:t>
      </w:r>
      <w:r w:rsidRPr="005367CC">
        <w:rPr>
          <w:rFonts w:eastAsia="Calibri"/>
          <w:lang w:val="sr-Cyrl-RS"/>
        </w:rPr>
        <w:t xml:space="preserve"> као помоћни истражни орган</w:t>
      </w:r>
      <w:r>
        <w:rPr>
          <w:rFonts w:eastAsia="Calibri"/>
          <w:lang w:val="sr-Cyrl-RS"/>
        </w:rPr>
        <w:t>,</w:t>
      </w:r>
      <w:r w:rsidRPr="005367CC">
        <w:rPr>
          <w:rFonts w:eastAsia="Calibri"/>
          <w:lang w:val="sr-Cyrl-RS"/>
        </w:rPr>
        <w:t xml:space="preserve"> доставио суду, односно тужилаштву о сврсисходности покретања поступка за заштиту од насиља у породици и </w:t>
      </w:r>
      <w:r>
        <w:rPr>
          <w:rFonts w:eastAsia="Calibri"/>
          <w:lang w:val="sr-Cyrl-RS"/>
        </w:rPr>
        <w:t xml:space="preserve">сл.  </w:t>
      </w:r>
      <w:r w:rsidRPr="00882DD1">
        <w:rPr>
          <w:lang w:val="sr-Cyrl-RS"/>
        </w:rPr>
        <w:t>Према подацима Р</w:t>
      </w:r>
      <w:r>
        <w:rPr>
          <w:lang w:val="sr-Cyrl-RS"/>
        </w:rPr>
        <w:t>ЗСЗ</w:t>
      </w:r>
      <w:r w:rsidRPr="00882DD1">
        <w:rPr>
          <w:lang w:val="sr-Cyrl-RS"/>
        </w:rPr>
        <w:t xml:space="preserve"> у вези послова ЦСР који се обављају у зависности од врсте насиља у породици</w:t>
      </w:r>
      <w:r>
        <w:rPr>
          <w:lang w:val="sr-Cyrl-RS"/>
        </w:rPr>
        <w:t>, у периоду од</w:t>
      </w:r>
      <w:r w:rsidRPr="00EC2E2A">
        <w:rPr>
          <w:lang w:val="ru-RU"/>
        </w:rPr>
        <w:t xml:space="preserve"> 2013</w:t>
      </w:r>
      <w:r>
        <w:rPr>
          <w:lang w:val="sr-Cyrl-RS"/>
        </w:rPr>
        <w:t xml:space="preserve">. до </w:t>
      </w:r>
      <w:r w:rsidRPr="00EC2E2A">
        <w:rPr>
          <w:lang w:val="ru-RU"/>
        </w:rPr>
        <w:t xml:space="preserve">2017. </w:t>
      </w:r>
      <w:r w:rsidRPr="00882DD1">
        <w:rPr>
          <w:lang w:val="sr-Cyrl-RS"/>
        </w:rPr>
        <w:t>године</w:t>
      </w:r>
      <w:r>
        <w:rPr>
          <w:lang w:val="sr-Cyrl-RS"/>
        </w:rPr>
        <w:t>,</w:t>
      </w:r>
      <w:r w:rsidRPr="00882DD1">
        <w:rPr>
          <w:lang w:val="sr-Cyrl-RS"/>
        </w:rPr>
        <w:t xml:space="preserve"> број пружених услуга</w:t>
      </w:r>
      <w:r>
        <w:rPr>
          <w:lang w:val="sr-Cyrl-RS"/>
        </w:rPr>
        <w:t xml:space="preserve"> корисницима је био </w:t>
      </w:r>
      <w:r w:rsidRPr="00882DD1">
        <w:rPr>
          <w:lang w:val="sr-Cyrl-RS"/>
        </w:rPr>
        <w:t xml:space="preserve">три пута </w:t>
      </w:r>
      <w:r>
        <w:rPr>
          <w:lang w:val="sr-Cyrl-RS"/>
        </w:rPr>
        <w:t>већи</w:t>
      </w:r>
      <w:r w:rsidRPr="00882DD1">
        <w:rPr>
          <w:lang w:val="sr-Cyrl-RS"/>
        </w:rPr>
        <w:t>, док је број запослених у тим центрим</w:t>
      </w:r>
      <w:r>
        <w:rPr>
          <w:lang w:val="sr-Cyrl-RS"/>
        </w:rPr>
        <w:t>а</w:t>
      </w:r>
      <w:r w:rsidRPr="00882DD1">
        <w:rPr>
          <w:lang w:val="sr-Cyrl-RS"/>
        </w:rPr>
        <w:t xml:space="preserve"> за анализираних пет година</w:t>
      </w:r>
      <w:r>
        <w:rPr>
          <w:lang w:val="sr-Cyrl-RS"/>
        </w:rPr>
        <w:t xml:space="preserve"> значајно </w:t>
      </w:r>
      <w:r w:rsidRPr="00882DD1">
        <w:rPr>
          <w:lang w:val="sr-Cyrl-RS"/>
        </w:rPr>
        <w:t>смањен. Примера ради</w:t>
      </w:r>
      <w:r>
        <w:rPr>
          <w:lang w:val="sr-Cyrl-RS"/>
        </w:rPr>
        <w:t>,</w:t>
      </w:r>
      <w:r w:rsidRPr="00882DD1">
        <w:rPr>
          <w:lang w:val="sr-Cyrl-RS"/>
        </w:rPr>
        <w:t xml:space="preserve"> у 2013. години је укупно било </w:t>
      </w:r>
      <w:r w:rsidRPr="00EC2E2A">
        <w:rPr>
          <w:lang w:val="ru-RU"/>
        </w:rPr>
        <w:t>10</w:t>
      </w:r>
      <w:r>
        <w:rPr>
          <w:lang w:val="sr-Cyrl-RS"/>
        </w:rPr>
        <w:t>.</w:t>
      </w:r>
      <w:r w:rsidRPr="00EC2E2A">
        <w:rPr>
          <w:lang w:val="ru-RU"/>
        </w:rPr>
        <w:t>078</w:t>
      </w:r>
      <w:r w:rsidRPr="00882DD1">
        <w:rPr>
          <w:lang w:val="sr-Cyrl-RS"/>
        </w:rPr>
        <w:t xml:space="preserve"> корисника услуга (од којих </w:t>
      </w:r>
      <w:r w:rsidRPr="00EC2E2A">
        <w:rPr>
          <w:lang w:val="ru-RU"/>
        </w:rPr>
        <w:t>7.066</w:t>
      </w:r>
      <w:r>
        <w:rPr>
          <w:lang w:val="sr-Cyrl-RS"/>
        </w:rPr>
        <w:t xml:space="preserve"> женског пола, свих узраста</w:t>
      </w:r>
      <w:r w:rsidRPr="00882DD1">
        <w:rPr>
          <w:lang w:val="sr-Cyrl-RS"/>
        </w:rPr>
        <w:t>), а доминантна врста насиља је било физичко насиље, док је у 2017. години укупан број корисника био</w:t>
      </w:r>
      <w:r>
        <w:rPr>
          <w:lang w:val="sr-Cyrl-RS"/>
        </w:rPr>
        <w:t xml:space="preserve"> три пута већи и износио је </w:t>
      </w:r>
      <w:r w:rsidRPr="00EC2E2A">
        <w:rPr>
          <w:lang w:val="ru-RU"/>
        </w:rPr>
        <w:t>31</w:t>
      </w:r>
      <w:r>
        <w:rPr>
          <w:lang w:val="sr-Cyrl-RS"/>
        </w:rPr>
        <w:t>.</w:t>
      </w:r>
      <w:r w:rsidRPr="00EC2E2A">
        <w:rPr>
          <w:lang w:val="ru-RU"/>
        </w:rPr>
        <w:t>138</w:t>
      </w:r>
      <w:r w:rsidRPr="00882DD1">
        <w:rPr>
          <w:lang w:val="sr-Cyrl-RS"/>
        </w:rPr>
        <w:t xml:space="preserve"> (од којих </w:t>
      </w:r>
      <w:r w:rsidRPr="00EC2E2A">
        <w:rPr>
          <w:lang w:val="ru-RU"/>
        </w:rPr>
        <w:t>2</w:t>
      </w:r>
      <w:r>
        <w:rPr>
          <w:lang w:val="sr-Cyrl-RS"/>
        </w:rPr>
        <w:t>1.782</w:t>
      </w:r>
      <w:r w:rsidRPr="00882DD1">
        <w:rPr>
          <w:lang w:val="sr-Cyrl-RS"/>
        </w:rPr>
        <w:t xml:space="preserve"> </w:t>
      </w:r>
      <w:r>
        <w:rPr>
          <w:lang w:val="sr-Cyrl-RS"/>
        </w:rPr>
        <w:t>женског пола, свих узраста</w:t>
      </w:r>
      <w:r w:rsidRPr="00882DD1">
        <w:rPr>
          <w:lang w:val="sr-Cyrl-RS"/>
        </w:rPr>
        <w:t>), док је доминантна врста насиља и даље остало физичко насиље.</w:t>
      </w:r>
    </w:p>
    <w:p w:rsidR="00A81136" w:rsidRPr="00A31200" w:rsidRDefault="008C2AE0" w:rsidP="00A81136">
      <w:pPr>
        <w:ind w:right="-22" w:firstLine="709"/>
        <w:jc w:val="both"/>
        <w:rPr>
          <w:rFonts w:eastAsia="Calibri"/>
          <w:lang w:val="ru-RU"/>
        </w:rPr>
      </w:pPr>
      <w:r w:rsidRPr="005367CC">
        <w:rPr>
          <w:rFonts w:eastAsia="Calibri"/>
          <w:bCs/>
          <w:lang w:val="sr-Cyrl-RS"/>
        </w:rPr>
        <w:t>Значајно је истаћи да је</w:t>
      </w:r>
      <w:r w:rsidR="0003595E">
        <w:rPr>
          <w:rFonts w:eastAsia="Calibri"/>
          <w:bCs/>
          <w:lang w:val="sr-Cyrl-RS"/>
        </w:rPr>
        <w:t xml:space="preserve"> ресорно</w:t>
      </w:r>
      <w:r w:rsidRPr="005367CC">
        <w:rPr>
          <w:rFonts w:eastAsia="Calibri"/>
          <w:bCs/>
          <w:lang w:val="sr-Cyrl-RS"/>
        </w:rPr>
        <w:t xml:space="preserve"> </w:t>
      </w:r>
      <w:r w:rsidRPr="005367CC">
        <w:rPr>
          <w:rFonts w:eastAsia="Calibri"/>
          <w:lang w:val="sr-Cyrl-RS"/>
        </w:rPr>
        <w:t xml:space="preserve">Министарство </w:t>
      </w:r>
      <w:r w:rsidRPr="005367CC">
        <w:rPr>
          <w:rFonts w:eastAsia="Calibri"/>
          <w:bCs/>
          <w:lang w:val="sr-Cyrl-RS"/>
        </w:rPr>
        <w:t xml:space="preserve">израдило </w:t>
      </w:r>
      <w:r w:rsidRPr="005367CC">
        <w:rPr>
          <w:rFonts w:eastAsia="Calibri"/>
          <w:bCs/>
          <w:i/>
          <w:lang w:val="sr-Cyrl-RS"/>
        </w:rPr>
        <w:t xml:space="preserve">Нацрт стратегије за превенцију и заштиту деце од </w:t>
      </w:r>
      <w:r w:rsidRPr="00A619F0">
        <w:rPr>
          <w:rFonts w:eastAsia="Calibri"/>
          <w:bCs/>
          <w:i/>
          <w:lang w:val="sr-Cyrl-RS"/>
        </w:rPr>
        <w:t>насиља</w:t>
      </w:r>
      <w:r w:rsidR="000146A2" w:rsidRPr="00A619F0">
        <w:rPr>
          <w:rFonts w:eastAsia="Calibri"/>
          <w:bCs/>
          <w:i/>
          <w:lang w:val="sr-Cyrl-RS"/>
        </w:rPr>
        <w:t xml:space="preserve"> </w:t>
      </w:r>
      <w:r w:rsidRPr="00A619F0">
        <w:rPr>
          <w:rFonts w:eastAsia="Calibri"/>
          <w:bCs/>
          <w:i/>
          <w:lang w:val="sr-Cyrl-RS"/>
        </w:rPr>
        <w:t>за период од 2018. до 2022. године са пратећим Акционим планом</w:t>
      </w:r>
      <w:r w:rsidRPr="005367CC">
        <w:rPr>
          <w:rFonts w:eastAsia="Calibri"/>
          <w:bCs/>
          <w:lang w:val="sr-Cyrl-RS"/>
        </w:rPr>
        <w:t xml:space="preserve"> и </w:t>
      </w:r>
      <w:r w:rsidRPr="005367CC">
        <w:rPr>
          <w:rFonts w:eastAsia="Calibri"/>
          <w:bCs/>
          <w:i/>
          <w:lang w:val="sr-Cyrl-RS"/>
        </w:rPr>
        <w:t>Нацрт унапређеног општег протокола за заштиту деце од насиља</w:t>
      </w:r>
      <w:r w:rsidRPr="005367CC">
        <w:rPr>
          <w:rFonts w:eastAsia="Calibri"/>
          <w:bCs/>
          <w:lang w:val="sr-Cyrl-RS"/>
        </w:rPr>
        <w:t>, који ће бити укључени у процедуру доношења од стране Владе Р</w:t>
      </w:r>
      <w:r w:rsidR="00A619F0">
        <w:rPr>
          <w:rFonts w:eastAsia="Calibri"/>
          <w:bCs/>
          <w:lang w:val="sr-Cyrl-RS"/>
        </w:rPr>
        <w:t xml:space="preserve">епублике </w:t>
      </w:r>
      <w:r w:rsidRPr="005367CC">
        <w:rPr>
          <w:rFonts w:eastAsia="Calibri"/>
          <w:bCs/>
          <w:lang w:val="sr-Cyrl-RS"/>
        </w:rPr>
        <w:t>С</w:t>
      </w:r>
      <w:r w:rsidR="00A619F0">
        <w:rPr>
          <w:rFonts w:eastAsia="Calibri"/>
          <w:bCs/>
          <w:lang w:val="sr-Cyrl-RS"/>
        </w:rPr>
        <w:t>рбије</w:t>
      </w:r>
      <w:r w:rsidRPr="005367CC">
        <w:rPr>
          <w:rFonts w:eastAsia="Calibri"/>
          <w:bCs/>
          <w:lang w:val="sr-Cyrl-RS"/>
        </w:rPr>
        <w:t>.</w:t>
      </w:r>
      <w:r>
        <w:rPr>
          <w:rFonts w:eastAsia="Calibri"/>
          <w:bCs/>
          <w:lang w:val="sr-Cyrl-RS"/>
        </w:rPr>
        <w:t xml:space="preserve"> Отуда се у </w:t>
      </w:r>
      <w:r w:rsidR="0003595E">
        <w:rPr>
          <w:rFonts w:eastAsia="Calibri"/>
          <w:bCs/>
          <w:lang w:val="sr-Cyrl-RS"/>
        </w:rPr>
        <w:t xml:space="preserve">оквиру </w:t>
      </w:r>
      <w:r>
        <w:rPr>
          <w:rFonts w:eastAsia="Calibri"/>
          <w:bCs/>
          <w:lang w:val="sr-Cyrl-RS"/>
        </w:rPr>
        <w:t xml:space="preserve">овог извештаја </w:t>
      </w:r>
      <w:r w:rsidR="00A619F0">
        <w:rPr>
          <w:rFonts w:eastAsia="Calibri"/>
          <w:bCs/>
          <w:lang w:val="sr-Cyrl-RS"/>
        </w:rPr>
        <w:t>наводи</w:t>
      </w:r>
      <w:r>
        <w:rPr>
          <w:rFonts w:eastAsia="Calibri"/>
          <w:bCs/>
          <w:lang w:val="sr-Cyrl-RS"/>
        </w:rPr>
        <w:t xml:space="preserve"> и податак везан за занемаривање деце и за експлоата</w:t>
      </w:r>
      <w:r w:rsidR="00821575">
        <w:rPr>
          <w:rFonts w:eastAsia="Calibri"/>
          <w:bCs/>
          <w:lang w:val="sr-Cyrl-RS"/>
        </w:rPr>
        <w:t>ц</w:t>
      </w:r>
      <w:r>
        <w:rPr>
          <w:rFonts w:eastAsia="Calibri"/>
          <w:bCs/>
          <w:lang w:val="sr-Cyrl-RS"/>
        </w:rPr>
        <w:t>ију деце по различитим основама</w:t>
      </w:r>
      <w:r w:rsidR="0003595E">
        <w:rPr>
          <w:rFonts w:eastAsia="Calibri"/>
          <w:bCs/>
          <w:lang w:val="sr-Cyrl-RS"/>
        </w:rPr>
        <w:t xml:space="preserve"> (Табела 7)</w:t>
      </w:r>
      <w:r>
        <w:rPr>
          <w:rFonts w:eastAsia="Calibri"/>
          <w:bCs/>
          <w:lang w:val="sr-Cyrl-RS"/>
        </w:rPr>
        <w:t>.</w:t>
      </w:r>
      <w:r w:rsidR="00A81136" w:rsidRPr="00A81136">
        <w:rPr>
          <w:rFonts w:eastAsia="Calibri"/>
          <w:lang w:val="ru-RU"/>
        </w:rPr>
        <w:t xml:space="preserve"> </w:t>
      </w:r>
      <w:r w:rsidR="00821575">
        <w:rPr>
          <w:rFonts w:eastAsia="Calibri"/>
          <w:lang w:val="ru-RU"/>
        </w:rPr>
        <w:t>Тим поводом, и</w:t>
      </w:r>
      <w:r w:rsidR="00A81136" w:rsidRPr="00A31200">
        <w:rPr>
          <w:rFonts w:eastAsia="Calibri"/>
          <w:lang w:val="ru-RU"/>
        </w:rPr>
        <w:t xml:space="preserve">звршен је надзор и пружена стручна помоћ </w:t>
      </w:r>
      <w:r w:rsidR="00A81136">
        <w:rPr>
          <w:rFonts w:eastAsia="Calibri"/>
          <w:lang w:val="ru-RU"/>
        </w:rPr>
        <w:t>у</w:t>
      </w:r>
      <w:r w:rsidR="00A81136" w:rsidRPr="00A31200">
        <w:rPr>
          <w:rFonts w:eastAsia="Calibri"/>
          <w:lang w:val="ru-RU"/>
        </w:rPr>
        <w:t xml:space="preserve"> 50 </w:t>
      </w:r>
      <w:r w:rsidR="00A81136">
        <w:rPr>
          <w:rFonts w:eastAsia="Calibri"/>
          <w:lang w:val="ru-RU"/>
        </w:rPr>
        <w:t>ЦСР</w:t>
      </w:r>
      <w:r w:rsidR="00A81136" w:rsidRPr="00A31200">
        <w:rPr>
          <w:rFonts w:eastAsia="Calibri"/>
          <w:lang w:val="ru-RU"/>
        </w:rPr>
        <w:t xml:space="preserve"> у областима насиља у породици и заштите деце од злостављања и занемаривања, у поступцима вршења и лишења родитељског права и заштите права детета. </w:t>
      </w:r>
    </w:p>
    <w:p w:rsidR="0003595E" w:rsidRDefault="0003595E" w:rsidP="008C2AE0">
      <w:pPr>
        <w:spacing w:after="120" w:line="259" w:lineRule="auto"/>
        <w:ind w:right="-22" w:firstLine="709"/>
        <w:jc w:val="both"/>
        <w:rPr>
          <w:rFonts w:eastAsia="Calibri"/>
          <w:sz w:val="16"/>
          <w:szCs w:val="16"/>
          <w:lang w:val="sr-Cyrl-RS"/>
        </w:rPr>
      </w:pPr>
    </w:p>
    <w:p w:rsidR="00981487" w:rsidRDefault="00981487" w:rsidP="00005DC6">
      <w:pPr>
        <w:pStyle w:val="BodyText2"/>
        <w:ind w:firstLine="720"/>
        <w:jc w:val="center"/>
        <w:rPr>
          <w:b/>
          <w:lang w:val="sr-Cyrl-RS"/>
        </w:rPr>
      </w:pPr>
    </w:p>
    <w:p w:rsidR="00005DC6" w:rsidRPr="00005DC6" w:rsidRDefault="00005DC6" w:rsidP="00005DC6">
      <w:pPr>
        <w:pStyle w:val="BodyText2"/>
        <w:ind w:firstLine="720"/>
        <w:jc w:val="center"/>
        <w:rPr>
          <w:b/>
          <w:lang w:val="sr-Cyrl-RS"/>
        </w:rPr>
      </w:pPr>
      <w:r w:rsidRPr="004B0148">
        <w:rPr>
          <w:b/>
          <w:lang w:val="sr-Cyrl-RS"/>
        </w:rPr>
        <w:lastRenderedPageBreak/>
        <w:t xml:space="preserve">Табела </w:t>
      </w:r>
      <w:r>
        <w:rPr>
          <w:b/>
          <w:lang w:val="sr-Cyrl-RS"/>
        </w:rPr>
        <w:t>7</w:t>
      </w:r>
      <w:r w:rsidRPr="004B0148">
        <w:rPr>
          <w:b/>
          <w:lang w:val="sr-Cyrl-RS"/>
        </w:rPr>
        <w:t>: Подаци Р</w:t>
      </w:r>
      <w:r>
        <w:rPr>
          <w:b/>
          <w:lang w:val="sr-Cyrl-RS"/>
        </w:rPr>
        <w:t>епубличког завода за социјалну заштиту</w:t>
      </w:r>
      <w:r w:rsidRPr="004B0148">
        <w:rPr>
          <w:b/>
          <w:lang w:val="sr-Cyrl-RS"/>
        </w:rPr>
        <w:t xml:space="preserve"> у вези послова центара за с</w:t>
      </w:r>
      <w:r>
        <w:rPr>
          <w:b/>
          <w:lang w:val="sr-Cyrl-RS"/>
        </w:rPr>
        <w:t>оција</w:t>
      </w:r>
      <w:r w:rsidRPr="004B0148">
        <w:rPr>
          <w:b/>
          <w:lang w:val="sr-Cyrl-RS"/>
        </w:rPr>
        <w:t xml:space="preserve">лни рад </w:t>
      </w:r>
      <w:r w:rsidR="00821575">
        <w:rPr>
          <w:b/>
          <w:lang w:val="sr-Cyrl-RS"/>
        </w:rPr>
        <w:t xml:space="preserve">на основу врсте </w:t>
      </w:r>
      <w:r w:rsidRPr="004B0148">
        <w:rPr>
          <w:b/>
          <w:lang w:val="sr-Cyrl-RS"/>
        </w:rPr>
        <w:t>насиља у породици</w:t>
      </w:r>
      <w:r w:rsidRPr="00EC2E2A">
        <w:rPr>
          <w:b/>
          <w:lang w:val="ru-RU"/>
        </w:rPr>
        <w:t xml:space="preserve"> 2013-2017. </w:t>
      </w:r>
      <w:r>
        <w:rPr>
          <w:b/>
          <w:lang w:val="sr-Cyrl-RS"/>
        </w:rPr>
        <w:t>године</w:t>
      </w:r>
    </w:p>
    <w:p w:rsidR="00005DC6" w:rsidRPr="00931355" w:rsidRDefault="00005DC6" w:rsidP="004B0148">
      <w:pPr>
        <w:spacing w:after="120" w:line="259" w:lineRule="auto"/>
        <w:ind w:right="-22" w:firstLine="709"/>
        <w:jc w:val="both"/>
        <w:rPr>
          <w:rFonts w:eastAsia="Calibri"/>
          <w:sz w:val="16"/>
          <w:szCs w:val="16"/>
          <w:lang w:val="ru-RU"/>
        </w:rPr>
      </w:pPr>
    </w:p>
    <w:tbl>
      <w:tblPr>
        <w:tblW w:w="10287" w:type="dxa"/>
        <w:tblLook w:val="04A0" w:firstRow="1" w:lastRow="0" w:firstColumn="1" w:lastColumn="0" w:noHBand="0" w:noVBand="1"/>
      </w:tblPr>
      <w:tblGrid>
        <w:gridCol w:w="2830"/>
        <w:gridCol w:w="616"/>
        <w:gridCol w:w="598"/>
        <w:gridCol w:w="82"/>
        <w:gridCol w:w="640"/>
        <w:gridCol w:w="842"/>
        <w:gridCol w:w="82"/>
        <w:gridCol w:w="616"/>
        <w:gridCol w:w="1237"/>
        <w:gridCol w:w="82"/>
        <w:gridCol w:w="709"/>
        <w:gridCol w:w="768"/>
        <w:gridCol w:w="82"/>
        <w:gridCol w:w="1381"/>
      </w:tblGrid>
      <w:tr w:rsidR="00005DC6" w:rsidRPr="006F3994" w:rsidTr="00EA41C1">
        <w:trPr>
          <w:trHeight w:val="300"/>
        </w:trPr>
        <w:tc>
          <w:tcPr>
            <w:tcW w:w="10205" w:type="dxa"/>
            <w:gridSpan w:val="14"/>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005DC6" w:rsidRPr="00EC2E2A" w:rsidRDefault="00005DC6" w:rsidP="00005DC6">
            <w:pPr>
              <w:jc w:val="center"/>
              <w:rPr>
                <w:b/>
                <w:bCs/>
                <w:sz w:val="20"/>
                <w:szCs w:val="20"/>
                <w:lang w:val="ru-RU"/>
              </w:rPr>
            </w:pPr>
            <w:r w:rsidRPr="00EC2E2A">
              <w:rPr>
                <w:b/>
                <w:bCs/>
                <w:sz w:val="20"/>
                <w:szCs w:val="20"/>
                <w:lang w:val="ru-RU"/>
              </w:rPr>
              <w:t>ПОСЛОВИ ЗАШТИТЕ ОД НАСИЉА У ПОРОДИЦИ</w:t>
            </w:r>
          </w:p>
        </w:tc>
      </w:tr>
      <w:tr w:rsidR="00005DC6" w:rsidRPr="006F3994" w:rsidTr="00EA41C1">
        <w:trPr>
          <w:trHeight w:val="300"/>
        </w:trPr>
        <w:tc>
          <w:tcPr>
            <w:tcW w:w="10205" w:type="dxa"/>
            <w:gridSpan w:val="14"/>
            <w:tcBorders>
              <w:top w:val="single" w:sz="4" w:space="0" w:color="auto"/>
              <w:left w:val="single" w:sz="4" w:space="0" w:color="auto"/>
              <w:bottom w:val="single" w:sz="4" w:space="0" w:color="auto"/>
              <w:right w:val="nil"/>
            </w:tcBorders>
            <w:shd w:val="clear" w:color="auto" w:fill="00B0F0"/>
            <w:vAlign w:val="center"/>
            <w:hideMark/>
          </w:tcPr>
          <w:p w:rsidR="00005DC6" w:rsidRPr="00EC2E2A" w:rsidRDefault="00005DC6" w:rsidP="00005DC6">
            <w:pPr>
              <w:jc w:val="center"/>
              <w:rPr>
                <w:b/>
                <w:bCs/>
                <w:sz w:val="20"/>
                <w:szCs w:val="20"/>
                <w:lang w:val="ru-RU"/>
              </w:rPr>
            </w:pPr>
            <w:r w:rsidRPr="00EC2E2A">
              <w:rPr>
                <w:b/>
                <w:bCs/>
                <w:sz w:val="20"/>
                <w:szCs w:val="20"/>
                <w:lang w:val="ru-RU"/>
              </w:rPr>
              <w:t>Број пријава насиља у породици и партнерским односима на евиденцији ЦСР, према доминантној врсти насиља, 2013 - 2017.</w:t>
            </w:r>
          </w:p>
        </w:tc>
      </w:tr>
      <w:tr w:rsidR="00005DC6" w:rsidRPr="00A31200" w:rsidTr="00821575">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931355">
            <w:pPr>
              <w:rPr>
                <w:b/>
                <w:bCs/>
                <w:sz w:val="20"/>
                <w:szCs w:val="20"/>
                <w:lang w:val="en-US"/>
              </w:rPr>
            </w:pPr>
            <w:r w:rsidRPr="00EC2E2A">
              <w:rPr>
                <w:b/>
                <w:bCs/>
                <w:sz w:val="20"/>
                <w:szCs w:val="20"/>
                <w:lang w:val="ru-RU"/>
              </w:rPr>
              <w:t xml:space="preserve">                                                                                                                                             </w:t>
            </w:r>
            <w:r w:rsidR="00931355">
              <w:rPr>
                <w:b/>
                <w:bCs/>
                <w:sz w:val="20"/>
                <w:szCs w:val="20"/>
                <w:lang w:val="en-US"/>
              </w:rPr>
              <w:t>Доминатна врста</w:t>
            </w:r>
            <w:r w:rsidR="00931355">
              <w:rPr>
                <w:b/>
                <w:bCs/>
                <w:sz w:val="20"/>
                <w:szCs w:val="20"/>
                <w:lang w:val="sr-Cyrl-RS"/>
              </w:rPr>
              <w:t xml:space="preserve"> н</w:t>
            </w:r>
            <w:r w:rsidRPr="00A31200">
              <w:rPr>
                <w:b/>
                <w:bCs/>
                <w:sz w:val="20"/>
                <w:szCs w:val="20"/>
                <w:lang w:val="en-US"/>
              </w:rPr>
              <w:t>асиља</w:t>
            </w:r>
          </w:p>
        </w:tc>
        <w:tc>
          <w:tcPr>
            <w:tcW w:w="7375" w:type="dxa"/>
            <w:gridSpan w:val="13"/>
            <w:tcBorders>
              <w:top w:val="single" w:sz="4" w:space="0" w:color="auto"/>
              <w:left w:val="nil"/>
              <w:bottom w:val="single" w:sz="4" w:space="0" w:color="auto"/>
              <w:right w:val="single" w:sz="4" w:space="0" w:color="000000"/>
            </w:tcBorders>
            <w:shd w:val="clear" w:color="000000" w:fill="FFFFFF"/>
            <w:vAlign w:val="center"/>
            <w:hideMark/>
          </w:tcPr>
          <w:p w:rsidR="00005DC6" w:rsidRPr="00A31200" w:rsidRDefault="00005DC6" w:rsidP="00005DC6">
            <w:pPr>
              <w:jc w:val="center"/>
              <w:rPr>
                <w:b/>
                <w:bCs/>
                <w:sz w:val="20"/>
                <w:szCs w:val="20"/>
                <w:lang w:val="en-US"/>
              </w:rPr>
            </w:pPr>
            <w:r w:rsidRPr="00A31200">
              <w:rPr>
                <w:b/>
                <w:bCs/>
                <w:sz w:val="20"/>
                <w:szCs w:val="20"/>
                <w:lang w:val="en-US"/>
              </w:rPr>
              <w:t>2013. Старост жртве насиља</w:t>
            </w:r>
          </w:p>
        </w:tc>
      </w:tr>
      <w:tr w:rsidR="00005DC6" w:rsidRPr="00EA41C1"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834" w:type="dxa"/>
            <w:gridSpan w:val="2"/>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Деца</w:t>
            </w:r>
          </w:p>
        </w:tc>
        <w:tc>
          <w:tcPr>
            <w:tcW w:w="1564"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Млади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Одрасли</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Старији</w:t>
            </w:r>
          </w:p>
        </w:tc>
        <w:tc>
          <w:tcPr>
            <w:tcW w:w="1483" w:type="dxa"/>
            <w:gridSpan w:val="2"/>
            <w:tcBorders>
              <w:top w:val="nil"/>
              <w:left w:val="single" w:sz="4" w:space="0" w:color="auto"/>
              <w:bottom w:val="single" w:sz="4" w:space="0" w:color="000000"/>
              <w:right w:val="single" w:sz="4" w:space="0" w:color="auto"/>
            </w:tcBorders>
            <w:shd w:val="clear" w:color="000000" w:fill="FFFFFF"/>
            <w:vAlign w:val="center"/>
            <w:hideMark/>
          </w:tcPr>
          <w:p w:rsidR="00005DC6" w:rsidRPr="00EA41C1" w:rsidRDefault="00EA41C1" w:rsidP="00005DC6">
            <w:pPr>
              <w:jc w:val="center"/>
              <w:rPr>
                <w:b/>
                <w:bCs/>
                <w:sz w:val="20"/>
                <w:szCs w:val="20"/>
                <w:lang w:val="ru-RU"/>
              </w:rPr>
            </w:pPr>
            <w:r w:rsidRPr="00EA41C1">
              <w:rPr>
                <w:b/>
                <w:bCs/>
                <w:sz w:val="20"/>
                <w:szCs w:val="20"/>
                <w:lang w:val="ru-RU"/>
              </w:rPr>
              <w:t>2013.</w:t>
            </w:r>
            <w:r w:rsidR="00005DC6" w:rsidRPr="00EA41C1">
              <w:rPr>
                <w:b/>
                <w:bCs/>
                <w:sz w:val="20"/>
                <w:szCs w:val="20"/>
                <w:lang w:val="ru-RU"/>
              </w:rPr>
              <w:t xml:space="preserve"> УКУПНО</w:t>
            </w:r>
          </w:p>
        </w:tc>
      </w:tr>
      <w:tr w:rsidR="00005DC6" w:rsidRPr="00EA41C1"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EA41C1" w:rsidRDefault="00005DC6" w:rsidP="00005DC6">
            <w:pPr>
              <w:rPr>
                <w:b/>
                <w:bCs/>
                <w:sz w:val="20"/>
                <w:szCs w:val="20"/>
                <w:lang w:val="ru-RU"/>
              </w:rPr>
            </w:pPr>
          </w:p>
        </w:tc>
        <w:tc>
          <w:tcPr>
            <w:tcW w:w="23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1483" w:type="dxa"/>
            <w:tcBorders>
              <w:top w:val="nil"/>
              <w:left w:val="single" w:sz="4" w:space="0" w:color="auto"/>
              <w:bottom w:val="single" w:sz="4" w:space="0" w:color="000000"/>
              <w:right w:val="single" w:sz="4" w:space="0" w:color="auto"/>
            </w:tcBorders>
            <w:vAlign w:val="center"/>
            <w:hideMark/>
          </w:tcPr>
          <w:p w:rsidR="00005DC6" w:rsidRPr="00EA41C1" w:rsidRDefault="00005DC6" w:rsidP="00005DC6">
            <w:pPr>
              <w:rPr>
                <w:b/>
                <w:bCs/>
                <w:sz w:val="20"/>
                <w:szCs w:val="20"/>
                <w:lang w:val="ru-RU"/>
              </w:rPr>
            </w:pPr>
          </w:p>
        </w:tc>
      </w:tr>
      <w:tr w:rsidR="00005DC6" w:rsidRPr="00EA41C1"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EA41C1" w:rsidRDefault="00005DC6" w:rsidP="00005DC6">
            <w:pPr>
              <w:rPr>
                <w:sz w:val="20"/>
                <w:szCs w:val="20"/>
                <w:lang w:val="ru-RU"/>
              </w:rPr>
            </w:pPr>
            <w:r w:rsidRPr="00EA41C1">
              <w:rPr>
                <w:sz w:val="20"/>
                <w:szCs w:val="20"/>
                <w:lang w:val="ru-RU"/>
              </w:rPr>
              <w:t>Физичко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591</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573</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73</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235</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238</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1834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120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360</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4024</w:t>
            </w:r>
          </w:p>
        </w:tc>
      </w:tr>
      <w:tr w:rsidR="00005DC6" w:rsidRPr="00EA41C1"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EA41C1" w:rsidRDefault="00005DC6" w:rsidP="00005DC6">
            <w:pPr>
              <w:rPr>
                <w:sz w:val="20"/>
                <w:szCs w:val="20"/>
                <w:lang w:val="ru-RU"/>
              </w:rPr>
            </w:pPr>
            <w:r w:rsidRPr="00EA41C1">
              <w:rPr>
                <w:sz w:val="20"/>
                <w:szCs w:val="20"/>
                <w:lang w:val="ru-RU"/>
              </w:rPr>
              <w:t>Сексуално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20</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75</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0</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9</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0</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26</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134</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EA41C1">
              <w:rPr>
                <w:sz w:val="20"/>
                <w:szCs w:val="20"/>
                <w:lang w:val="ru-RU"/>
              </w:rPr>
              <w:t xml:space="preserve">Психичко </w:t>
            </w:r>
            <w:r w:rsidRPr="00A31200">
              <w:rPr>
                <w:sz w:val="20"/>
                <w:szCs w:val="20"/>
                <w:lang w:val="en-US"/>
              </w:rPr>
              <w:t>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471</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538</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81</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230</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233</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1323</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252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3218</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Занемаривање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774</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779</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40</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71</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53</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130</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109</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2020</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Економско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15</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166</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145</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408</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Друго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44</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40</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24</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274</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УКУПНО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1922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2020</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204</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582</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559</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3573</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327</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891</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10078</w:t>
            </w:r>
          </w:p>
        </w:tc>
      </w:tr>
      <w:tr w:rsidR="00005DC6" w:rsidRPr="00A31200" w:rsidTr="00821575">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 xml:space="preserve">                                                                                                                                                                                                                                                           Доминатна врста насиља</w:t>
            </w:r>
          </w:p>
        </w:tc>
        <w:tc>
          <w:tcPr>
            <w:tcW w:w="7375" w:type="dxa"/>
            <w:gridSpan w:val="13"/>
            <w:tcBorders>
              <w:top w:val="single" w:sz="4" w:space="0" w:color="auto"/>
              <w:left w:val="nil"/>
              <w:bottom w:val="single" w:sz="4" w:space="0" w:color="auto"/>
              <w:right w:val="single" w:sz="4" w:space="0" w:color="000000"/>
            </w:tcBorders>
            <w:shd w:val="clear" w:color="000000" w:fill="FFFFFF"/>
            <w:vAlign w:val="center"/>
            <w:hideMark/>
          </w:tcPr>
          <w:p w:rsidR="00005DC6" w:rsidRPr="00A31200" w:rsidRDefault="00005DC6" w:rsidP="00005DC6">
            <w:pPr>
              <w:jc w:val="center"/>
              <w:rPr>
                <w:b/>
                <w:bCs/>
                <w:sz w:val="20"/>
                <w:szCs w:val="20"/>
                <w:lang w:val="en-US"/>
              </w:rPr>
            </w:pPr>
            <w:r w:rsidRPr="00A31200">
              <w:rPr>
                <w:b/>
                <w:bCs/>
                <w:sz w:val="20"/>
                <w:szCs w:val="20"/>
                <w:lang w:val="en-US"/>
              </w:rPr>
              <w:t>2014. Старост жртве насиља</w:t>
            </w:r>
          </w:p>
        </w:tc>
      </w:tr>
      <w:tr w:rsidR="00005DC6" w:rsidRPr="00A31200"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834" w:type="dxa"/>
            <w:gridSpan w:val="2"/>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Деца</w:t>
            </w:r>
          </w:p>
        </w:tc>
        <w:tc>
          <w:tcPr>
            <w:tcW w:w="1564"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Млади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Одрасли</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Старији</w:t>
            </w:r>
          </w:p>
        </w:tc>
        <w:tc>
          <w:tcPr>
            <w:tcW w:w="1483" w:type="dxa"/>
            <w:gridSpan w:val="2"/>
            <w:tcBorders>
              <w:top w:val="nil"/>
              <w:left w:val="single" w:sz="4" w:space="0" w:color="auto"/>
              <w:bottom w:val="single" w:sz="4" w:space="0" w:color="000000"/>
              <w:right w:val="single" w:sz="4" w:space="0" w:color="auto"/>
            </w:tcBorders>
            <w:shd w:val="clear" w:color="000000" w:fill="FFFFFF"/>
            <w:vAlign w:val="center"/>
            <w:hideMark/>
          </w:tcPr>
          <w:p w:rsidR="00EA41C1" w:rsidRDefault="00EA41C1" w:rsidP="00005DC6">
            <w:pPr>
              <w:jc w:val="center"/>
              <w:rPr>
                <w:b/>
                <w:bCs/>
                <w:sz w:val="20"/>
                <w:szCs w:val="20"/>
                <w:lang w:val="en-US"/>
              </w:rPr>
            </w:pPr>
            <w:r>
              <w:rPr>
                <w:b/>
                <w:bCs/>
                <w:sz w:val="20"/>
                <w:szCs w:val="20"/>
                <w:lang w:val="en-US"/>
              </w:rPr>
              <w:t>2014.</w:t>
            </w:r>
          </w:p>
          <w:p w:rsidR="00005DC6" w:rsidRPr="00A31200" w:rsidRDefault="00005DC6" w:rsidP="00005DC6">
            <w:pPr>
              <w:jc w:val="center"/>
              <w:rPr>
                <w:b/>
                <w:bCs/>
                <w:sz w:val="20"/>
                <w:szCs w:val="20"/>
                <w:lang w:val="en-US"/>
              </w:rPr>
            </w:pPr>
            <w:r w:rsidRPr="00A31200">
              <w:rPr>
                <w:b/>
                <w:bCs/>
                <w:sz w:val="20"/>
                <w:szCs w:val="20"/>
                <w:lang w:val="en-US"/>
              </w:rPr>
              <w:t>УКУПНО</w:t>
            </w:r>
          </w:p>
        </w:tc>
      </w:tr>
      <w:tr w:rsidR="00005DC6" w:rsidRPr="00A31200"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1483" w:type="dxa"/>
            <w:tcBorders>
              <w:top w:val="nil"/>
              <w:left w:val="single" w:sz="4" w:space="0" w:color="auto"/>
              <w:bottom w:val="single" w:sz="4" w:space="0" w:color="000000"/>
              <w:right w:val="single" w:sz="4" w:space="0" w:color="auto"/>
            </w:tcBorders>
            <w:vAlign w:val="center"/>
            <w:hideMark/>
          </w:tcPr>
          <w:p w:rsidR="00005DC6" w:rsidRPr="00A31200" w:rsidRDefault="00005DC6" w:rsidP="00005DC6">
            <w:pPr>
              <w:rPr>
                <w:b/>
                <w:bCs/>
                <w:sz w:val="20"/>
                <w:szCs w:val="20"/>
                <w:lang w:val="en-US"/>
              </w:rPr>
            </w:pP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Физичко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729</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694</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151</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380</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393</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2785</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531</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5884</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Сексуално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73</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16</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181</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Психичко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645</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701</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121</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299</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354</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1926</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349</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4528</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Занемаривање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1038</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953</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26</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26</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33</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66</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89</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137</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2368</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Економско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17</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83</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38</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182</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Друго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17</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146</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282</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УКУПНО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2482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2456</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309</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744</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825</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5050</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466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1093</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13425</w:t>
            </w:r>
          </w:p>
        </w:tc>
      </w:tr>
      <w:tr w:rsidR="00005DC6" w:rsidRPr="00A31200" w:rsidTr="00821575">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 xml:space="preserve">                                                                                                                                                                                                                                                           Доминатна врста насиља</w:t>
            </w:r>
          </w:p>
        </w:tc>
        <w:tc>
          <w:tcPr>
            <w:tcW w:w="7375" w:type="dxa"/>
            <w:gridSpan w:val="13"/>
            <w:tcBorders>
              <w:top w:val="single" w:sz="4" w:space="0" w:color="auto"/>
              <w:left w:val="nil"/>
              <w:bottom w:val="single" w:sz="4" w:space="0" w:color="auto"/>
              <w:right w:val="single" w:sz="4" w:space="0" w:color="000000"/>
            </w:tcBorders>
            <w:shd w:val="clear" w:color="000000" w:fill="FFFFFF"/>
            <w:vAlign w:val="center"/>
            <w:hideMark/>
          </w:tcPr>
          <w:p w:rsidR="00005DC6" w:rsidRPr="00A31200" w:rsidRDefault="00005DC6" w:rsidP="00005DC6">
            <w:pPr>
              <w:jc w:val="center"/>
              <w:rPr>
                <w:b/>
                <w:bCs/>
                <w:sz w:val="20"/>
                <w:szCs w:val="20"/>
                <w:lang w:val="en-US"/>
              </w:rPr>
            </w:pPr>
            <w:r w:rsidRPr="00A31200">
              <w:rPr>
                <w:b/>
                <w:bCs/>
                <w:sz w:val="20"/>
                <w:szCs w:val="20"/>
                <w:lang w:val="en-US"/>
              </w:rPr>
              <w:t>2015. Старост жртве насиља</w:t>
            </w:r>
          </w:p>
        </w:tc>
      </w:tr>
      <w:tr w:rsidR="00005DC6" w:rsidRPr="00EA41C1"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834" w:type="dxa"/>
            <w:gridSpan w:val="2"/>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Деца</w:t>
            </w:r>
          </w:p>
        </w:tc>
        <w:tc>
          <w:tcPr>
            <w:tcW w:w="1564"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Млади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Одрасли</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Старији</w:t>
            </w:r>
          </w:p>
        </w:tc>
        <w:tc>
          <w:tcPr>
            <w:tcW w:w="1483" w:type="dxa"/>
            <w:gridSpan w:val="2"/>
            <w:tcBorders>
              <w:top w:val="nil"/>
              <w:left w:val="single" w:sz="4" w:space="0" w:color="auto"/>
              <w:bottom w:val="single" w:sz="4" w:space="0" w:color="000000"/>
              <w:right w:val="single" w:sz="4" w:space="0" w:color="auto"/>
            </w:tcBorders>
            <w:shd w:val="clear" w:color="000000" w:fill="FFFFFF"/>
            <w:vAlign w:val="center"/>
            <w:hideMark/>
          </w:tcPr>
          <w:p w:rsidR="00005DC6" w:rsidRPr="00EA41C1" w:rsidRDefault="00EA41C1" w:rsidP="00005DC6">
            <w:pPr>
              <w:jc w:val="center"/>
              <w:rPr>
                <w:b/>
                <w:bCs/>
                <w:sz w:val="20"/>
                <w:szCs w:val="20"/>
                <w:lang w:val="ru-RU"/>
              </w:rPr>
            </w:pPr>
            <w:r w:rsidRPr="00EA41C1">
              <w:rPr>
                <w:b/>
                <w:bCs/>
                <w:sz w:val="20"/>
                <w:szCs w:val="20"/>
                <w:lang w:val="ru-RU"/>
              </w:rPr>
              <w:t>2015.</w:t>
            </w:r>
            <w:r w:rsidR="00005DC6" w:rsidRPr="00EA41C1">
              <w:rPr>
                <w:b/>
                <w:bCs/>
                <w:sz w:val="20"/>
                <w:szCs w:val="20"/>
                <w:lang w:val="ru-RU"/>
              </w:rPr>
              <w:t xml:space="preserve"> УКУПНО</w:t>
            </w:r>
          </w:p>
        </w:tc>
      </w:tr>
      <w:tr w:rsidR="00005DC6" w:rsidRPr="00EA41C1"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EA41C1" w:rsidRDefault="00005DC6" w:rsidP="00005DC6">
            <w:pPr>
              <w:rPr>
                <w:b/>
                <w:bCs/>
                <w:sz w:val="20"/>
                <w:szCs w:val="20"/>
                <w:lang w:val="ru-RU"/>
              </w:rPr>
            </w:pPr>
          </w:p>
        </w:tc>
        <w:tc>
          <w:tcPr>
            <w:tcW w:w="23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05DC6" w:rsidRPr="00EA41C1" w:rsidRDefault="00005DC6" w:rsidP="00005DC6">
            <w:pPr>
              <w:jc w:val="center"/>
              <w:rPr>
                <w:sz w:val="20"/>
                <w:szCs w:val="20"/>
                <w:lang w:val="ru-RU"/>
              </w:rPr>
            </w:pPr>
            <w:r w:rsidRPr="00EA41C1">
              <w:rPr>
                <w:sz w:val="20"/>
                <w:szCs w:val="20"/>
                <w:lang w:val="ru-RU"/>
              </w:rPr>
              <w:t>Ж</w:t>
            </w:r>
          </w:p>
        </w:tc>
        <w:tc>
          <w:tcPr>
            <w:tcW w:w="1483" w:type="dxa"/>
            <w:tcBorders>
              <w:top w:val="nil"/>
              <w:left w:val="single" w:sz="4" w:space="0" w:color="auto"/>
              <w:bottom w:val="single" w:sz="4" w:space="0" w:color="000000"/>
              <w:right w:val="single" w:sz="4" w:space="0" w:color="auto"/>
            </w:tcBorders>
            <w:vAlign w:val="center"/>
            <w:hideMark/>
          </w:tcPr>
          <w:p w:rsidR="00005DC6" w:rsidRPr="00EA41C1" w:rsidRDefault="00005DC6" w:rsidP="00005DC6">
            <w:pPr>
              <w:rPr>
                <w:b/>
                <w:bCs/>
                <w:sz w:val="20"/>
                <w:szCs w:val="20"/>
                <w:lang w:val="ru-RU"/>
              </w:rPr>
            </w:pPr>
          </w:p>
        </w:tc>
      </w:tr>
      <w:tr w:rsidR="00005DC6" w:rsidRPr="00EA41C1"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EA41C1" w:rsidRDefault="00005DC6" w:rsidP="00005DC6">
            <w:pPr>
              <w:rPr>
                <w:sz w:val="20"/>
                <w:szCs w:val="20"/>
                <w:lang w:val="ru-RU"/>
              </w:rPr>
            </w:pPr>
            <w:r w:rsidRPr="00EA41C1">
              <w:rPr>
                <w:sz w:val="20"/>
                <w:szCs w:val="20"/>
                <w:lang w:val="ru-RU"/>
              </w:rPr>
              <w:t>Физичко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926</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846</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219</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576</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705</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4374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338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724</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8708</w:t>
            </w:r>
          </w:p>
        </w:tc>
      </w:tr>
      <w:tr w:rsidR="00005DC6" w:rsidRPr="00EA41C1"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EA41C1" w:rsidRDefault="00005DC6" w:rsidP="00005DC6">
            <w:pPr>
              <w:rPr>
                <w:sz w:val="20"/>
                <w:szCs w:val="20"/>
                <w:lang w:val="ru-RU"/>
              </w:rPr>
            </w:pPr>
            <w:r w:rsidRPr="00EA41C1">
              <w:rPr>
                <w:sz w:val="20"/>
                <w:szCs w:val="20"/>
                <w:lang w:val="ru-RU"/>
              </w:rPr>
              <w:t>Сексуално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20</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95</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26</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5</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58</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12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EA41C1" w:rsidRDefault="00005DC6" w:rsidP="00005DC6">
            <w:pPr>
              <w:jc w:val="center"/>
              <w:rPr>
                <w:sz w:val="20"/>
                <w:szCs w:val="20"/>
                <w:lang w:val="ru-RU"/>
              </w:rPr>
            </w:pPr>
            <w:r w:rsidRPr="00EA41C1">
              <w:rPr>
                <w:sz w:val="20"/>
                <w:szCs w:val="20"/>
                <w:lang w:val="ru-RU"/>
              </w:rPr>
              <w:t>220</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EA41C1">
              <w:rPr>
                <w:sz w:val="20"/>
                <w:szCs w:val="20"/>
                <w:lang w:val="ru-RU"/>
              </w:rPr>
              <w:t>Психич</w:t>
            </w:r>
            <w:r w:rsidRPr="00A31200">
              <w:rPr>
                <w:sz w:val="20"/>
                <w:szCs w:val="20"/>
                <w:lang w:val="en-US"/>
              </w:rPr>
              <w:t>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712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789</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134</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355</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614</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2326</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228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503</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5661</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Занемаривање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1457</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1433</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39</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71</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46</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123</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212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3489</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Економско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19</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26</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26</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24</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102</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51</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316</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Друго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110</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87</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37</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352</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УКУПНО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3244</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3276</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427</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1062</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1435</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7027</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736</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1539</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18746</w:t>
            </w:r>
          </w:p>
        </w:tc>
      </w:tr>
      <w:tr w:rsidR="00005DC6" w:rsidRPr="00A31200" w:rsidTr="00821575">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 xml:space="preserve">                                                                                                                                                                                                                                                           Доминатна врста насиља</w:t>
            </w:r>
          </w:p>
        </w:tc>
        <w:tc>
          <w:tcPr>
            <w:tcW w:w="7375" w:type="dxa"/>
            <w:gridSpan w:val="13"/>
            <w:tcBorders>
              <w:top w:val="single" w:sz="4" w:space="0" w:color="auto"/>
              <w:left w:val="nil"/>
              <w:bottom w:val="single" w:sz="4" w:space="0" w:color="auto"/>
              <w:right w:val="single" w:sz="4" w:space="0" w:color="000000"/>
            </w:tcBorders>
            <w:shd w:val="clear" w:color="000000" w:fill="FFFFFF"/>
            <w:vAlign w:val="center"/>
            <w:hideMark/>
          </w:tcPr>
          <w:p w:rsidR="00005DC6" w:rsidRPr="00A31200" w:rsidRDefault="00005DC6" w:rsidP="00005DC6">
            <w:pPr>
              <w:jc w:val="center"/>
              <w:rPr>
                <w:b/>
                <w:bCs/>
                <w:sz w:val="20"/>
                <w:szCs w:val="20"/>
                <w:lang w:val="en-US"/>
              </w:rPr>
            </w:pPr>
            <w:r w:rsidRPr="00A31200">
              <w:rPr>
                <w:b/>
                <w:bCs/>
                <w:sz w:val="20"/>
                <w:szCs w:val="20"/>
                <w:lang w:val="en-US"/>
              </w:rPr>
              <w:t>2016. Старост жртве насиља</w:t>
            </w:r>
          </w:p>
        </w:tc>
      </w:tr>
      <w:tr w:rsidR="00005DC6" w:rsidRPr="00A31200"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834" w:type="dxa"/>
            <w:gridSpan w:val="2"/>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Деца</w:t>
            </w:r>
          </w:p>
        </w:tc>
        <w:tc>
          <w:tcPr>
            <w:tcW w:w="1564"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Млади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Одрасли</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Старији</w:t>
            </w:r>
          </w:p>
        </w:tc>
        <w:tc>
          <w:tcPr>
            <w:tcW w:w="1483" w:type="dxa"/>
            <w:gridSpan w:val="2"/>
            <w:tcBorders>
              <w:top w:val="nil"/>
              <w:left w:val="single" w:sz="4" w:space="0" w:color="auto"/>
              <w:bottom w:val="single" w:sz="4" w:space="0" w:color="000000"/>
              <w:right w:val="single" w:sz="4" w:space="0" w:color="auto"/>
            </w:tcBorders>
            <w:shd w:val="clear" w:color="000000" w:fill="FFFFFF"/>
            <w:vAlign w:val="center"/>
            <w:hideMark/>
          </w:tcPr>
          <w:p w:rsidR="00EA41C1" w:rsidRDefault="00EA41C1" w:rsidP="00005DC6">
            <w:pPr>
              <w:jc w:val="center"/>
              <w:rPr>
                <w:b/>
                <w:bCs/>
                <w:sz w:val="20"/>
                <w:szCs w:val="20"/>
                <w:lang w:val="en-US"/>
              </w:rPr>
            </w:pPr>
            <w:r>
              <w:rPr>
                <w:b/>
                <w:bCs/>
                <w:sz w:val="20"/>
                <w:szCs w:val="20"/>
                <w:lang w:val="en-US"/>
              </w:rPr>
              <w:t>2016.</w:t>
            </w:r>
          </w:p>
          <w:p w:rsidR="00005DC6" w:rsidRPr="00A31200" w:rsidRDefault="00005DC6" w:rsidP="00005DC6">
            <w:pPr>
              <w:jc w:val="center"/>
              <w:rPr>
                <w:b/>
                <w:bCs/>
                <w:sz w:val="20"/>
                <w:szCs w:val="20"/>
                <w:lang w:val="en-US"/>
              </w:rPr>
            </w:pPr>
            <w:r w:rsidRPr="00A31200">
              <w:rPr>
                <w:b/>
                <w:bCs/>
                <w:sz w:val="20"/>
                <w:szCs w:val="20"/>
                <w:lang w:val="en-US"/>
              </w:rPr>
              <w:t>УКУПНО</w:t>
            </w:r>
          </w:p>
        </w:tc>
      </w:tr>
      <w:tr w:rsidR="00005DC6" w:rsidRPr="00A31200"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1483" w:type="dxa"/>
            <w:tcBorders>
              <w:top w:val="nil"/>
              <w:left w:val="single" w:sz="4" w:space="0" w:color="auto"/>
              <w:bottom w:val="single" w:sz="4" w:space="0" w:color="000000"/>
              <w:right w:val="single" w:sz="4" w:space="0" w:color="auto"/>
            </w:tcBorders>
            <w:vAlign w:val="center"/>
            <w:hideMark/>
          </w:tcPr>
          <w:p w:rsidR="00005DC6" w:rsidRPr="00A31200" w:rsidRDefault="00005DC6" w:rsidP="00005DC6">
            <w:pPr>
              <w:rPr>
                <w:b/>
                <w:bCs/>
                <w:sz w:val="20"/>
                <w:szCs w:val="20"/>
                <w:lang w:val="en-US"/>
              </w:rPr>
            </w:pP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Физичко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1104</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1040</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293</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756</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1301</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5047</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511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972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11024</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Сексуално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26</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147</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43</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320</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lastRenderedPageBreak/>
              <w:t>Психичко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746</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900</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175</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488</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747</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3475</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368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758</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7657</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Занемаривање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1258</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1210</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44</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69</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67</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140</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2929</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Економско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15</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24</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30</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220</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45</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82</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461</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Друго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286</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291</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17</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41</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124</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826</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УКУПНО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3433</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3603</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559</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1417</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2146</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9017</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1058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1984</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23217</w:t>
            </w:r>
          </w:p>
        </w:tc>
      </w:tr>
      <w:tr w:rsidR="00005DC6" w:rsidRPr="00A31200" w:rsidTr="00821575">
        <w:trPr>
          <w:trHeight w:val="300"/>
        </w:trPr>
        <w:tc>
          <w:tcPr>
            <w:tcW w:w="2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 xml:space="preserve">                                                                                                                                                                                                                                                           Доминатна врста насиља</w:t>
            </w:r>
          </w:p>
        </w:tc>
        <w:tc>
          <w:tcPr>
            <w:tcW w:w="7375" w:type="dxa"/>
            <w:gridSpan w:val="13"/>
            <w:tcBorders>
              <w:top w:val="single" w:sz="4" w:space="0" w:color="auto"/>
              <w:left w:val="nil"/>
              <w:bottom w:val="single" w:sz="4" w:space="0" w:color="auto"/>
              <w:right w:val="single" w:sz="4" w:space="0" w:color="000000"/>
            </w:tcBorders>
            <w:shd w:val="clear" w:color="000000" w:fill="FFFFFF"/>
            <w:vAlign w:val="center"/>
            <w:hideMark/>
          </w:tcPr>
          <w:p w:rsidR="00005DC6" w:rsidRPr="00A31200" w:rsidRDefault="00005DC6" w:rsidP="00005DC6">
            <w:pPr>
              <w:jc w:val="center"/>
              <w:rPr>
                <w:b/>
                <w:bCs/>
                <w:sz w:val="20"/>
                <w:szCs w:val="20"/>
                <w:lang w:val="en-US"/>
              </w:rPr>
            </w:pPr>
            <w:r w:rsidRPr="00A31200">
              <w:rPr>
                <w:b/>
                <w:bCs/>
                <w:sz w:val="20"/>
                <w:szCs w:val="20"/>
                <w:lang w:val="en-US"/>
              </w:rPr>
              <w:t>2017. Старост жртве насиља</w:t>
            </w:r>
          </w:p>
        </w:tc>
      </w:tr>
      <w:tr w:rsidR="00005DC6" w:rsidRPr="00A31200"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834" w:type="dxa"/>
            <w:gridSpan w:val="2"/>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Деца</w:t>
            </w:r>
          </w:p>
        </w:tc>
        <w:tc>
          <w:tcPr>
            <w:tcW w:w="1564"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Млади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Одрасли</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Старији</w:t>
            </w:r>
          </w:p>
        </w:tc>
        <w:tc>
          <w:tcPr>
            <w:tcW w:w="1483" w:type="dxa"/>
            <w:gridSpan w:val="2"/>
            <w:tcBorders>
              <w:top w:val="nil"/>
              <w:left w:val="single" w:sz="4" w:space="0" w:color="auto"/>
              <w:bottom w:val="single" w:sz="4" w:space="0" w:color="000000"/>
              <w:right w:val="single" w:sz="4" w:space="0" w:color="auto"/>
            </w:tcBorders>
            <w:shd w:val="clear" w:color="000000" w:fill="FFFFFF"/>
            <w:vAlign w:val="center"/>
            <w:hideMark/>
          </w:tcPr>
          <w:p w:rsidR="00005DC6" w:rsidRPr="00A31200" w:rsidRDefault="00005DC6" w:rsidP="00005DC6">
            <w:pPr>
              <w:jc w:val="center"/>
              <w:rPr>
                <w:b/>
                <w:bCs/>
                <w:sz w:val="20"/>
                <w:szCs w:val="20"/>
                <w:lang w:val="en-US"/>
              </w:rPr>
            </w:pPr>
            <w:r w:rsidRPr="00A31200">
              <w:rPr>
                <w:b/>
                <w:bCs/>
                <w:sz w:val="20"/>
                <w:szCs w:val="20"/>
                <w:lang w:val="en-US"/>
              </w:rPr>
              <w:t>2017. УКУПНО</w:t>
            </w:r>
          </w:p>
        </w:tc>
      </w:tr>
      <w:tr w:rsidR="00005DC6" w:rsidRPr="00A31200" w:rsidTr="00821575">
        <w:trPr>
          <w:trHeight w:val="3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005DC6" w:rsidRPr="00A31200" w:rsidRDefault="00005DC6" w:rsidP="00005DC6">
            <w:pPr>
              <w:rPr>
                <w:b/>
                <w:bCs/>
                <w:sz w:val="20"/>
                <w:szCs w:val="20"/>
                <w:lang w:val="en-US"/>
              </w:rPr>
            </w:pP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М</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005DC6" w:rsidRPr="00A31200" w:rsidRDefault="00005DC6" w:rsidP="00005DC6">
            <w:pPr>
              <w:jc w:val="center"/>
              <w:rPr>
                <w:sz w:val="20"/>
                <w:szCs w:val="20"/>
                <w:lang w:val="en-US"/>
              </w:rPr>
            </w:pPr>
            <w:r w:rsidRPr="00A31200">
              <w:rPr>
                <w:sz w:val="20"/>
                <w:szCs w:val="20"/>
                <w:lang w:val="en-US"/>
              </w:rPr>
              <w:t>Ж</w:t>
            </w:r>
          </w:p>
        </w:tc>
        <w:tc>
          <w:tcPr>
            <w:tcW w:w="1483" w:type="dxa"/>
            <w:tcBorders>
              <w:top w:val="nil"/>
              <w:left w:val="single" w:sz="4" w:space="0" w:color="auto"/>
              <w:bottom w:val="single" w:sz="4" w:space="0" w:color="000000"/>
              <w:right w:val="single" w:sz="4" w:space="0" w:color="auto"/>
            </w:tcBorders>
            <w:vAlign w:val="center"/>
            <w:hideMark/>
          </w:tcPr>
          <w:p w:rsidR="00005DC6" w:rsidRPr="00A31200" w:rsidRDefault="00005DC6" w:rsidP="00005DC6">
            <w:pPr>
              <w:rPr>
                <w:b/>
                <w:bCs/>
                <w:sz w:val="20"/>
                <w:szCs w:val="20"/>
                <w:lang w:val="en-US"/>
              </w:rPr>
            </w:pP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Физичко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1228</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1244</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390</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1157</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1726</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6742</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604</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1274</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14365</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Емоционално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1332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1177</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327</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935</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1299</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5428</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593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1191</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12282</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Сексуално насиље</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140</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47</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34</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328</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37</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616</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Занемаривање или немарно поступањ</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1512</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1582</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0</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3094</w:t>
            </w:r>
          </w:p>
        </w:tc>
      </w:tr>
      <w:tr w:rsidR="00005DC6" w:rsidRPr="00A31200" w:rsidTr="00821575">
        <w:trPr>
          <w:trHeight w:val="300"/>
        </w:trPr>
        <w:tc>
          <w:tcPr>
            <w:tcW w:w="2830" w:type="dxa"/>
            <w:tcBorders>
              <w:top w:val="single" w:sz="4" w:space="0" w:color="auto"/>
              <w:left w:val="single" w:sz="4" w:space="0" w:color="auto"/>
              <w:bottom w:val="single" w:sz="4" w:space="0" w:color="auto"/>
              <w:right w:val="nil"/>
            </w:tcBorders>
            <w:shd w:val="clear" w:color="000000" w:fill="FFFFFF"/>
            <w:vAlign w:val="center"/>
            <w:hideMark/>
          </w:tcPr>
          <w:p w:rsidR="00005DC6" w:rsidRPr="00A31200" w:rsidRDefault="00005DC6" w:rsidP="00005DC6">
            <w:pPr>
              <w:rPr>
                <w:sz w:val="20"/>
                <w:szCs w:val="20"/>
                <w:lang w:val="en-US"/>
              </w:rPr>
            </w:pPr>
            <w:r w:rsidRPr="00A31200">
              <w:rPr>
                <w:sz w:val="20"/>
                <w:szCs w:val="20"/>
                <w:lang w:val="en-US"/>
              </w:rPr>
              <w:t>Експлоатација детета</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16</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19</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57</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116</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439</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43</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83</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781</w:t>
            </w:r>
          </w:p>
        </w:tc>
      </w:tr>
      <w:tr w:rsidR="00005DC6" w:rsidRPr="00A31200" w:rsidTr="00821575">
        <w:trPr>
          <w:trHeight w:val="300"/>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DC6" w:rsidRPr="00A31200" w:rsidRDefault="00005DC6" w:rsidP="00005DC6">
            <w:pPr>
              <w:rPr>
                <w:b/>
                <w:bCs/>
                <w:sz w:val="20"/>
                <w:szCs w:val="20"/>
                <w:lang w:val="en-US"/>
              </w:rPr>
            </w:pPr>
            <w:r w:rsidRPr="00A31200">
              <w:rPr>
                <w:b/>
                <w:bCs/>
                <w:sz w:val="20"/>
                <w:szCs w:val="20"/>
                <w:lang w:val="en-US"/>
              </w:rPr>
              <w:t>УКУПНО</w:t>
            </w:r>
          </w:p>
        </w:tc>
        <w:tc>
          <w:tcPr>
            <w:tcW w:w="23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4228</w:t>
            </w:r>
          </w:p>
        </w:tc>
        <w:tc>
          <w:tcPr>
            <w:tcW w:w="68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4069</w:t>
            </w:r>
          </w:p>
        </w:tc>
        <w:tc>
          <w:tcPr>
            <w:tcW w:w="640"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726</w:t>
            </w:r>
          </w:p>
        </w:tc>
        <w:tc>
          <w:tcPr>
            <w:tcW w:w="924"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2183</w:t>
            </w:r>
          </w:p>
        </w:tc>
        <w:tc>
          <w:tcPr>
            <w:tcW w:w="616"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3142</w:t>
            </w:r>
          </w:p>
        </w:tc>
        <w:tc>
          <w:tcPr>
            <w:tcW w:w="1319"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12937</w:t>
            </w:r>
          </w:p>
        </w:tc>
        <w:tc>
          <w:tcPr>
            <w:tcW w:w="709"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1268</w:t>
            </w:r>
          </w:p>
        </w:tc>
        <w:tc>
          <w:tcPr>
            <w:tcW w:w="850" w:type="dxa"/>
            <w:gridSpan w:val="2"/>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2585</w:t>
            </w:r>
          </w:p>
        </w:tc>
        <w:tc>
          <w:tcPr>
            <w:tcW w:w="1483" w:type="dxa"/>
            <w:tcBorders>
              <w:top w:val="nil"/>
              <w:left w:val="nil"/>
              <w:bottom w:val="single" w:sz="4" w:space="0" w:color="auto"/>
              <w:right w:val="single" w:sz="4" w:space="0" w:color="auto"/>
            </w:tcBorders>
            <w:shd w:val="clear" w:color="000000" w:fill="FFFFFF"/>
            <w:vAlign w:val="center"/>
            <w:hideMark/>
          </w:tcPr>
          <w:p w:rsidR="00005DC6" w:rsidRPr="00A31200" w:rsidRDefault="00005DC6" w:rsidP="00005DC6">
            <w:pPr>
              <w:jc w:val="center"/>
              <w:rPr>
                <w:sz w:val="20"/>
                <w:szCs w:val="20"/>
                <w:lang w:val="en-US"/>
              </w:rPr>
            </w:pPr>
            <w:r w:rsidRPr="00A31200">
              <w:rPr>
                <w:sz w:val="20"/>
                <w:szCs w:val="20"/>
                <w:lang w:val="en-US"/>
              </w:rPr>
              <w:t>31138</w:t>
            </w:r>
          </w:p>
        </w:tc>
      </w:tr>
    </w:tbl>
    <w:p w:rsidR="00CA3E63" w:rsidRPr="00CA3E63" w:rsidRDefault="00CA3E63" w:rsidP="00CA3E63">
      <w:pPr>
        <w:spacing w:before="120"/>
        <w:ind w:firstLine="435"/>
        <w:jc w:val="both"/>
        <w:rPr>
          <w:lang w:val="sr-Cyrl-RS"/>
        </w:rPr>
      </w:pPr>
      <w:r w:rsidRPr="00CA3E63">
        <w:rPr>
          <w:lang w:val="sr-Cyrl-RS"/>
        </w:rPr>
        <w:t xml:space="preserve">У вези са наведеним, у 2017. години је у ЦСР је евидентирано укупно 8.297 пријава насиља над децом, од којих </w:t>
      </w:r>
      <w:r w:rsidRPr="00CA3E63">
        <w:rPr>
          <w:lang w:val="ru-RU"/>
        </w:rPr>
        <w:t>4</w:t>
      </w:r>
      <w:r w:rsidR="00A619F0">
        <w:rPr>
          <w:lang w:val="ru-RU"/>
        </w:rPr>
        <w:t>.</w:t>
      </w:r>
      <w:r w:rsidRPr="00CA3E63">
        <w:rPr>
          <w:lang w:val="ru-RU"/>
        </w:rPr>
        <w:t>228</w:t>
      </w:r>
      <w:r w:rsidRPr="00CA3E63">
        <w:rPr>
          <w:lang w:val="sr-Cyrl-RS"/>
        </w:rPr>
        <w:t xml:space="preserve"> је било пријава насиља над девојчицама и </w:t>
      </w:r>
      <w:r w:rsidRPr="00CA3E63">
        <w:rPr>
          <w:lang w:val="ru-RU"/>
        </w:rPr>
        <w:t>4</w:t>
      </w:r>
      <w:r w:rsidR="00A619F0">
        <w:rPr>
          <w:lang w:val="ru-RU"/>
        </w:rPr>
        <w:t>.</w:t>
      </w:r>
      <w:r w:rsidRPr="00CA3E63">
        <w:rPr>
          <w:lang w:val="ru-RU"/>
        </w:rPr>
        <w:t>069</w:t>
      </w:r>
      <w:r w:rsidRPr="00CA3E63">
        <w:rPr>
          <w:lang w:val="sr-Cyrl-RS"/>
        </w:rPr>
        <w:t xml:space="preserve"> над дечацима. Према врсти домаћинства, 59,5% пријава насиља над децом су пријаве за децу која живе у потпуним биолошким породицама – оба родитеља и дете, односно деца</w:t>
      </w:r>
      <w:r>
        <w:rPr>
          <w:lang w:val="sr-Cyrl-RS"/>
        </w:rPr>
        <w:t xml:space="preserve"> (Табела 8)</w:t>
      </w:r>
      <w:r w:rsidRPr="00CA3E63">
        <w:rPr>
          <w:lang w:val="sr-Cyrl-RS"/>
        </w:rPr>
        <w:t xml:space="preserve">. </w:t>
      </w:r>
    </w:p>
    <w:p w:rsidR="00CA3E63" w:rsidRDefault="00CA3E63" w:rsidP="00CA3E63">
      <w:pPr>
        <w:spacing w:before="120"/>
        <w:jc w:val="center"/>
        <w:rPr>
          <w:b/>
          <w:bCs/>
          <w:sz w:val="22"/>
          <w:szCs w:val="22"/>
          <w:lang w:val="sr-Cyrl-RS"/>
        </w:rPr>
      </w:pPr>
      <w:r w:rsidRPr="00CA3E63">
        <w:rPr>
          <w:b/>
          <w:lang w:val="sr-Cyrl-RS"/>
        </w:rPr>
        <w:t>Табела 8:</w:t>
      </w:r>
      <w:r w:rsidRPr="00CA3E63">
        <w:rPr>
          <w:b/>
          <w:bCs/>
          <w:sz w:val="22"/>
          <w:szCs w:val="22"/>
          <w:lang w:val="sr-Cyrl-RS"/>
        </w:rPr>
        <w:t xml:space="preserve"> </w:t>
      </w:r>
      <w:r w:rsidRPr="004B0148">
        <w:rPr>
          <w:b/>
          <w:lang w:val="sr-Cyrl-RS"/>
        </w:rPr>
        <w:t>Подаци Р</w:t>
      </w:r>
      <w:r>
        <w:rPr>
          <w:b/>
          <w:lang w:val="sr-Cyrl-RS"/>
        </w:rPr>
        <w:t>епубличког завода за социјалну заштиту</w:t>
      </w:r>
      <w:r w:rsidRPr="004B0148">
        <w:rPr>
          <w:b/>
          <w:lang w:val="sr-Cyrl-RS"/>
        </w:rPr>
        <w:t xml:space="preserve"> у вези послова центара за с</w:t>
      </w:r>
      <w:r>
        <w:rPr>
          <w:b/>
          <w:lang w:val="sr-Cyrl-RS"/>
        </w:rPr>
        <w:t>оција</w:t>
      </w:r>
      <w:r w:rsidRPr="004B0148">
        <w:rPr>
          <w:b/>
          <w:lang w:val="sr-Cyrl-RS"/>
        </w:rPr>
        <w:t xml:space="preserve">лни рад </w:t>
      </w:r>
      <w:r>
        <w:rPr>
          <w:b/>
          <w:lang w:val="sr-Cyrl-RS"/>
        </w:rPr>
        <w:t xml:space="preserve">на основу пријаве </w:t>
      </w:r>
      <w:r w:rsidRPr="004B0148">
        <w:rPr>
          <w:b/>
          <w:lang w:val="sr-Cyrl-RS"/>
        </w:rPr>
        <w:t>насиља у породици</w:t>
      </w:r>
      <w:r>
        <w:rPr>
          <w:b/>
          <w:lang w:val="sr-Cyrl-RS"/>
        </w:rPr>
        <w:t xml:space="preserve"> над децом, према врсти домаћинства</w:t>
      </w:r>
    </w:p>
    <w:p w:rsidR="00CA3E63" w:rsidRPr="00CA3E63" w:rsidRDefault="00CA3E63" w:rsidP="00CA3E63">
      <w:pPr>
        <w:spacing w:before="120"/>
        <w:rPr>
          <w:b/>
          <w:bCs/>
          <w:sz w:val="22"/>
          <w:szCs w:val="22"/>
          <w:lang w:val="sr-Cyrl-RS"/>
        </w:rPr>
      </w:pPr>
    </w:p>
    <w:tbl>
      <w:tblPr>
        <w:tblW w:w="9660" w:type="dxa"/>
        <w:tblInd w:w="103" w:type="dxa"/>
        <w:tblLook w:val="04A0" w:firstRow="1" w:lastRow="0" w:firstColumn="1" w:lastColumn="0" w:noHBand="0" w:noVBand="1"/>
      </w:tblPr>
      <w:tblGrid>
        <w:gridCol w:w="5250"/>
        <w:gridCol w:w="2410"/>
        <w:gridCol w:w="1985"/>
        <w:gridCol w:w="15"/>
      </w:tblGrid>
      <w:tr w:rsidR="00CA3E63" w:rsidRPr="006F3994" w:rsidTr="00EA41C1">
        <w:trPr>
          <w:trHeight w:val="255"/>
        </w:trPr>
        <w:tc>
          <w:tcPr>
            <w:tcW w:w="9660" w:type="dxa"/>
            <w:gridSpan w:val="4"/>
            <w:tcBorders>
              <w:top w:val="single" w:sz="4" w:space="0" w:color="auto"/>
              <w:left w:val="single" w:sz="4" w:space="0" w:color="auto"/>
              <w:bottom w:val="single" w:sz="4" w:space="0" w:color="auto"/>
              <w:right w:val="single" w:sz="4" w:space="0" w:color="000000"/>
            </w:tcBorders>
            <w:shd w:val="clear" w:color="auto" w:fill="00B0F0"/>
            <w:vAlign w:val="center"/>
            <w:hideMark/>
          </w:tcPr>
          <w:p w:rsidR="00CA3E63" w:rsidRPr="00EC2E2A" w:rsidRDefault="00CA3E63" w:rsidP="0042566C">
            <w:pPr>
              <w:rPr>
                <w:b/>
                <w:bCs/>
                <w:sz w:val="22"/>
                <w:szCs w:val="22"/>
                <w:lang w:val="ru-RU"/>
              </w:rPr>
            </w:pPr>
            <w:r w:rsidRPr="00EB62AF">
              <w:rPr>
                <w:b/>
                <w:bCs/>
                <w:sz w:val="22"/>
                <w:szCs w:val="22"/>
                <w:lang w:val="sr-Cyrl-RS"/>
              </w:rPr>
              <w:t>1</w:t>
            </w:r>
            <w:r w:rsidRPr="00EC2E2A">
              <w:rPr>
                <w:b/>
                <w:bCs/>
                <w:sz w:val="22"/>
                <w:szCs w:val="22"/>
                <w:lang w:val="ru-RU"/>
              </w:rPr>
              <w:t xml:space="preserve">. Број пријава насиља у породици за децу (као жртве насиља) у току 2017. године, према врсти породице/домаћинства у којем дете живи и полу детета </w:t>
            </w:r>
          </w:p>
        </w:tc>
      </w:tr>
      <w:tr w:rsidR="00CA3E63" w:rsidRPr="00EB62AF" w:rsidTr="0042566C">
        <w:trPr>
          <w:trHeight w:val="255"/>
        </w:trPr>
        <w:tc>
          <w:tcPr>
            <w:tcW w:w="525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A3E63" w:rsidRPr="00EC2E2A" w:rsidRDefault="00CA3E63" w:rsidP="0042566C">
            <w:pPr>
              <w:rPr>
                <w:b/>
                <w:bCs/>
                <w:sz w:val="22"/>
                <w:szCs w:val="22"/>
                <w:lang w:val="ru-RU"/>
              </w:rPr>
            </w:pPr>
            <w:r w:rsidRPr="00EC2E2A">
              <w:rPr>
                <w:b/>
                <w:bCs/>
                <w:sz w:val="22"/>
                <w:szCs w:val="22"/>
                <w:lang w:val="ru-RU"/>
              </w:rPr>
              <w:t>Врста домаћинства у којој дете живи</w:t>
            </w:r>
          </w:p>
        </w:tc>
        <w:tc>
          <w:tcPr>
            <w:tcW w:w="441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A3E63" w:rsidRPr="00EB62AF" w:rsidRDefault="00CA3E63" w:rsidP="0042566C">
            <w:pPr>
              <w:jc w:val="center"/>
              <w:rPr>
                <w:b/>
                <w:bCs/>
                <w:sz w:val="22"/>
                <w:szCs w:val="22"/>
              </w:rPr>
            </w:pPr>
            <w:r w:rsidRPr="00EB62AF">
              <w:rPr>
                <w:b/>
                <w:bCs/>
                <w:sz w:val="22"/>
                <w:szCs w:val="22"/>
              </w:rPr>
              <w:t>Број деце</w:t>
            </w:r>
          </w:p>
        </w:tc>
      </w:tr>
      <w:tr w:rsidR="00CA3E63" w:rsidRPr="00EB62AF" w:rsidTr="0042566C">
        <w:trPr>
          <w:gridAfter w:val="1"/>
          <w:wAfter w:w="15" w:type="dxa"/>
          <w:trHeight w:val="255"/>
        </w:trPr>
        <w:tc>
          <w:tcPr>
            <w:tcW w:w="5250" w:type="dxa"/>
            <w:vMerge/>
            <w:tcBorders>
              <w:top w:val="single" w:sz="4" w:space="0" w:color="auto"/>
              <w:left w:val="single" w:sz="4" w:space="0" w:color="auto"/>
              <w:bottom w:val="single" w:sz="4" w:space="0" w:color="000000"/>
              <w:right w:val="single" w:sz="4" w:space="0" w:color="000000"/>
            </w:tcBorders>
            <w:vAlign w:val="center"/>
            <w:hideMark/>
          </w:tcPr>
          <w:p w:rsidR="00CA3E63" w:rsidRPr="00EB62AF" w:rsidRDefault="00CA3E63" w:rsidP="0042566C">
            <w:pPr>
              <w:rPr>
                <w:b/>
                <w:bCs/>
                <w:sz w:val="22"/>
                <w:szCs w:val="22"/>
              </w:rPr>
            </w:pP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Девојчице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Дечаци</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EC2E2A" w:rsidRDefault="00CA3E63" w:rsidP="0042566C">
            <w:pPr>
              <w:rPr>
                <w:sz w:val="22"/>
                <w:szCs w:val="22"/>
                <w:lang w:val="ru-RU"/>
              </w:rPr>
            </w:pPr>
            <w:r w:rsidRPr="00EC2E2A">
              <w:rPr>
                <w:sz w:val="22"/>
                <w:szCs w:val="22"/>
                <w:lang w:val="ru-RU"/>
              </w:rPr>
              <w:t>Једнородитељска породица (деца и један родитељ)</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777</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783</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EC2E2A" w:rsidRDefault="00CA3E63" w:rsidP="0042566C">
            <w:pPr>
              <w:rPr>
                <w:sz w:val="22"/>
                <w:szCs w:val="22"/>
                <w:lang w:val="ru-RU"/>
              </w:rPr>
            </w:pPr>
            <w:r w:rsidRPr="00EC2E2A">
              <w:rPr>
                <w:sz w:val="22"/>
                <w:szCs w:val="22"/>
                <w:lang w:val="ru-RU"/>
              </w:rPr>
              <w:t>Потпуна биолошка породица (оба родитеља и дете/деца)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2499</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2439</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EC2E2A" w:rsidRDefault="00CA3E63" w:rsidP="0042566C">
            <w:pPr>
              <w:rPr>
                <w:sz w:val="22"/>
                <w:szCs w:val="22"/>
                <w:lang w:val="ru-RU"/>
              </w:rPr>
            </w:pPr>
            <w:r w:rsidRPr="00EC2E2A">
              <w:rPr>
                <w:sz w:val="22"/>
                <w:szCs w:val="22"/>
                <w:lang w:val="ru-RU"/>
              </w:rPr>
              <w:t>Потпуна проширена породица - деца, родитељи и сродници</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698</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649</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3E63" w:rsidRPr="00EC2E2A" w:rsidRDefault="00CA3E63" w:rsidP="0042566C">
            <w:pPr>
              <w:rPr>
                <w:sz w:val="22"/>
                <w:szCs w:val="22"/>
                <w:lang w:val="ru-RU"/>
              </w:rPr>
            </w:pPr>
            <w:r w:rsidRPr="00EC2E2A">
              <w:rPr>
                <w:sz w:val="22"/>
                <w:szCs w:val="22"/>
                <w:lang w:val="ru-RU"/>
              </w:rPr>
              <w:t>Домаћинство бивших брачних партнера који након развода живе заједно</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199</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162</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3E63" w:rsidRPr="00EB62AF" w:rsidRDefault="00CA3E63" w:rsidP="0042566C">
            <w:pPr>
              <w:rPr>
                <w:sz w:val="22"/>
                <w:szCs w:val="22"/>
              </w:rPr>
            </w:pPr>
            <w:r w:rsidRPr="00EB62AF">
              <w:rPr>
                <w:sz w:val="22"/>
                <w:szCs w:val="22"/>
              </w:rPr>
              <w:t>Сродничка или старатељска породица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29</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19</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3E63" w:rsidRPr="00EB62AF" w:rsidRDefault="00CA3E63" w:rsidP="0042566C">
            <w:pPr>
              <w:rPr>
                <w:sz w:val="22"/>
                <w:szCs w:val="22"/>
              </w:rPr>
            </w:pPr>
            <w:r w:rsidRPr="00EB62AF">
              <w:rPr>
                <w:sz w:val="22"/>
                <w:szCs w:val="22"/>
              </w:rPr>
              <w:t>Хранитељска породица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26</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15</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3E63" w:rsidRPr="00EB62AF" w:rsidRDefault="00CA3E63" w:rsidP="0042566C">
            <w:pPr>
              <w:rPr>
                <w:sz w:val="22"/>
                <w:szCs w:val="22"/>
              </w:rPr>
            </w:pPr>
            <w:r w:rsidRPr="00EB62AF">
              <w:rPr>
                <w:sz w:val="22"/>
                <w:szCs w:val="22"/>
              </w:rPr>
              <w:t>Усвојитељска породица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2</w:t>
            </w:r>
          </w:p>
        </w:tc>
      </w:tr>
      <w:tr w:rsidR="00CA3E63" w:rsidRPr="00EB62AF" w:rsidTr="0042566C">
        <w:trPr>
          <w:gridAfter w:val="1"/>
          <w:wAfter w:w="15" w:type="dxa"/>
          <w:trHeight w:val="255"/>
        </w:trPr>
        <w:tc>
          <w:tcPr>
            <w:tcW w:w="525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3E63" w:rsidRPr="00412C3D" w:rsidRDefault="00CA3E63" w:rsidP="0042566C">
            <w:pPr>
              <w:rPr>
                <w:b/>
                <w:bCs/>
                <w:sz w:val="22"/>
                <w:szCs w:val="22"/>
                <w:lang w:val="sr-Cyrl-RS"/>
              </w:rPr>
            </w:pPr>
            <w:r w:rsidRPr="00EB62AF">
              <w:rPr>
                <w:b/>
                <w:bCs/>
                <w:sz w:val="22"/>
                <w:szCs w:val="22"/>
              </w:rPr>
              <w:t>Укупно</w:t>
            </w:r>
            <w:r w:rsidR="00412C3D">
              <w:rPr>
                <w:b/>
                <w:bCs/>
                <w:sz w:val="22"/>
                <w:szCs w:val="22"/>
                <w:lang w:val="sr-Cyrl-RS"/>
              </w:rPr>
              <w:t xml:space="preserve"> по полу</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4228</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EB62AF" w:rsidRDefault="00CA3E63" w:rsidP="0042566C">
            <w:pPr>
              <w:jc w:val="center"/>
              <w:rPr>
                <w:sz w:val="22"/>
                <w:szCs w:val="22"/>
              </w:rPr>
            </w:pPr>
            <w:r w:rsidRPr="00EB62AF">
              <w:rPr>
                <w:sz w:val="22"/>
                <w:szCs w:val="22"/>
              </w:rPr>
              <w:t>4069</w:t>
            </w:r>
          </w:p>
        </w:tc>
      </w:tr>
      <w:tr w:rsidR="00CA3E63" w:rsidRPr="00EB62AF"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EB62AF" w:rsidRDefault="00CA3E63" w:rsidP="0042566C">
            <w:pPr>
              <w:rPr>
                <w:b/>
                <w:bCs/>
                <w:sz w:val="22"/>
                <w:szCs w:val="22"/>
              </w:rPr>
            </w:pPr>
            <w:r w:rsidRPr="00EB62AF">
              <w:rPr>
                <w:b/>
                <w:bCs/>
                <w:sz w:val="22"/>
                <w:szCs w:val="22"/>
              </w:rPr>
              <w:t>УКУПНО</w:t>
            </w:r>
          </w:p>
        </w:tc>
        <w:tc>
          <w:tcPr>
            <w:tcW w:w="441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CA3E63" w:rsidRPr="00EB62AF" w:rsidRDefault="00CA3E63" w:rsidP="0042566C">
            <w:pPr>
              <w:jc w:val="center"/>
              <w:rPr>
                <w:b/>
                <w:bCs/>
                <w:sz w:val="22"/>
                <w:szCs w:val="22"/>
              </w:rPr>
            </w:pPr>
            <w:r w:rsidRPr="00EB62AF">
              <w:rPr>
                <w:b/>
                <w:bCs/>
                <w:sz w:val="22"/>
                <w:szCs w:val="22"/>
              </w:rPr>
              <w:t>8297</w:t>
            </w:r>
          </w:p>
        </w:tc>
      </w:tr>
    </w:tbl>
    <w:p w:rsidR="00CA3E63" w:rsidRDefault="00CA3E63" w:rsidP="00CA3E63">
      <w:pPr>
        <w:ind w:firstLine="720"/>
        <w:rPr>
          <w:lang w:val="sr-Cyrl-RS"/>
        </w:rPr>
      </w:pPr>
    </w:p>
    <w:p w:rsidR="00CA3E63" w:rsidRPr="00EA41C1" w:rsidRDefault="00CA3E63" w:rsidP="00CA3E63">
      <w:pPr>
        <w:ind w:firstLine="720"/>
        <w:jc w:val="both"/>
        <w:rPr>
          <w:lang w:val="sr-Cyrl-RS"/>
        </w:rPr>
      </w:pPr>
      <w:r w:rsidRPr="00EA41C1">
        <w:rPr>
          <w:lang w:val="sr-Cyrl-RS"/>
        </w:rPr>
        <w:t>П</w:t>
      </w:r>
      <w:r w:rsidR="00412C3D" w:rsidRPr="00EA41C1">
        <w:rPr>
          <w:lang w:val="sr-Cyrl-RS"/>
        </w:rPr>
        <w:t>оред наведеног, п</w:t>
      </w:r>
      <w:r w:rsidRPr="00EA41C1">
        <w:rPr>
          <w:lang w:val="sr-Cyrl-RS"/>
        </w:rPr>
        <w:t>рема врсти насиља, као и претходних година</w:t>
      </w:r>
      <w:r w:rsidR="00412C3D" w:rsidRPr="00EA41C1">
        <w:rPr>
          <w:lang w:val="sr-Cyrl-RS"/>
        </w:rPr>
        <w:t>, и</w:t>
      </w:r>
      <w:r w:rsidRPr="00EA41C1">
        <w:rPr>
          <w:lang w:val="sr-Cyrl-RS"/>
        </w:rPr>
        <w:t xml:space="preserve"> у 2017. години доминирају пријаве насиља услед занемаривања деце или немарног поступања родитеља са 37,3%, потом емоционалног насиља над децом у 30,2% случајев</w:t>
      </w:r>
      <w:r w:rsidR="00412C3D" w:rsidRPr="00EA41C1">
        <w:rPr>
          <w:lang w:val="sr-Cyrl-RS"/>
        </w:rPr>
        <w:t xml:space="preserve">а и пријаве за физичко насиља </w:t>
      </w:r>
      <w:r w:rsidRPr="00EA41C1">
        <w:rPr>
          <w:lang w:val="sr-Cyrl-RS"/>
        </w:rPr>
        <w:t>29,8% случајева</w:t>
      </w:r>
      <w:r w:rsidR="00412C3D" w:rsidRPr="00EA41C1">
        <w:rPr>
          <w:lang w:val="sr-Cyrl-RS"/>
        </w:rPr>
        <w:t>. Укупан број случајева породичног насиља над девојчицама је виши (</w:t>
      </w:r>
      <w:r w:rsidR="00412C3D" w:rsidRPr="00EA41C1">
        <w:rPr>
          <w:lang w:val="ru-RU"/>
        </w:rPr>
        <w:t>4</w:t>
      </w:r>
      <w:r w:rsidR="00A619F0">
        <w:rPr>
          <w:lang w:val="ru-RU"/>
        </w:rPr>
        <w:t>.</w:t>
      </w:r>
      <w:r w:rsidR="00412C3D" w:rsidRPr="00EA41C1">
        <w:rPr>
          <w:lang w:val="ru-RU"/>
        </w:rPr>
        <w:t>2</w:t>
      </w:r>
      <w:r w:rsidR="000146A2">
        <w:rPr>
          <w:lang w:val="ru-RU"/>
        </w:rPr>
        <w:t xml:space="preserve">28) у односу на број случајева </w:t>
      </w:r>
      <w:r w:rsidR="00412C3D" w:rsidRPr="00EA41C1">
        <w:rPr>
          <w:lang w:val="ru-RU"/>
        </w:rPr>
        <w:t>породичног насиља над дечацима (4</w:t>
      </w:r>
      <w:r w:rsidR="00A619F0">
        <w:rPr>
          <w:lang w:val="ru-RU"/>
        </w:rPr>
        <w:t>.</w:t>
      </w:r>
      <w:r w:rsidR="00412C3D" w:rsidRPr="00EA41C1">
        <w:rPr>
          <w:lang w:val="ru-RU"/>
        </w:rPr>
        <w:t>069), а њихов укупан број (</w:t>
      </w:r>
      <w:r w:rsidR="00412C3D" w:rsidRPr="00EA41C1">
        <w:rPr>
          <w:bCs/>
          <w:lang w:val="ru-RU"/>
        </w:rPr>
        <w:t>8</w:t>
      </w:r>
      <w:r w:rsidR="00A619F0">
        <w:rPr>
          <w:bCs/>
          <w:lang w:val="ru-RU"/>
        </w:rPr>
        <w:t>.</w:t>
      </w:r>
      <w:r w:rsidR="00412C3D" w:rsidRPr="00EA41C1">
        <w:rPr>
          <w:bCs/>
          <w:lang w:val="ru-RU"/>
        </w:rPr>
        <w:t>297</w:t>
      </w:r>
      <w:r w:rsidR="00412C3D" w:rsidRPr="00EA41C1">
        <w:rPr>
          <w:lang w:val="ru-RU"/>
        </w:rPr>
        <w:t xml:space="preserve">) </w:t>
      </w:r>
      <w:r w:rsidR="00A619F0">
        <w:rPr>
          <w:lang w:val="ru-RU"/>
        </w:rPr>
        <w:t xml:space="preserve">и </w:t>
      </w:r>
      <w:r w:rsidR="00412C3D" w:rsidRPr="00EA41C1">
        <w:rPr>
          <w:lang w:val="ru-RU"/>
        </w:rPr>
        <w:t>довољно забрињавајући да захтева организовани одговор друштва усмерен на превенцију и спречавање насиља над децом</w:t>
      </w:r>
      <w:r w:rsidR="00412C3D" w:rsidRPr="00EA41C1">
        <w:rPr>
          <w:lang w:val="sr-Cyrl-RS"/>
        </w:rPr>
        <w:t xml:space="preserve"> (Т</w:t>
      </w:r>
      <w:r w:rsidRPr="00EA41C1">
        <w:rPr>
          <w:lang w:val="sr-Cyrl-RS"/>
        </w:rPr>
        <w:t xml:space="preserve">абела </w:t>
      </w:r>
      <w:r w:rsidR="00412C3D" w:rsidRPr="00EA41C1">
        <w:rPr>
          <w:lang w:val="sr-Cyrl-RS"/>
        </w:rPr>
        <w:t>9</w:t>
      </w:r>
      <w:r w:rsidRPr="00EA41C1">
        <w:rPr>
          <w:lang w:val="sr-Cyrl-RS"/>
        </w:rPr>
        <w:t>).</w:t>
      </w:r>
    </w:p>
    <w:p w:rsidR="00412C3D" w:rsidRDefault="00412C3D" w:rsidP="00412C3D">
      <w:pPr>
        <w:spacing w:before="120"/>
        <w:jc w:val="center"/>
        <w:rPr>
          <w:b/>
          <w:bCs/>
          <w:sz w:val="22"/>
          <w:szCs w:val="22"/>
          <w:lang w:val="sr-Cyrl-RS"/>
        </w:rPr>
      </w:pPr>
      <w:r w:rsidRPr="00CA3E63">
        <w:rPr>
          <w:b/>
          <w:lang w:val="sr-Cyrl-RS"/>
        </w:rPr>
        <w:lastRenderedPageBreak/>
        <w:t xml:space="preserve">Табела </w:t>
      </w:r>
      <w:r>
        <w:rPr>
          <w:b/>
          <w:lang w:val="sr-Cyrl-RS"/>
        </w:rPr>
        <w:t>9</w:t>
      </w:r>
      <w:r w:rsidRPr="00CA3E63">
        <w:rPr>
          <w:b/>
          <w:lang w:val="sr-Cyrl-RS"/>
        </w:rPr>
        <w:t>:</w:t>
      </w:r>
      <w:r w:rsidRPr="00CA3E63">
        <w:rPr>
          <w:b/>
          <w:bCs/>
          <w:sz w:val="22"/>
          <w:szCs w:val="22"/>
          <w:lang w:val="sr-Cyrl-RS"/>
        </w:rPr>
        <w:t xml:space="preserve"> </w:t>
      </w:r>
      <w:r w:rsidRPr="004B0148">
        <w:rPr>
          <w:b/>
          <w:lang w:val="sr-Cyrl-RS"/>
        </w:rPr>
        <w:t>Подаци Р</w:t>
      </w:r>
      <w:r>
        <w:rPr>
          <w:b/>
          <w:lang w:val="sr-Cyrl-RS"/>
        </w:rPr>
        <w:t>епубличког завода за социјалну заштиту</w:t>
      </w:r>
      <w:r w:rsidRPr="004B0148">
        <w:rPr>
          <w:b/>
          <w:lang w:val="sr-Cyrl-RS"/>
        </w:rPr>
        <w:t xml:space="preserve"> у вези послова центара за с</w:t>
      </w:r>
      <w:r>
        <w:rPr>
          <w:b/>
          <w:lang w:val="sr-Cyrl-RS"/>
        </w:rPr>
        <w:t>оција</w:t>
      </w:r>
      <w:r w:rsidRPr="004B0148">
        <w:rPr>
          <w:b/>
          <w:lang w:val="sr-Cyrl-RS"/>
        </w:rPr>
        <w:t xml:space="preserve">лни рад </w:t>
      </w:r>
      <w:r>
        <w:rPr>
          <w:b/>
          <w:lang w:val="sr-Cyrl-RS"/>
        </w:rPr>
        <w:t xml:space="preserve">на основу пријаве </w:t>
      </w:r>
      <w:r w:rsidRPr="004B0148">
        <w:rPr>
          <w:b/>
          <w:lang w:val="sr-Cyrl-RS"/>
        </w:rPr>
        <w:t>насиља у породици</w:t>
      </w:r>
      <w:r>
        <w:rPr>
          <w:b/>
          <w:lang w:val="sr-Cyrl-RS"/>
        </w:rPr>
        <w:t xml:space="preserve"> над децом, према врсти насиља</w:t>
      </w:r>
    </w:p>
    <w:p w:rsidR="00412C3D" w:rsidRPr="00A34D0E" w:rsidRDefault="00412C3D" w:rsidP="00CA3E63">
      <w:pPr>
        <w:rPr>
          <w:lang w:val="sr-Cyrl-RS"/>
        </w:rPr>
      </w:pPr>
    </w:p>
    <w:tbl>
      <w:tblPr>
        <w:tblW w:w="9644" w:type="dxa"/>
        <w:tblInd w:w="103" w:type="dxa"/>
        <w:tblLook w:val="04A0" w:firstRow="1" w:lastRow="0" w:firstColumn="1" w:lastColumn="0" w:noHBand="0" w:noVBand="1"/>
      </w:tblPr>
      <w:tblGrid>
        <w:gridCol w:w="5250"/>
        <w:gridCol w:w="2268"/>
        <w:gridCol w:w="2126"/>
      </w:tblGrid>
      <w:tr w:rsidR="00CA3E63" w:rsidRPr="006F3994" w:rsidTr="00EA41C1">
        <w:trPr>
          <w:trHeight w:val="255"/>
        </w:trPr>
        <w:tc>
          <w:tcPr>
            <w:tcW w:w="9644" w:type="dxa"/>
            <w:gridSpan w:val="3"/>
            <w:tcBorders>
              <w:top w:val="single" w:sz="4" w:space="0" w:color="auto"/>
              <w:left w:val="single" w:sz="4" w:space="0" w:color="auto"/>
              <w:bottom w:val="single" w:sz="4" w:space="0" w:color="auto"/>
              <w:right w:val="single" w:sz="4" w:space="0" w:color="000000"/>
            </w:tcBorders>
            <w:shd w:val="clear" w:color="auto" w:fill="00B0F0"/>
            <w:noWrap/>
            <w:vAlign w:val="center"/>
            <w:hideMark/>
          </w:tcPr>
          <w:p w:rsidR="00CA3E63" w:rsidRPr="00EC2E2A" w:rsidRDefault="00CA3E63" w:rsidP="0042566C">
            <w:pPr>
              <w:rPr>
                <w:b/>
                <w:bCs/>
                <w:sz w:val="22"/>
                <w:szCs w:val="22"/>
                <w:lang w:val="ru-RU"/>
              </w:rPr>
            </w:pPr>
            <w:r w:rsidRPr="00EC2E2A">
              <w:rPr>
                <w:b/>
                <w:bCs/>
                <w:sz w:val="22"/>
                <w:szCs w:val="22"/>
                <w:lang w:val="ru-RU"/>
              </w:rPr>
              <w:t xml:space="preserve">Број пријава насиља у породици за децу (као жртве насиља) у току 2017. године према доминантној врсти насиља и полу детета </w:t>
            </w:r>
          </w:p>
        </w:tc>
      </w:tr>
      <w:tr w:rsidR="00CA3E63" w:rsidRPr="00A30EB6" w:rsidTr="0042566C">
        <w:trPr>
          <w:trHeight w:val="255"/>
        </w:trPr>
        <w:tc>
          <w:tcPr>
            <w:tcW w:w="525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CA3E63" w:rsidRPr="00A30EB6" w:rsidRDefault="00CA3E63" w:rsidP="0042566C">
            <w:pPr>
              <w:rPr>
                <w:b/>
                <w:bCs/>
                <w:sz w:val="22"/>
                <w:szCs w:val="22"/>
              </w:rPr>
            </w:pPr>
            <w:r w:rsidRPr="00A30EB6">
              <w:rPr>
                <w:b/>
                <w:bCs/>
                <w:sz w:val="22"/>
                <w:szCs w:val="22"/>
              </w:rPr>
              <w:t>Доминантна врста насиља</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A3E63" w:rsidRPr="00A30EB6" w:rsidRDefault="00CA3E63" w:rsidP="0042566C">
            <w:pPr>
              <w:jc w:val="center"/>
              <w:rPr>
                <w:b/>
                <w:bCs/>
                <w:sz w:val="22"/>
                <w:szCs w:val="22"/>
              </w:rPr>
            </w:pPr>
            <w:r w:rsidRPr="00A30EB6">
              <w:rPr>
                <w:b/>
                <w:bCs/>
                <w:sz w:val="22"/>
                <w:szCs w:val="22"/>
              </w:rPr>
              <w:t>Број деце</w:t>
            </w:r>
          </w:p>
        </w:tc>
      </w:tr>
      <w:tr w:rsidR="00CA3E63" w:rsidRPr="00A30EB6" w:rsidTr="0042566C">
        <w:trPr>
          <w:trHeight w:val="255"/>
        </w:trPr>
        <w:tc>
          <w:tcPr>
            <w:tcW w:w="5250" w:type="dxa"/>
            <w:vMerge/>
            <w:tcBorders>
              <w:top w:val="single" w:sz="4" w:space="0" w:color="auto"/>
              <w:left w:val="single" w:sz="4" w:space="0" w:color="auto"/>
              <w:bottom w:val="single" w:sz="4" w:space="0" w:color="000000"/>
              <w:right w:val="single" w:sz="4" w:space="0" w:color="000000"/>
            </w:tcBorders>
            <w:vAlign w:val="center"/>
            <w:hideMark/>
          </w:tcPr>
          <w:p w:rsidR="00CA3E63" w:rsidRPr="00A30EB6" w:rsidRDefault="00CA3E63" w:rsidP="0042566C">
            <w:pPr>
              <w:rPr>
                <w:b/>
                <w:bCs/>
                <w:sz w:val="22"/>
                <w:szCs w:val="22"/>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Девојчице</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Дечаци</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A30EB6" w:rsidRDefault="00CA3E63" w:rsidP="0042566C">
            <w:pPr>
              <w:rPr>
                <w:sz w:val="22"/>
                <w:szCs w:val="22"/>
              </w:rPr>
            </w:pPr>
            <w:r w:rsidRPr="00A30EB6">
              <w:rPr>
                <w:sz w:val="22"/>
                <w:szCs w:val="22"/>
              </w:rPr>
              <w:t>Физичко насиље</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1228</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1244</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A30EB6" w:rsidRDefault="00CA3E63" w:rsidP="0042566C">
            <w:pPr>
              <w:rPr>
                <w:sz w:val="22"/>
                <w:szCs w:val="22"/>
              </w:rPr>
            </w:pPr>
            <w:r w:rsidRPr="00A30EB6">
              <w:rPr>
                <w:sz w:val="22"/>
                <w:szCs w:val="22"/>
              </w:rPr>
              <w:t>Емоционално насиље</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1332</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1177</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A30EB6" w:rsidRDefault="00CA3E63" w:rsidP="0042566C">
            <w:pPr>
              <w:rPr>
                <w:sz w:val="22"/>
                <w:szCs w:val="22"/>
              </w:rPr>
            </w:pPr>
            <w:r w:rsidRPr="00A30EB6">
              <w:rPr>
                <w:sz w:val="22"/>
                <w:szCs w:val="22"/>
              </w:rPr>
              <w:t>Сексуално насиље</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140</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47</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A30EB6" w:rsidRDefault="00CA3E63" w:rsidP="0042566C">
            <w:pPr>
              <w:rPr>
                <w:sz w:val="22"/>
                <w:szCs w:val="22"/>
              </w:rPr>
            </w:pPr>
            <w:r w:rsidRPr="00A30EB6">
              <w:rPr>
                <w:sz w:val="22"/>
                <w:szCs w:val="22"/>
              </w:rPr>
              <w:t>Занемаривање или немарно поступање</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1512</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1582</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A30EB6" w:rsidRDefault="00CA3E63" w:rsidP="0042566C">
            <w:pPr>
              <w:rPr>
                <w:sz w:val="22"/>
                <w:szCs w:val="22"/>
              </w:rPr>
            </w:pPr>
            <w:r w:rsidRPr="00A30EB6">
              <w:rPr>
                <w:sz w:val="22"/>
                <w:szCs w:val="22"/>
              </w:rPr>
              <w:t>Експлоатација детета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16</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A30EB6" w:rsidRDefault="00CA3E63" w:rsidP="0042566C">
            <w:pPr>
              <w:jc w:val="center"/>
              <w:rPr>
                <w:sz w:val="22"/>
                <w:szCs w:val="22"/>
              </w:rPr>
            </w:pPr>
            <w:r w:rsidRPr="00A30EB6">
              <w:rPr>
                <w:sz w:val="22"/>
                <w:szCs w:val="22"/>
              </w:rPr>
              <w:t>19</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412C3D" w:rsidRDefault="00CA3E63" w:rsidP="0042566C">
            <w:pPr>
              <w:rPr>
                <w:b/>
                <w:bCs/>
                <w:sz w:val="22"/>
                <w:szCs w:val="22"/>
                <w:lang w:val="sr-Cyrl-RS"/>
              </w:rPr>
            </w:pPr>
            <w:r w:rsidRPr="00A30EB6">
              <w:rPr>
                <w:b/>
                <w:bCs/>
                <w:sz w:val="22"/>
                <w:szCs w:val="22"/>
              </w:rPr>
              <w:t>Укупно</w:t>
            </w:r>
            <w:r w:rsidR="00412C3D">
              <w:rPr>
                <w:b/>
                <w:bCs/>
                <w:sz w:val="22"/>
                <w:szCs w:val="22"/>
                <w:lang w:val="sr-Cyrl-RS"/>
              </w:rPr>
              <w:t xml:space="preserve"> по полу</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2D6131" w:rsidRDefault="00CA3E63" w:rsidP="0042566C">
            <w:pPr>
              <w:jc w:val="center"/>
              <w:rPr>
                <w:b/>
                <w:sz w:val="22"/>
                <w:szCs w:val="22"/>
              </w:rPr>
            </w:pPr>
            <w:r w:rsidRPr="002D6131">
              <w:rPr>
                <w:b/>
                <w:sz w:val="22"/>
                <w:szCs w:val="22"/>
              </w:rPr>
              <w:t>4228</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A3E63" w:rsidRPr="002D6131" w:rsidRDefault="00CA3E63" w:rsidP="0042566C">
            <w:pPr>
              <w:jc w:val="center"/>
              <w:rPr>
                <w:b/>
                <w:sz w:val="22"/>
                <w:szCs w:val="22"/>
              </w:rPr>
            </w:pPr>
            <w:r w:rsidRPr="002D6131">
              <w:rPr>
                <w:b/>
                <w:sz w:val="22"/>
                <w:szCs w:val="22"/>
              </w:rPr>
              <w:t>4069</w:t>
            </w:r>
          </w:p>
        </w:tc>
      </w:tr>
      <w:tr w:rsidR="00CA3E63" w:rsidRPr="00A30EB6" w:rsidTr="0042566C">
        <w:trPr>
          <w:trHeight w:val="255"/>
        </w:trPr>
        <w:tc>
          <w:tcPr>
            <w:tcW w:w="5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3E63" w:rsidRPr="00A30EB6" w:rsidRDefault="00CA3E63" w:rsidP="0042566C">
            <w:pPr>
              <w:rPr>
                <w:b/>
                <w:bCs/>
                <w:sz w:val="22"/>
                <w:szCs w:val="22"/>
              </w:rPr>
            </w:pPr>
            <w:r w:rsidRPr="00A30EB6">
              <w:rPr>
                <w:b/>
                <w:bCs/>
                <w:sz w:val="22"/>
                <w:szCs w:val="22"/>
              </w:rPr>
              <w:t>УКУПНО</w:t>
            </w:r>
          </w:p>
        </w:tc>
        <w:tc>
          <w:tcPr>
            <w:tcW w:w="439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CA3E63" w:rsidRPr="00A30EB6" w:rsidRDefault="00CA3E63" w:rsidP="0042566C">
            <w:pPr>
              <w:jc w:val="center"/>
              <w:rPr>
                <w:b/>
                <w:bCs/>
                <w:sz w:val="22"/>
                <w:szCs w:val="22"/>
              </w:rPr>
            </w:pPr>
            <w:r w:rsidRPr="00A30EB6">
              <w:rPr>
                <w:b/>
                <w:bCs/>
                <w:sz w:val="22"/>
                <w:szCs w:val="22"/>
              </w:rPr>
              <w:t>8297</w:t>
            </w:r>
          </w:p>
        </w:tc>
      </w:tr>
    </w:tbl>
    <w:p w:rsidR="00CA3E63" w:rsidRPr="00A34D0E" w:rsidRDefault="00CA3E63" w:rsidP="00CA3E63">
      <w:pPr>
        <w:rPr>
          <w:lang w:val="sr-Cyrl-RS"/>
        </w:rPr>
      </w:pPr>
    </w:p>
    <w:p w:rsidR="00CA3E63" w:rsidRDefault="00CA3E63" w:rsidP="00412C3D">
      <w:pPr>
        <w:ind w:firstLine="720"/>
        <w:jc w:val="both"/>
        <w:rPr>
          <w:lang w:val="sr-Cyrl-RS"/>
        </w:rPr>
      </w:pPr>
      <w:r w:rsidRPr="00C6775A">
        <w:rPr>
          <w:lang w:val="sr-Cyrl-RS"/>
        </w:rPr>
        <w:t>Када је реч о поступцима које је ЦСР предузимао у случајевима пријава насиља над децом у 2017. години, од 8.297 пријава насиља покренуто је 9.254 поступка</w:t>
      </w:r>
      <w:r w:rsidR="000146A2">
        <w:rPr>
          <w:lang w:val="sr-Cyrl-RS"/>
        </w:rPr>
        <w:t xml:space="preserve">, </w:t>
      </w:r>
      <w:r w:rsidR="00A619F0">
        <w:rPr>
          <w:lang w:val="sr-Cyrl-RS"/>
        </w:rPr>
        <w:t>јер је</w:t>
      </w:r>
      <w:r w:rsidRPr="00C6775A">
        <w:rPr>
          <w:lang w:val="sr-Cyrl-RS"/>
        </w:rPr>
        <w:t xml:space="preserve"> за неку децу је реализовано</w:t>
      </w:r>
      <w:r w:rsidR="00A619F0">
        <w:rPr>
          <w:lang w:val="sr-Cyrl-RS"/>
        </w:rPr>
        <w:t xml:space="preserve"> покретање</w:t>
      </w:r>
      <w:r w:rsidRPr="00C6775A">
        <w:rPr>
          <w:lang w:val="sr-Cyrl-RS"/>
        </w:rPr>
        <w:t xml:space="preserve"> неколико поступака. Према врсти поступка доминира пружање материјалне, правне или стручно саветодавне подршке и помоћи детету у ЦСР са 54%, а 18% деце је упућено на услуге других одговарајућих уста</w:t>
      </w:r>
      <w:r w:rsidR="00412C3D">
        <w:rPr>
          <w:lang w:val="sr-Cyrl-RS"/>
        </w:rPr>
        <w:t xml:space="preserve">нова. Остали поступци </w:t>
      </w:r>
      <w:r w:rsidRPr="00C6775A">
        <w:rPr>
          <w:lang w:val="sr-Cyrl-RS"/>
        </w:rPr>
        <w:t>су з</w:t>
      </w:r>
      <w:r w:rsidR="00412C3D">
        <w:rPr>
          <w:lang w:val="sr-Cyrl-RS"/>
        </w:rPr>
        <w:t>аступљени са мање од 10% учешћа (Табела 10</w:t>
      </w:r>
      <w:r w:rsidR="00412C3D" w:rsidRPr="00C6775A">
        <w:rPr>
          <w:lang w:val="sr-Cyrl-RS"/>
        </w:rPr>
        <w:t>)</w:t>
      </w:r>
      <w:r w:rsidR="00412C3D">
        <w:rPr>
          <w:lang w:val="sr-Cyrl-RS"/>
        </w:rPr>
        <w:t>.</w:t>
      </w:r>
    </w:p>
    <w:p w:rsidR="00412C3D" w:rsidRDefault="00412C3D" w:rsidP="00412C3D">
      <w:pPr>
        <w:spacing w:before="120"/>
        <w:jc w:val="center"/>
        <w:rPr>
          <w:b/>
          <w:bCs/>
          <w:sz w:val="22"/>
          <w:szCs w:val="22"/>
          <w:lang w:val="sr-Cyrl-RS"/>
        </w:rPr>
      </w:pPr>
      <w:r w:rsidRPr="00CA3E63">
        <w:rPr>
          <w:b/>
          <w:lang w:val="sr-Cyrl-RS"/>
        </w:rPr>
        <w:t xml:space="preserve">Табела </w:t>
      </w:r>
      <w:r>
        <w:rPr>
          <w:b/>
          <w:lang w:val="sr-Cyrl-RS"/>
        </w:rPr>
        <w:t>10</w:t>
      </w:r>
      <w:r w:rsidRPr="00CA3E63">
        <w:rPr>
          <w:b/>
          <w:lang w:val="sr-Cyrl-RS"/>
        </w:rPr>
        <w:t>:</w:t>
      </w:r>
      <w:r w:rsidRPr="00CA3E63">
        <w:rPr>
          <w:b/>
          <w:bCs/>
          <w:sz w:val="22"/>
          <w:szCs w:val="22"/>
          <w:lang w:val="sr-Cyrl-RS"/>
        </w:rPr>
        <w:t xml:space="preserve"> </w:t>
      </w:r>
      <w:r w:rsidRPr="004B0148">
        <w:rPr>
          <w:b/>
          <w:lang w:val="sr-Cyrl-RS"/>
        </w:rPr>
        <w:t>Подаци Р</w:t>
      </w:r>
      <w:r>
        <w:rPr>
          <w:b/>
          <w:lang w:val="sr-Cyrl-RS"/>
        </w:rPr>
        <w:t>епубличког завода за социјалну заштиту</w:t>
      </w:r>
      <w:r w:rsidRPr="004B0148">
        <w:rPr>
          <w:b/>
          <w:lang w:val="sr-Cyrl-RS"/>
        </w:rPr>
        <w:t xml:space="preserve"> у вези послова центара за с</w:t>
      </w:r>
      <w:r>
        <w:rPr>
          <w:b/>
          <w:lang w:val="sr-Cyrl-RS"/>
        </w:rPr>
        <w:t>оција</w:t>
      </w:r>
      <w:r w:rsidRPr="004B0148">
        <w:rPr>
          <w:b/>
          <w:lang w:val="sr-Cyrl-RS"/>
        </w:rPr>
        <w:t xml:space="preserve">лни рад </w:t>
      </w:r>
      <w:r>
        <w:rPr>
          <w:b/>
          <w:lang w:val="sr-Cyrl-RS"/>
        </w:rPr>
        <w:t xml:space="preserve">на основу пријаве </w:t>
      </w:r>
      <w:r w:rsidRPr="004B0148">
        <w:rPr>
          <w:b/>
          <w:lang w:val="sr-Cyrl-RS"/>
        </w:rPr>
        <w:t>насиља у породици</w:t>
      </w:r>
      <w:r>
        <w:rPr>
          <w:b/>
          <w:lang w:val="sr-Cyrl-RS"/>
        </w:rPr>
        <w:t xml:space="preserve"> над децом, према врсти насиља</w:t>
      </w:r>
    </w:p>
    <w:p w:rsidR="00CA3E63" w:rsidRDefault="00CA3E63" w:rsidP="00CA3E63">
      <w:pPr>
        <w:ind w:firstLine="720"/>
        <w:jc w:val="both"/>
        <w:rPr>
          <w:lang w:val="sr-Cyrl-RS"/>
        </w:rPr>
      </w:pPr>
    </w:p>
    <w:tbl>
      <w:tblPr>
        <w:tblW w:w="9531" w:type="dxa"/>
        <w:tblInd w:w="103" w:type="dxa"/>
        <w:tblLook w:val="04A0" w:firstRow="1" w:lastRow="0" w:firstColumn="1" w:lastColumn="0" w:noHBand="0" w:noVBand="1"/>
      </w:tblPr>
      <w:tblGrid>
        <w:gridCol w:w="5316"/>
        <w:gridCol w:w="1597"/>
        <w:gridCol w:w="1571"/>
        <w:gridCol w:w="1047"/>
      </w:tblGrid>
      <w:tr w:rsidR="00CA3E63" w:rsidRPr="006F3994" w:rsidTr="00EA41C1">
        <w:trPr>
          <w:trHeight w:val="255"/>
        </w:trPr>
        <w:tc>
          <w:tcPr>
            <w:tcW w:w="9531" w:type="dxa"/>
            <w:gridSpan w:val="4"/>
            <w:tcBorders>
              <w:top w:val="single" w:sz="4" w:space="0" w:color="auto"/>
              <w:left w:val="single" w:sz="4" w:space="0" w:color="auto"/>
              <w:bottom w:val="single" w:sz="4" w:space="0" w:color="auto"/>
              <w:right w:val="single" w:sz="4" w:space="0" w:color="000000"/>
            </w:tcBorders>
            <w:shd w:val="clear" w:color="auto" w:fill="00B0F0"/>
            <w:vAlign w:val="center"/>
            <w:hideMark/>
          </w:tcPr>
          <w:p w:rsidR="00CA3E63" w:rsidRPr="00EC2E2A" w:rsidRDefault="00CA3E63" w:rsidP="00C70F5E">
            <w:pPr>
              <w:jc w:val="center"/>
              <w:rPr>
                <w:b/>
                <w:bCs/>
                <w:sz w:val="22"/>
                <w:szCs w:val="22"/>
                <w:lang w:val="ru-RU"/>
              </w:rPr>
            </w:pPr>
            <w:r w:rsidRPr="00EC2E2A">
              <w:rPr>
                <w:b/>
                <w:bCs/>
                <w:sz w:val="22"/>
                <w:szCs w:val="22"/>
                <w:lang w:val="ru-RU"/>
              </w:rPr>
              <w:t>Поступци које је ЦСР предузимао у току 2017. године у случајевима заштите деце од насиља у породици</w:t>
            </w:r>
          </w:p>
        </w:tc>
      </w:tr>
      <w:tr w:rsidR="00CA3E63" w:rsidRPr="00A30EB6" w:rsidTr="0042566C">
        <w:trPr>
          <w:trHeight w:val="255"/>
        </w:trPr>
        <w:tc>
          <w:tcPr>
            <w:tcW w:w="5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A30EB6" w:rsidRDefault="00CA3E63" w:rsidP="0042566C">
            <w:pPr>
              <w:rPr>
                <w:b/>
                <w:bCs/>
                <w:sz w:val="22"/>
                <w:szCs w:val="22"/>
              </w:rPr>
            </w:pPr>
            <w:r w:rsidRPr="00A30EB6">
              <w:rPr>
                <w:b/>
                <w:bCs/>
                <w:sz w:val="22"/>
                <w:szCs w:val="22"/>
              </w:rPr>
              <w:t>Врста поступка</w:t>
            </w:r>
          </w:p>
        </w:tc>
        <w:tc>
          <w:tcPr>
            <w:tcW w:w="3168" w:type="dxa"/>
            <w:gridSpan w:val="2"/>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b/>
                <w:bCs/>
                <w:sz w:val="22"/>
                <w:szCs w:val="22"/>
              </w:rPr>
            </w:pPr>
            <w:r w:rsidRPr="00A30EB6">
              <w:rPr>
                <w:b/>
                <w:bCs/>
                <w:sz w:val="22"/>
                <w:szCs w:val="22"/>
              </w:rPr>
              <w:t>Број деце</w:t>
            </w:r>
          </w:p>
        </w:tc>
        <w:tc>
          <w:tcPr>
            <w:tcW w:w="10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A3E63" w:rsidRPr="00A30EB6" w:rsidRDefault="00CA3E63" w:rsidP="0042566C">
            <w:pPr>
              <w:jc w:val="center"/>
              <w:rPr>
                <w:b/>
                <w:bCs/>
                <w:sz w:val="22"/>
                <w:szCs w:val="22"/>
              </w:rPr>
            </w:pPr>
            <w:r w:rsidRPr="00A30EB6">
              <w:rPr>
                <w:b/>
                <w:bCs/>
                <w:sz w:val="22"/>
                <w:szCs w:val="22"/>
              </w:rPr>
              <w:t xml:space="preserve">Укупно </w:t>
            </w:r>
          </w:p>
        </w:tc>
      </w:tr>
      <w:tr w:rsidR="00CA3E63" w:rsidRPr="00A30EB6" w:rsidTr="0042566C">
        <w:trPr>
          <w:trHeight w:val="255"/>
        </w:trPr>
        <w:tc>
          <w:tcPr>
            <w:tcW w:w="5316" w:type="dxa"/>
            <w:vMerge/>
            <w:tcBorders>
              <w:top w:val="single" w:sz="4" w:space="0" w:color="auto"/>
              <w:left w:val="single" w:sz="4" w:space="0" w:color="auto"/>
              <w:bottom w:val="single" w:sz="4" w:space="0" w:color="auto"/>
              <w:right w:val="single" w:sz="4" w:space="0" w:color="auto"/>
            </w:tcBorders>
            <w:vAlign w:val="center"/>
            <w:hideMark/>
          </w:tcPr>
          <w:p w:rsidR="00CA3E63" w:rsidRPr="00A30EB6" w:rsidRDefault="00CA3E63" w:rsidP="0042566C">
            <w:pPr>
              <w:rPr>
                <w:b/>
                <w:bCs/>
                <w:sz w:val="22"/>
                <w:szCs w:val="22"/>
              </w:rPr>
            </w:pP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Девојчице</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rsidR="00CA3E63" w:rsidRPr="00A30EB6" w:rsidRDefault="00CA3E63" w:rsidP="0042566C">
            <w:pPr>
              <w:jc w:val="center"/>
              <w:rPr>
                <w:sz w:val="22"/>
                <w:szCs w:val="22"/>
              </w:rPr>
            </w:pPr>
            <w:r w:rsidRPr="00A30EB6">
              <w:rPr>
                <w:sz w:val="22"/>
                <w:szCs w:val="22"/>
              </w:rPr>
              <w:t>Дечаци</w:t>
            </w:r>
          </w:p>
        </w:tc>
        <w:tc>
          <w:tcPr>
            <w:tcW w:w="1047" w:type="dxa"/>
            <w:vMerge/>
            <w:tcBorders>
              <w:top w:val="single" w:sz="4" w:space="0" w:color="auto"/>
              <w:left w:val="single" w:sz="4" w:space="0" w:color="auto"/>
              <w:bottom w:val="single" w:sz="4" w:space="0" w:color="000000"/>
              <w:right w:val="single" w:sz="4" w:space="0" w:color="000000"/>
            </w:tcBorders>
            <w:vAlign w:val="center"/>
            <w:hideMark/>
          </w:tcPr>
          <w:p w:rsidR="00CA3E63" w:rsidRPr="00A30EB6" w:rsidRDefault="00CA3E63" w:rsidP="0042566C">
            <w:pPr>
              <w:rPr>
                <w:b/>
                <w:bCs/>
                <w:sz w:val="22"/>
                <w:szCs w:val="22"/>
              </w:rPr>
            </w:pPr>
          </w:p>
        </w:tc>
      </w:tr>
      <w:tr w:rsidR="00CA3E63" w:rsidRPr="00A30EB6" w:rsidTr="0042566C">
        <w:trPr>
          <w:trHeight w:val="600"/>
        </w:trPr>
        <w:tc>
          <w:tcPr>
            <w:tcW w:w="5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EC2E2A" w:rsidRDefault="00CA3E63" w:rsidP="0042566C">
            <w:pPr>
              <w:rPr>
                <w:sz w:val="22"/>
                <w:szCs w:val="22"/>
                <w:lang w:val="ru-RU"/>
              </w:rPr>
            </w:pPr>
            <w:r w:rsidRPr="00EC2E2A">
              <w:rPr>
                <w:sz w:val="22"/>
                <w:szCs w:val="22"/>
                <w:lang w:val="ru-RU"/>
              </w:rPr>
              <w:t>Издвајање - број деце која су издвојена из породице сама (без родитеља)</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251</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202</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453</w:t>
            </w:r>
          </w:p>
        </w:tc>
      </w:tr>
      <w:tr w:rsidR="00CA3E63" w:rsidRPr="00A30EB6" w:rsidTr="0042566C">
        <w:trPr>
          <w:trHeight w:val="600"/>
        </w:trPr>
        <w:tc>
          <w:tcPr>
            <w:tcW w:w="5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EC2E2A" w:rsidRDefault="00CA3E63" w:rsidP="0042566C">
            <w:pPr>
              <w:rPr>
                <w:sz w:val="22"/>
                <w:szCs w:val="22"/>
                <w:lang w:val="ru-RU"/>
              </w:rPr>
            </w:pPr>
            <w:r w:rsidRPr="00EC2E2A">
              <w:rPr>
                <w:sz w:val="22"/>
                <w:szCs w:val="22"/>
                <w:lang w:val="ru-RU"/>
              </w:rPr>
              <w:t>Издвајање - број деце која су из породице издвојена заједно са ненасилним родитељем</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235</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235</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470</w:t>
            </w:r>
          </w:p>
        </w:tc>
      </w:tr>
      <w:tr w:rsidR="00CA3E63" w:rsidRPr="00A30EB6" w:rsidTr="0042566C">
        <w:trPr>
          <w:trHeight w:val="255"/>
        </w:trPr>
        <w:tc>
          <w:tcPr>
            <w:tcW w:w="5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A30EB6" w:rsidRDefault="00CA3E63" w:rsidP="0042566C">
            <w:pPr>
              <w:rPr>
                <w:sz w:val="22"/>
                <w:szCs w:val="22"/>
              </w:rPr>
            </w:pPr>
            <w:r w:rsidRPr="00A30EB6">
              <w:rPr>
                <w:sz w:val="22"/>
                <w:szCs w:val="22"/>
              </w:rPr>
              <w:t>Покретање поступака пред судом</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259</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223</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482</w:t>
            </w:r>
          </w:p>
        </w:tc>
      </w:tr>
      <w:tr w:rsidR="00CA3E63" w:rsidRPr="00A30EB6" w:rsidTr="0042566C">
        <w:trPr>
          <w:trHeight w:val="615"/>
        </w:trPr>
        <w:tc>
          <w:tcPr>
            <w:tcW w:w="53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3E63" w:rsidRPr="00EC2E2A" w:rsidRDefault="00CA3E63" w:rsidP="0042566C">
            <w:pPr>
              <w:rPr>
                <w:sz w:val="22"/>
                <w:szCs w:val="22"/>
                <w:lang w:val="ru-RU"/>
              </w:rPr>
            </w:pPr>
            <w:r w:rsidRPr="00EC2E2A">
              <w:rPr>
                <w:sz w:val="22"/>
                <w:szCs w:val="22"/>
                <w:lang w:val="ru-RU"/>
              </w:rPr>
              <w:t>Пружање материјалне, правне или стручно саветодавне подршке и помоћи детету у ЦСР</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2575</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2426</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5001</w:t>
            </w:r>
          </w:p>
        </w:tc>
      </w:tr>
      <w:tr w:rsidR="00CA3E63" w:rsidRPr="00A30EB6" w:rsidTr="0042566C">
        <w:trPr>
          <w:trHeight w:val="600"/>
        </w:trPr>
        <w:tc>
          <w:tcPr>
            <w:tcW w:w="53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3E63" w:rsidRPr="00EC2E2A" w:rsidRDefault="00CA3E63" w:rsidP="0042566C">
            <w:pPr>
              <w:rPr>
                <w:sz w:val="22"/>
                <w:szCs w:val="22"/>
                <w:lang w:val="ru-RU"/>
              </w:rPr>
            </w:pPr>
            <w:r w:rsidRPr="00EC2E2A">
              <w:rPr>
                <w:sz w:val="22"/>
                <w:szCs w:val="22"/>
                <w:lang w:val="ru-RU"/>
              </w:rPr>
              <w:t xml:space="preserve">Упућивање детета на услуге других одговарајућих установа </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894</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770</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1664</w:t>
            </w:r>
          </w:p>
        </w:tc>
      </w:tr>
      <w:tr w:rsidR="00CA3E63" w:rsidRPr="00A30EB6" w:rsidTr="0042566C">
        <w:trPr>
          <w:trHeight w:val="600"/>
        </w:trPr>
        <w:tc>
          <w:tcPr>
            <w:tcW w:w="5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EC2E2A" w:rsidRDefault="00CA3E63" w:rsidP="0042566C">
            <w:pPr>
              <w:rPr>
                <w:sz w:val="22"/>
                <w:szCs w:val="22"/>
                <w:lang w:val="ru-RU"/>
              </w:rPr>
            </w:pPr>
            <w:r w:rsidRPr="00EC2E2A">
              <w:rPr>
                <w:sz w:val="22"/>
                <w:szCs w:val="22"/>
                <w:lang w:val="ru-RU"/>
              </w:rPr>
              <w:t xml:space="preserve">Упозоравање родитеља на недостатке у вршењу родитељског права - корективни надзор </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218</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204</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422</w:t>
            </w:r>
          </w:p>
        </w:tc>
      </w:tr>
      <w:tr w:rsidR="00CA3E63" w:rsidRPr="00A30EB6" w:rsidTr="0042566C">
        <w:trPr>
          <w:trHeight w:val="255"/>
        </w:trPr>
        <w:tc>
          <w:tcPr>
            <w:tcW w:w="5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A30EB6" w:rsidRDefault="00CA3E63" w:rsidP="0042566C">
            <w:pPr>
              <w:rPr>
                <w:sz w:val="22"/>
                <w:szCs w:val="22"/>
              </w:rPr>
            </w:pPr>
            <w:r w:rsidRPr="00A30EB6">
              <w:rPr>
                <w:sz w:val="22"/>
                <w:szCs w:val="22"/>
              </w:rPr>
              <w:t>Нешто друго</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362</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400</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A30EB6" w:rsidRDefault="00CA3E63" w:rsidP="0042566C">
            <w:pPr>
              <w:jc w:val="center"/>
              <w:rPr>
                <w:sz w:val="22"/>
                <w:szCs w:val="22"/>
              </w:rPr>
            </w:pPr>
            <w:r w:rsidRPr="00A30EB6">
              <w:rPr>
                <w:sz w:val="22"/>
                <w:szCs w:val="22"/>
              </w:rPr>
              <w:t>762</w:t>
            </w:r>
          </w:p>
        </w:tc>
      </w:tr>
      <w:tr w:rsidR="00CA3E63" w:rsidRPr="00A30EB6" w:rsidTr="0042566C">
        <w:trPr>
          <w:trHeight w:val="255"/>
        </w:trPr>
        <w:tc>
          <w:tcPr>
            <w:tcW w:w="5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3E63" w:rsidRPr="00A30EB6" w:rsidRDefault="00CA3E63" w:rsidP="0042566C">
            <w:pPr>
              <w:rPr>
                <w:b/>
                <w:bCs/>
                <w:sz w:val="22"/>
                <w:szCs w:val="22"/>
              </w:rPr>
            </w:pPr>
            <w:r w:rsidRPr="00A30EB6">
              <w:rPr>
                <w:b/>
                <w:bCs/>
                <w:sz w:val="22"/>
                <w:szCs w:val="22"/>
              </w:rPr>
              <w:t>УКУПНО</w:t>
            </w:r>
          </w:p>
        </w:tc>
        <w:tc>
          <w:tcPr>
            <w:tcW w:w="1597" w:type="dxa"/>
            <w:tcBorders>
              <w:top w:val="single" w:sz="4" w:space="0" w:color="auto"/>
              <w:left w:val="nil"/>
              <w:bottom w:val="single" w:sz="4" w:space="0" w:color="auto"/>
              <w:right w:val="single" w:sz="4" w:space="0" w:color="000000"/>
            </w:tcBorders>
            <w:shd w:val="clear" w:color="000000" w:fill="FFFFFF"/>
            <w:vAlign w:val="center"/>
            <w:hideMark/>
          </w:tcPr>
          <w:p w:rsidR="00CA3E63" w:rsidRPr="002D6131" w:rsidRDefault="00CA3E63" w:rsidP="0042566C">
            <w:pPr>
              <w:jc w:val="center"/>
              <w:rPr>
                <w:b/>
                <w:sz w:val="22"/>
                <w:szCs w:val="22"/>
              </w:rPr>
            </w:pPr>
            <w:r w:rsidRPr="002D6131">
              <w:rPr>
                <w:b/>
                <w:sz w:val="22"/>
                <w:szCs w:val="22"/>
              </w:rPr>
              <w:t>4853</w:t>
            </w:r>
          </w:p>
        </w:tc>
        <w:tc>
          <w:tcPr>
            <w:tcW w:w="1571" w:type="dxa"/>
            <w:tcBorders>
              <w:top w:val="single" w:sz="4" w:space="0" w:color="auto"/>
              <w:left w:val="nil"/>
              <w:bottom w:val="single" w:sz="4" w:space="0" w:color="auto"/>
              <w:right w:val="single" w:sz="4" w:space="0" w:color="000000"/>
            </w:tcBorders>
            <w:shd w:val="clear" w:color="000000" w:fill="FFFFFF"/>
            <w:vAlign w:val="center"/>
            <w:hideMark/>
          </w:tcPr>
          <w:p w:rsidR="00CA3E63" w:rsidRPr="002D6131" w:rsidRDefault="00CA3E63" w:rsidP="0042566C">
            <w:pPr>
              <w:jc w:val="center"/>
              <w:rPr>
                <w:b/>
                <w:sz w:val="22"/>
                <w:szCs w:val="22"/>
              </w:rPr>
            </w:pPr>
            <w:r w:rsidRPr="002D6131">
              <w:rPr>
                <w:b/>
                <w:sz w:val="22"/>
                <w:szCs w:val="22"/>
              </w:rPr>
              <w:t>4477</w:t>
            </w:r>
          </w:p>
        </w:tc>
        <w:tc>
          <w:tcPr>
            <w:tcW w:w="1047" w:type="dxa"/>
            <w:tcBorders>
              <w:top w:val="single" w:sz="4" w:space="0" w:color="auto"/>
              <w:left w:val="nil"/>
              <w:bottom w:val="single" w:sz="4" w:space="0" w:color="auto"/>
              <w:right w:val="single" w:sz="4" w:space="0" w:color="000000"/>
            </w:tcBorders>
            <w:shd w:val="clear" w:color="000000" w:fill="FFFFFF"/>
            <w:vAlign w:val="center"/>
            <w:hideMark/>
          </w:tcPr>
          <w:p w:rsidR="00CA3E63" w:rsidRPr="002D6131" w:rsidRDefault="00CA3E63" w:rsidP="0042566C">
            <w:pPr>
              <w:jc w:val="center"/>
              <w:rPr>
                <w:b/>
                <w:sz w:val="22"/>
                <w:szCs w:val="22"/>
              </w:rPr>
            </w:pPr>
            <w:r w:rsidRPr="002D6131">
              <w:rPr>
                <w:b/>
                <w:sz w:val="22"/>
                <w:szCs w:val="22"/>
              </w:rPr>
              <w:t>9254</w:t>
            </w:r>
          </w:p>
        </w:tc>
      </w:tr>
    </w:tbl>
    <w:p w:rsidR="00167B8A" w:rsidRPr="00A31200" w:rsidRDefault="00167B8A" w:rsidP="004358A3">
      <w:pPr>
        <w:spacing w:before="60"/>
        <w:ind w:right="-22" w:firstLine="709"/>
        <w:jc w:val="both"/>
        <w:rPr>
          <w:rFonts w:eastAsia="Calibri"/>
          <w:lang w:val="sr-Cyrl-RS"/>
        </w:rPr>
      </w:pPr>
      <w:r>
        <w:rPr>
          <w:rFonts w:eastAsia="Calibri"/>
          <w:lang w:val="ru-RU"/>
        </w:rPr>
        <w:t>Такође, треба истаћи да у</w:t>
      </w:r>
      <w:r w:rsidRPr="00A31200">
        <w:rPr>
          <w:rFonts w:eastAsia="Calibri"/>
          <w:lang w:val="sr-Cyrl-RS"/>
        </w:rPr>
        <w:t xml:space="preserve"> Регистру акредитованих програма обуке, који води РЗСЗ, тренутно постоји 161 програм, од чега је 19 (11,80%) програма својим садржајима везано за проблематику насиља у породици. У периоду од 2014. до 2017.</w:t>
      </w:r>
      <w:r w:rsidR="000146A2">
        <w:rPr>
          <w:rFonts w:eastAsia="Calibri"/>
          <w:lang w:val="sr-Cyrl-RS"/>
        </w:rPr>
        <w:t xml:space="preserve"> </w:t>
      </w:r>
      <w:r w:rsidRPr="00A31200">
        <w:rPr>
          <w:rFonts w:eastAsia="Calibri"/>
          <w:lang w:val="sr-Cyrl-RS"/>
        </w:rPr>
        <w:t>године реализовано је укупно 96 обука по овим програмима, које је похађало укупно 1</w:t>
      </w:r>
      <w:r w:rsidR="00A619F0">
        <w:rPr>
          <w:rFonts w:eastAsia="Calibri"/>
          <w:lang w:val="sr-Cyrl-RS"/>
        </w:rPr>
        <w:t>.</w:t>
      </w:r>
      <w:r w:rsidRPr="00A31200">
        <w:rPr>
          <w:rFonts w:eastAsia="Calibri"/>
          <w:lang w:val="sr-Cyrl-RS"/>
        </w:rPr>
        <w:t xml:space="preserve">922 учесника. </w:t>
      </w:r>
    </w:p>
    <w:p w:rsidR="002D6131" w:rsidRDefault="005367CC" w:rsidP="004358A3">
      <w:pPr>
        <w:spacing w:before="60"/>
        <w:ind w:right="-22" w:firstLine="709"/>
        <w:jc w:val="both"/>
        <w:rPr>
          <w:lang w:val="ru-RU"/>
        </w:rPr>
      </w:pPr>
      <w:r w:rsidRPr="00A31200">
        <w:rPr>
          <w:lang w:val="sr-Cyrl-RS"/>
        </w:rPr>
        <w:t xml:space="preserve">У </w:t>
      </w:r>
      <w:r w:rsidR="0003595E">
        <w:rPr>
          <w:lang w:val="sr-Cyrl-RS"/>
        </w:rPr>
        <w:t>ЦСР</w:t>
      </w:r>
      <w:r w:rsidRPr="00A31200">
        <w:rPr>
          <w:lang w:val="sr-Cyrl-RS"/>
        </w:rPr>
        <w:t xml:space="preserve"> интензивирана је примена </w:t>
      </w:r>
      <w:r w:rsidRPr="00A31200">
        <w:rPr>
          <w:i/>
          <w:lang w:val="sr-Cyrl-RS"/>
        </w:rPr>
        <w:t xml:space="preserve">Посебног протокола </w:t>
      </w:r>
      <w:r w:rsidRPr="00A31200">
        <w:rPr>
          <w:bCs/>
          <w:i/>
          <w:lang w:val="sr-Cyrl-RS"/>
        </w:rPr>
        <w:t>о поступању центара за социјални рад-органа старатељства у случајевима насиља у породици и женама у партнерским односима</w:t>
      </w:r>
      <w:r w:rsidRPr="00A31200">
        <w:rPr>
          <w:bCs/>
          <w:lang w:val="sr-Cyrl-RS"/>
        </w:rPr>
        <w:t xml:space="preserve"> и </w:t>
      </w:r>
      <w:r w:rsidRPr="00A31200">
        <w:rPr>
          <w:bCs/>
          <w:lang w:val="sr-Cyrl-RS"/>
        </w:rPr>
        <w:lastRenderedPageBreak/>
        <w:t xml:space="preserve">праћење његове примене од стране </w:t>
      </w:r>
      <w:r w:rsidR="00821575">
        <w:rPr>
          <w:bCs/>
          <w:lang w:val="sr-Cyrl-RS"/>
        </w:rPr>
        <w:t>РЗСЗ</w:t>
      </w:r>
      <w:r w:rsidRPr="00A31200">
        <w:rPr>
          <w:bCs/>
          <w:lang w:val="sr-Cyrl-RS"/>
        </w:rPr>
        <w:t xml:space="preserve">. </w:t>
      </w:r>
      <w:r w:rsidRPr="00EC2E2A">
        <w:rPr>
          <w:lang w:val="ru-RU"/>
        </w:rPr>
        <w:t xml:space="preserve">Посебан Протокол дефинише улогу </w:t>
      </w:r>
      <w:r w:rsidR="0003595E">
        <w:rPr>
          <w:lang w:val="ru-RU"/>
        </w:rPr>
        <w:t xml:space="preserve">ЦСР </w:t>
      </w:r>
      <w:r w:rsidRPr="00EC2E2A">
        <w:rPr>
          <w:lang w:val="ru-RU"/>
        </w:rPr>
        <w:t xml:space="preserve">као иницијатора потписивања </w:t>
      </w:r>
      <w:r w:rsidRPr="000146A2">
        <w:rPr>
          <w:i/>
          <w:lang w:val="ru-RU"/>
        </w:rPr>
        <w:t>Споразума о сарадњи на локалном нивоу и координатора заједничких и једновремених активности у процесу заштите од насиља</w:t>
      </w:r>
      <w:r w:rsidRPr="00EC2E2A">
        <w:rPr>
          <w:lang w:val="ru-RU"/>
        </w:rPr>
        <w:t xml:space="preserve">. Процес укључује активности више различитих државних органа: полиције, правосудних, здравствених и образовних институција, као </w:t>
      </w:r>
      <w:r w:rsidR="00167B8A">
        <w:rPr>
          <w:lang w:val="ru-RU"/>
        </w:rPr>
        <w:t>и организација цивилног друштва у пословима заштите од насиља у породици</w:t>
      </w:r>
      <w:r w:rsidR="005B578B" w:rsidRPr="005B578B">
        <w:rPr>
          <w:lang w:val="ru-RU"/>
        </w:rPr>
        <w:t xml:space="preserve">. </w:t>
      </w:r>
    </w:p>
    <w:p w:rsidR="005B578B" w:rsidRDefault="002D6131" w:rsidP="004358A3">
      <w:pPr>
        <w:spacing w:before="60"/>
        <w:ind w:right="-22" w:firstLine="709"/>
        <w:jc w:val="both"/>
        <w:rPr>
          <w:lang w:val="ru-RU"/>
        </w:rPr>
      </w:pPr>
      <w:r>
        <w:rPr>
          <w:lang w:val="ru-RU"/>
        </w:rPr>
        <w:t>Мрежом ЦСР покривена је целокупна територија Републике Србије и у њима се пружају услуге психо-социјалне подршке лицима која трпе насиље (жртве насиља) и обавља стручни рад са починиоцима насиља.</w:t>
      </w:r>
      <w:r w:rsidR="001935C8">
        <w:rPr>
          <w:lang w:val="ru-RU"/>
        </w:rPr>
        <w:t xml:space="preserve"> </w:t>
      </w:r>
      <w:r>
        <w:rPr>
          <w:lang w:val="ru-RU"/>
        </w:rPr>
        <w:t xml:space="preserve">У срединама у којима живи становништво националних мањина информације о наведеним услугама подршке се могу добити на језицима тих мањина. Поред наведеног, у ЦСР редовно се спроводи услуга саветовања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 Према </w:t>
      </w:r>
      <w:r w:rsidRPr="002D6131">
        <w:rPr>
          <w:i/>
          <w:lang w:val="ru-RU"/>
        </w:rPr>
        <w:t>Правилнику о стручним пословима у социјалној заштити</w:t>
      </w:r>
      <w:r>
        <w:rPr>
          <w:lang w:val="ru-RU"/>
        </w:rPr>
        <w:t>, специјализовани послови социјалне заштите обухватају</w:t>
      </w:r>
      <w:r w:rsidR="001935C8">
        <w:rPr>
          <w:lang w:val="ru-RU"/>
        </w:rPr>
        <w:t xml:space="preserve"> индивидуално и групно саветовање и различите терапијске приступе од значаја за социјалну заштиту, медијацију и др.</w:t>
      </w:r>
    </w:p>
    <w:p w:rsidR="00A31200" w:rsidRPr="00A31200" w:rsidRDefault="00EA41C1" w:rsidP="004358A3">
      <w:pPr>
        <w:spacing w:before="60"/>
        <w:ind w:right="-22" w:firstLine="709"/>
        <w:jc w:val="both"/>
        <w:rPr>
          <w:rFonts w:eastAsia="Calibri"/>
          <w:bCs/>
          <w:lang w:val="sr-Cyrl-RS"/>
        </w:rPr>
      </w:pPr>
      <w:r w:rsidRPr="00EC2E2A">
        <w:rPr>
          <w:lang w:val="ru-RU"/>
        </w:rPr>
        <w:t>Када је реч о пословима заштите од насиља,</w:t>
      </w:r>
      <w:r w:rsidRPr="00A31200">
        <w:rPr>
          <w:lang w:val="sr-Cyrl-RS"/>
        </w:rPr>
        <w:t xml:space="preserve"> центар </w:t>
      </w:r>
      <w:r w:rsidRPr="00EC2E2A">
        <w:rPr>
          <w:lang w:val="ru-RU"/>
        </w:rPr>
        <w:t>својим корисницима пружа стручну помоћ и заштиту, покреће поступке пред судом, даје саветодавну под</w:t>
      </w:r>
      <w:r w:rsidRPr="00A31200">
        <w:rPr>
          <w:lang w:val="sr-Cyrl-RS"/>
        </w:rPr>
        <w:t>р</w:t>
      </w:r>
      <w:r w:rsidRPr="00EC2E2A">
        <w:rPr>
          <w:lang w:val="ru-RU"/>
        </w:rPr>
        <w:t>шку, материјалну и правну помоћ, и упућује на коришћење услуга које пружају друге установе. Орган старатељства дужан је да води евиденцију и документацију о лицима према којима је насиље извршено, као и онима против којих је одређена мера заштите од насиља. Ц</w:t>
      </w:r>
      <w:r>
        <w:rPr>
          <w:lang w:val="ru-RU"/>
        </w:rPr>
        <w:t>СР</w:t>
      </w:r>
      <w:r w:rsidRPr="00EC2E2A">
        <w:rPr>
          <w:lang w:val="ru-RU"/>
        </w:rPr>
        <w:t xml:space="preserve"> као Орган старатељства, такође, има задатак да пружа помоћ суду у прибављању потребних доказа у случајевима насиља, и да изнесе своје мишљење о сврсисходности поступка за заштиту </w:t>
      </w:r>
      <w:r>
        <w:rPr>
          <w:lang w:val="ru-RU"/>
        </w:rPr>
        <w:t xml:space="preserve">од насиља и сврсисходности мера </w:t>
      </w:r>
      <w:r w:rsidR="00167B8A">
        <w:rPr>
          <w:lang w:val="ru-RU"/>
        </w:rPr>
        <w:t>(Табе</w:t>
      </w:r>
      <w:r>
        <w:rPr>
          <w:lang w:val="ru-RU"/>
        </w:rPr>
        <w:t>ла 11</w:t>
      </w:r>
      <w:r w:rsidR="00167B8A">
        <w:rPr>
          <w:lang w:val="ru-RU"/>
        </w:rPr>
        <w:t>).</w:t>
      </w:r>
    </w:p>
    <w:p w:rsidR="00B83F47" w:rsidRDefault="00B83F47" w:rsidP="00B83F47">
      <w:pPr>
        <w:pStyle w:val="BodyText2"/>
        <w:ind w:firstLine="720"/>
        <w:jc w:val="center"/>
        <w:rPr>
          <w:b/>
          <w:lang w:val="sr-Cyrl-RS"/>
        </w:rPr>
      </w:pPr>
    </w:p>
    <w:p w:rsidR="009F1E67" w:rsidRPr="00EC2E2A" w:rsidRDefault="00B83F47" w:rsidP="00B83F47">
      <w:pPr>
        <w:pStyle w:val="BodyText2"/>
        <w:ind w:firstLine="720"/>
        <w:jc w:val="center"/>
        <w:rPr>
          <w:b/>
          <w:lang w:val="ru-RU"/>
        </w:rPr>
      </w:pPr>
      <w:r w:rsidRPr="004B0148">
        <w:rPr>
          <w:b/>
          <w:lang w:val="sr-Cyrl-RS"/>
        </w:rPr>
        <w:t xml:space="preserve">Табела </w:t>
      </w:r>
      <w:r w:rsidR="00EA41C1">
        <w:rPr>
          <w:b/>
          <w:lang w:val="sr-Cyrl-RS"/>
        </w:rPr>
        <w:t>11</w:t>
      </w:r>
      <w:r w:rsidRPr="004B0148">
        <w:rPr>
          <w:b/>
          <w:lang w:val="sr-Cyrl-RS"/>
        </w:rPr>
        <w:t>: Подаци Р</w:t>
      </w:r>
      <w:r>
        <w:rPr>
          <w:b/>
          <w:lang w:val="sr-Cyrl-RS"/>
        </w:rPr>
        <w:t>епубличког завода за социјалну заштиту</w:t>
      </w:r>
      <w:r w:rsidRPr="004B0148">
        <w:rPr>
          <w:b/>
          <w:lang w:val="sr-Cyrl-RS"/>
        </w:rPr>
        <w:t xml:space="preserve"> у вези послова центара за с</w:t>
      </w:r>
      <w:r>
        <w:rPr>
          <w:b/>
          <w:lang w:val="sr-Cyrl-RS"/>
        </w:rPr>
        <w:t>оција</w:t>
      </w:r>
      <w:r w:rsidRPr="004B0148">
        <w:rPr>
          <w:b/>
          <w:lang w:val="sr-Cyrl-RS"/>
        </w:rPr>
        <w:t xml:space="preserve">лни рад </w:t>
      </w:r>
      <w:r w:rsidR="009F1E67">
        <w:rPr>
          <w:b/>
          <w:lang w:val="sr-Cyrl-RS"/>
        </w:rPr>
        <w:t xml:space="preserve">према врсти мера и броју заштићених жртава </w:t>
      </w:r>
      <w:r w:rsidRPr="004B0148">
        <w:rPr>
          <w:b/>
          <w:lang w:val="sr-Cyrl-RS"/>
        </w:rPr>
        <w:t>насиља у породици</w:t>
      </w:r>
      <w:r w:rsidRPr="00EC2E2A">
        <w:rPr>
          <w:b/>
          <w:lang w:val="ru-RU"/>
        </w:rPr>
        <w:t xml:space="preserve"> </w:t>
      </w:r>
    </w:p>
    <w:p w:rsidR="00B83F47" w:rsidRPr="00005DC6" w:rsidRDefault="00B83F47" w:rsidP="00B83F47">
      <w:pPr>
        <w:pStyle w:val="BodyText2"/>
        <w:ind w:firstLine="720"/>
        <w:jc w:val="center"/>
        <w:rPr>
          <w:b/>
          <w:lang w:val="sr-Cyrl-RS"/>
        </w:rPr>
      </w:pPr>
      <w:r>
        <w:rPr>
          <w:b/>
          <w:lang w:val="en-US"/>
        </w:rPr>
        <w:t xml:space="preserve">2013-2017. </w:t>
      </w:r>
      <w:r>
        <w:rPr>
          <w:b/>
          <w:lang w:val="sr-Cyrl-RS"/>
        </w:rPr>
        <w:t>године</w:t>
      </w:r>
    </w:p>
    <w:p w:rsidR="00A81136" w:rsidRPr="00EE2BF3" w:rsidRDefault="00A81136" w:rsidP="00A81136">
      <w:pPr>
        <w:pStyle w:val="BodyText2"/>
        <w:ind w:firstLine="720"/>
        <w:jc w:val="left"/>
        <w:rPr>
          <w:lang w:val="en-US"/>
        </w:rPr>
      </w:pPr>
    </w:p>
    <w:tbl>
      <w:tblPr>
        <w:tblW w:w="10060" w:type="dxa"/>
        <w:tblLook w:val="04A0" w:firstRow="1" w:lastRow="0" w:firstColumn="1" w:lastColumn="0" w:noHBand="0" w:noVBand="1"/>
      </w:tblPr>
      <w:tblGrid>
        <w:gridCol w:w="6720"/>
        <w:gridCol w:w="3340"/>
      </w:tblGrid>
      <w:tr w:rsidR="00A81136" w:rsidRPr="006F3994" w:rsidTr="00EA41C1">
        <w:trPr>
          <w:trHeight w:val="300"/>
        </w:trPr>
        <w:tc>
          <w:tcPr>
            <w:tcW w:w="10060" w:type="dxa"/>
            <w:gridSpan w:val="2"/>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A81136" w:rsidRPr="00EC2E2A" w:rsidRDefault="00A81136" w:rsidP="00EC2E2A">
            <w:pPr>
              <w:jc w:val="center"/>
              <w:rPr>
                <w:b/>
                <w:bCs/>
                <w:sz w:val="20"/>
                <w:szCs w:val="20"/>
                <w:lang w:val="ru-RU"/>
              </w:rPr>
            </w:pPr>
            <w:r w:rsidRPr="00EC2E2A">
              <w:rPr>
                <w:b/>
                <w:bCs/>
                <w:sz w:val="20"/>
                <w:szCs w:val="20"/>
                <w:lang w:val="ru-RU"/>
              </w:rPr>
              <w:t>ПОСЛОВИ ЗАШТИТЕ ОД НАСИЉА У ПОРОДИЦИ</w:t>
            </w:r>
          </w:p>
        </w:tc>
      </w:tr>
      <w:tr w:rsidR="00A81136" w:rsidRPr="00E9280B" w:rsidTr="00EA41C1">
        <w:trPr>
          <w:trHeight w:val="705"/>
        </w:trPr>
        <w:tc>
          <w:tcPr>
            <w:tcW w:w="10060"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A81136" w:rsidRPr="00EC2E2A" w:rsidRDefault="00A81136" w:rsidP="00EC2E2A">
            <w:pPr>
              <w:jc w:val="center"/>
              <w:rPr>
                <w:b/>
                <w:bCs/>
                <w:sz w:val="20"/>
                <w:szCs w:val="20"/>
                <w:lang w:val="ru-RU"/>
              </w:rPr>
            </w:pPr>
            <w:r w:rsidRPr="00EC2E2A">
              <w:rPr>
                <w:b/>
                <w:bCs/>
                <w:sz w:val="20"/>
                <w:szCs w:val="20"/>
                <w:lang w:val="ru-RU"/>
              </w:rPr>
              <w:t>Број изречених мера заштите од насиља у породици у ЦСР по врсти мера и броју заштићених жртава,</w:t>
            </w:r>
          </w:p>
          <w:p w:rsidR="00A81136" w:rsidRPr="00A81136" w:rsidRDefault="00A81136" w:rsidP="00EC2E2A">
            <w:pPr>
              <w:jc w:val="center"/>
              <w:rPr>
                <w:b/>
                <w:bCs/>
                <w:sz w:val="20"/>
                <w:szCs w:val="20"/>
                <w:lang w:val="en-US"/>
              </w:rPr>
            </w:pPr>
            <w:r w:rsidRPr="00EC2E2A">
              <w:rPr>
                <w:b/>
                <w:bCs/>
                <w:sz w:val="20"/>
                <w:szCs w:val="20"/>
                <w:lang w:val="ru-RU"/>
              </w:rPr>
              <w:t xml:space="preserve"> </w:t>
            </w:r>
            <w:r w:rsidRPr="00A81136">
              <w:rPr>
                <w:b/>
                <w:bCs/>
                <w:sz w:val="20"/>
                <w:szCs w:val="20"/>
                <w:lang w:val="en-US"/>
              </w:rPr>
              <w:t>2013 - 2017.</w:t>
            </w:r>
          </w:p>
        </w:tc>
      </w:tr>
      <w:tr w:rsidR="00A81136" w:rsidRPr="00EA41C1"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1136" w:rsidRPr="00A81136" w:rsidRDefault="00A81136" w:rsidP="00EC2E2A">
            <w:pPr>
              <w:rPr>
                <w:b/>
                <w:bCs/>
                <w:sz w:val="20"/>
                <w:szCs w:val="20"/>
                <w:lang w:val="en-US"/>
              </w:rPr>
            </w:pPr>
            <w:r w:rsidRPr="00A81136">
              <w:rPr>
                <w:b/>
                <w:bCs/>
                <w:sz w:val="20"/>
                <w:szCs w:val="20"/>
                <w:lang w:val="en-US"/>
              </w:rPr>
              <w:t>Врста мере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EA41C1" w:rsidP="00EC2E2A">
            <w:pPr>
              <w:jc w:val="center"/>
              <w:rPr>
                <w:b/>
                <w:bCs/>
                <w:sz w:val="20"/>
                <w:szCs w:val="20"/>
                <w:lang w:val="ru-RU"/>
              </w:rPr>
            </w:pPr>
            <w:r w:rsidRPr="00EA41C1">
              <w:rPr>
                <w:b/>
                <w:bCs/>
                <w:sz w:val="20"/>
                <w:szCs w:val="20"/>
                <w:lang w:val="ru-RU"/>
              </w:rPr>
              <w:t>2013.</w:t>
            </w:r>
            <w:r w:rsidR="00A81136" w:rsidRPr="00EA41C1">
              <w:rPr>
                <w:b/>
                <w:bCs/>
                <w:sz w:val="20"/>
                <w:szCs w:val="20"/>
                <w:lang w:val="ru-RU"/>
              </w:rPr>
              <w:t xml:space="preserve"> Број изречених мера</w:t>
            </w:r>
          </w:p>
        </w:tc>
      </w:tr>
      <w:tr w:rsidR="00A81136" w:rsidRPr="00EA41C1"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исељење из породичног стана или куће без обзира на право својине/закупа непокретност</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A81136" w:rsidP="00EC2E2A">
            <w:pPr>
              <w:jc w:val="center"/>
              <w:rPr>
                <w:sz w:val="20"/>
                <w:szCs w:val="20"/>
                <w:lang w:val="ru-RU"/>
              </w:rPr>
            </w:pPr>
            <w:r w:rsidRPr="00EA41C1">
              <w:rPr>
                <w:sz w:val="20"/>
                <w:szCs w:val="20"/>
                <w:lang w:val="ru-RU"/>
              </w:rPr>
              <w:t>77</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усељење у породични стан или кућу без обзира на право својине/закупа непокретности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10</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приближавања члану породице на одређеној удаљености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310</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приступа у простор око места становања или места рада члана породице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242</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даљег узнемиравања члана породице</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407</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rPr>
                <w:b/>
                <w:bCs/>
                <w:sz w:val="20"/>
                <w:szCs w:val="20"/>
                <w:lang w:val="en-US"/>
              </w:rPr>
            </w:pPr>
            <w:r w:rsidRPr="00A81136">
              <w:rPr>
                <w:b/>
                <w:bCs/>
                <w:sz w:val="20"/>
                <w:szCs w:val="20"/>
                <w:lang w:val="en-US"/>
              </w:rPr>
              <w:t>УКУПНО</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1046</w:t>
            </w:r>
          </w:p>
        </w:tc>
      </w:tr>
      <w:tr w:rsidR="00A81136" w:rsidRPr="00EA41C1"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1136" w:rsidRPr="00A81136" w:rsidRDefault="00A81136" w:rsidP="00EC2E2A">
            <w:pPr>
              <w:rPr>
                <w:b/>
                <w:bCs/>
                <w:sz w:val="20"/>
                <w:szCs w:val="20"/>
                <w:lang w:val="en-US"/>
              </w:rPr>
            </w:pPr>
            <w:r w:rsidRPr="00A81136">
              <w:rPr>
                <w:b/>
                <w:bCs/>
                <w:sz w:val="20"/>
                <w:szCs w:val="20"/>
                <w:lang w:val="en-US"/>
              </w:rPr>
              <w:t>Врста мере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EA41C1" w:rsidP="00EC2E2A">
            <w:pPr>
              <w:jc w:val="center"/>
              <w:rPr>
                <w:b/>
                <w:bCs/>
                <w:sz w:val="20"/>
                <w:szCs w:val="20"/>
                <w:lang w:val="ru-RU"/>
              </w:rPr>
            </w:pPr>
            <w:r w:rsidRPr="00EA41C1">
              <w:rPr>
                <w:b/>
                <w:bCs/>
                <w:sz w:val="20"/>
                <w:szCs w:val="20"/>
                <w:lang w:val="ru-RU"/>
              </w:rPr>
              <w:t xml:space="preserve">2014. </w:t>
            </w:r>
            <w:r w:rsidR="00A81136" w:rsidRPr="00EA41C1">
              <w:rPr>
                <w:b/>
                <w:bCs/>
                <w:sz w:val="20"/>
                <w:szCs w:val="20"/>
                <w:lang w:val="ru-RU"/>
              </w:rPr>
              <w:t>Број изречених мера</w:t>
            </w:r>
          </w:p>
        </w:tc>
      </w:tr>
      <w:tr w:rsidR="00A81136" w:rsidRPr="00EA41C1"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исељење из породичног стана или куће без обзира на право својине/закупа непокретност</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A81136" w:rsidP="00EC2E2A">
            <w:pPr>
              <w:jc w:val="center"/>
              <w:rPr>
                <w:sz w:val="20"/>
                <w:szCs w:val="20"/>
                <w:lang w:val="ru-RU"/>
              </w:rPr>
            </w:pPr>
            <w:r w:rsidRPr="00EA41C1">
              <w:rPr>
                <w:sz w:val="20"/>
                <w:szCs w:val="20"/>
                <w:lang w:val="ru-RU"/>
              </w:rPr>
              <w:t>81</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lastRenderedPageBreak/>
              <w:t>Издавање налога за усељење у породични стан или кућу без обзира на право својине/закупа непокретности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18</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приближавања члану породице на одређеној удаљености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282</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приступа у простор око места становања или места рада члана породице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218</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даљег узнемиравања члана породице</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434</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rPr>
                <w:b/>
                <w:bCs/>
                <w:sz w:val="20"/>
                <w:szCs w:val="20"/>
                <w:lang w:val="en-US"/>
              </w:rPr>
            </w:pPr>
            <w:r w:rsidRPr="00A81136">
              <w:rPr>
                <w:b/>
                <w:bCs/>
                <w:sz w:val="20"/>
                <w:szCs w:val="20"/>
                <w:lang w:val="en-US"/>
              </w:rPr>
              <w:t>УКУПНО</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1033</w:t>
            </w:r>
          </w:p>
        </w:tc>
      </w:tr>
      <w:tr w:rsidR="00A81136" w:rsidRPr="00EA41C1"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1136" w:rsidRPr="00A81136" w:rsidRDefault="00A81136" w:rsidP="00EC2E2A">
            <w:pPr>
              <w:rPr>
                <w:b/>
                <w:bCs/>
                <w:sz w:val="20"/>
                <w:szCs w:val="20"/>
                <w:lang w:val="en-US"/>
              </w:rPr>
            </w:pPr>
            <w:r w:rsidRPr="00A81136">
              <w:rPr>
                <w:b/>
                <w:bCs/>
                <w:sz w:val="20"/>
                <w:szCs w:val="20"/>
                <w:lang w:val="en-US"/>
              </w:rPr>
              <w:t>Врста мере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EA41C1" w:rsidP="00EA41C1">
            <w:pPr>
              <w:jc w:val="center"/>
              <w:rPr>
                <w:b/>
                <w:bCs/>
                <w:sz w:val="20"/>
                <w:szCs w:val="20"/>
                <w:lang w:val="ru-RU"/>
              </w:rPr>
            </w:pPr>
            <w:r w:rsidRPr="00EA41C1">
              <w:rPr>
                <w:b/>
                <w:bCs/>
                <w:sz w:val="20"/>
                <w:szCs w:val="20"/>
                <w:lang w:val="ru-RU"/>
              </w:rPr>
              <w:t>2015.</w:t>
            </w:r>
            <w:r>
              <w:rPr>
                <w:b/>
                <w:bCs/>
                <w:sz w:val="20"/>
                <w:szCs w:val="20"/>
                <w:lang w:val="ru-RU"/>
              </w:rPr>
              <w:t xml:space="preserve"> </w:t>
            </w:r>
            <w:r w:rsidR="00A81136" w:rsidRPr="00EA41C1">
              <w:rPr>
                <w:b/>
                <w:bCs/>
                <w:sz w:val="20"/>
                <w:szCs w:val="20"/>
                <w:lang w:val="ru-RU"/>
              </w:rPr>
              <w:t>Број изречених мера</w:t>
            </w:r>
          </w:p>
        </w:tc>
      </w:tr>
      <w:tr w:rsidR="00A81136" w:rsidRPr="00EA41C1"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исељење из породичног стана или куће без обзира на право својине/закупа непокретност</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A81136" w:rsidP="00EC2E2A">
            <w:pPr>
              <w:jc w:val="center"/>
              <w:rPr>
                <w:sz w:val="20"/>
                <w:szCs w:val="20"/>
                <w:lang w:val="ru-RU"/>
              </w:rPr>
            </w:pPr>
            <w:r w:rsidRPr="00EA41C1">
              <w:rPr>
                <w:sz w:val="20"/>
                <w:szCs w:val="20"/>
                <w:lang w:val="ru-RU"/>
              </w:rPr>
              <w:t>74</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усељење у породични стан или кућу без обзира на право својине/закупа непокретности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17</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приближавања члану породице на одређеној удаљености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385</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приступа у простор око места становања или места рада члана породице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274</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даљег узнемиравања члана породице</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624</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rPr>
                <w:b/>
                <w:bCs/>
                <w:sz w:val="20"/>
                <w:szCs w:val="20"/>
                <w:lang w:val="en-US"/>
              </w:rPr>
            </w:pPr>
            <w:r w:rsidRPr="00A81136">
              <w:rPr>
                <w:b/>
                <w:bCs/>
                <w:sz w:val="20"/>
                <w:szCs w:val="20"/>
                <w:lang w:val="en-US"/>
              </w:rPr>
              <w:t>УКУПНО</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1374</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1136" w:rsidRPr="00A81136" w:rsidRDefault="00A81136" w:rsidP="00EC2E2A">
            <w:pPr>
              <w:rPr>
                <w:b/>
                <w:bCs/>
                <w:sz w:val="20"/>
                <w:szCs w:val="20"/>
                <w:lang w:val="en-US"/>
              </w:rPr>
            </w:pPr>
            <w:r w:rsidRPr="00A81136">
              <w:rPr>
                <w:b/>
                <w:bCs/>
                <w:sz w:val="20"/>
                <w:szCs w:val="20"/>
                <w:lang w:val="en-US"/>
              </w:rPr>
              <w:t>Врста мере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A41C1">
            <w:pPr>
              <w:jc w:val="center"/>
              <w:rPr>
                <w:b/>
                <w:bCs/>
                <w:sz w:val="20"/>
                <w:szCs w:val="20"/>
                <w:lang w:val="en-US"/>
              </w:rPr>
            </w:pPr>
            <w:r w:rsidRPr="00A81136">
              <w:rPr>
                <w:b/>
                <w:bCs/>
                <w:sz w:val="20"/>
                <w:szCs w:val="20"/>
                <w:lang w:val="en-US"/>
              </w:rPr>
              <w:t>2016. Број изречених мера</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исељење из породичног стана или куће без обзира на право својине/закупа непокретност</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81</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усељење у породични стан или кућу без обзира на право својине/закупа непокретности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13</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приближавања члану породице на одређеној удаљености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521</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приступа у простор око места становања или места рада члана породице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319</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даљег узнемиравања члана породице</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743</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rPr>
                <w:b/>
                <w:bCs/>
                <w:sz w:val="20"/>
                <w:szCs w:val="20"/>
                <w:lang w:val="en-US"/>
              </w:rPr>
            </w:pPr>
            <w:r w:rsidRPr="00A81136">
              <w:rPr>
                <w:b/>
                <w:bCs/>
                <w:sz w:val="20"/>
                <w:szCs w:val="20"/>
                <w:lang w:val="en-US"/>
              </w:rPr>
              <w:t>УКУПНО</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1677</w:t>
            </w:r>
          </w:p>
        </w:tc>
      </w:tr>
      <w:tr w:rsidR="00A81136" w:rsidRPr="00EA41C1"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1136" w:rsidRPr="00A81136" w:rsidRDefault="00A81136" w:rsidP="00EC2E2A">
            <w:pPr>
              <w:rPr>
                <w:b/>
                <w:bCs/>
                <w:sz w:val="20"/>
                <w:szCs w:val="20"/>
                <w:lang w:val="en-US"/>
              </w:rPr>
            </w:pPr>
            <w:r w:rsidRPr="00A81136">
              <w:rPr>
                <w:b/>
                <w:bCs/>
                <w:sz w:val="20"/>
                <w:szCs w:val="20"/>
                <w:lang w:val="en-US"/>
              </w:rPr>
              <w:t>Врста мере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EA41C1" w:rsidP="00EA41C1">
            <w:pPr>
              <w:jc w:val="center"/>
              <w:rPr>
                <w:b/>
                <w:bCs/>
                <w:sz w:val="20"/>
                <w:szCs w:val="20"/>
                <w:lang w:val="ru-RU"/>
              </w:rPr>
            </w:pPr>
            <w:r w:rsidRPr="00EA41C1">
              <w:rPr>
                <w:b/>
                <w:bCs/>
                <w:sz w:val="20"/>
                <w:szCs w:val="20"/>
                <w:lang w:val="ru-RU"/>
              </w:rPr>
              <w:t xml:space="preserve">2017. </w:t>
            </w:r>
            <w:r w:rsidR="00A81136" w:rsidRPr="00EA41C1">
              <w:rPr>
                <w:b/>
                <w:bCs/>
                <w:sz w:val="20"/>
                <w:szCs w:val="20"/>
                <w:lang w:val="ru-RU"/>
              </w:rPr>
              <w:t>Број изречених мера</w:t>
            </w:r>
          </w:p>
        </w:tc>
      </w:tr>
      <w:tr w:rsidR="00A81136" w:rsidRPr="00EA41C1"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исељење из породичног стана или куће без обзира на право својине/закупа непокретност</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A41C1" w:rsidRDefault="00A81136" w:rsidP="00EC2E2A">
            <w:pPr>
              <w:jc w:val="center"/>
              <w:rPr>
                <w:sz w:val="20"/>
                <w:szCs w:val="20"/>
                <w:lang w:val="ru-RU"/>
              </w:rPr>
            </w:pPr>
            <w:r w:rsidRPr="00EA41C1">
              <w:rPr>
                <w:sz w:val="20"/>
                <w:szCs w:val="20"/>
                <w:lang w:val="ru-RU"/>
              </w:rPr>
              <w:t>532</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Издавање налога за усељење у породични стан или кућу без обзира на право својине/закупа непокретности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20</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приближавања члану породице на одређеној удаљености</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1785</w:t>
            </w:r>
          </w:p>
        </w:tc>
      </w:tr>
      <w:tr w:rsidR="00A81136" w:rsidRPr="00E9280B" w:rsidTr="00A81136">
        <w:trPr>
          <w:trHeight w:val="6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приступа у простор око места становања или места рада члана породице</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1039</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EC2E2A" w:rsidRDefault="00A81136" w:rsidP="00EC2E2A">
            <w:pPr>
              <w:rPr>
                <w:sz w:val="20"/>
                <w:szCs w:val="20"/>
                <w:lang w:val="ru-RU"/>
              </w:rPr>
            </w:pPr>
            <w:r w:rsidRPr="00EC2E2A">
              <w:rPr>
                <w:sz w:val="20"/>
                <w:szCs w:val="20"/>
                <w:lang w:val="ru-RU"/>
              </w:rPr>
              <w:t>Забрана даљег узнемиравања члана породице</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A81136" w:rsidRDefault="00A81136" w:rsidP="00EC2E2A">
            <w:pPr>
              <w:jc w:val="center"/>
              <w:rPr>
                <w:sz w:val="20"/>
                <w:szCs w:val="20"/>
                <w:lang w:val="en-US"/>
              </w:rPr>
            </w:pPr>
            <w:r w:rsidRPr="00A81136">
              <w:rPr>
                <w:sz w:val="20"/>
                <w:szCs w:val="20"/>
                <w:lang w:val="en-US"/>
              </w:rPr>
              <w:t>1877</w:t>
            </w:r>
          </w:p>
        </w:tc>
      </w:tr>
      <w:tr w:rsidR="00A81136" w:rsidRPr="00E9280B" w:rsidTr="00A81136">
        <w:trPr>
          <w:trHeight w:val="300"/>
        </w:trPr>
        <w:tc>
          <w:tcPr>
            <w:tcW w:w="6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1136" w:rsidRPr="00A81136" w:rsidRDefault="00A81136" w:rsidP="00EC2E2A">
            <w:pPr>
              <w:rPr>
                <w:b/>
                <w:bCs/>
                <w:sz w:val="20"/>
                <w:szCs w:val="20"/>
                <w:lang w:val="en-US"/>
              </w:rPr>
            </w:pPr>
            <w:r w:rsidRPr="00A81136">
              <w:rPr>
                <w:b/>
                <w:bCs/>
                <w:sz w:val="20"/>
                <w:szCs w:val="20"/>
                <w:lang w:val="en-US"/>
              </w:rPr>
              <w:t>УКУПНО</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A81136" w:rsidRPr="002D6131" w:rsidRDefault="00A81136" w:rsidP="00EC2E2A">
            <w:pPr>
              <w:jc w:val="center"/>
              <w:rPr>
                <w:b/>
                <w:sz w:val="20"/>
                <w:szCs w:val="20"/>
                <w:lang w:val="en-US"/>
              </w:rPr>
            </w:pPr>
            <w:r w:rsidRPr="002D6131">
              <w:rPr>
                <w:b/>
                <w:sz w:val="20"/>
                <w:szCs w:val="20"/>
                <w:lang w:val="en-US"/>
              </w:rPr>
              <w:t>5253</w:t>
            </w:r>
          </w:p>
        </w:tc>
      </w:tr>
    </w:tbl>
    <w:p w:rsidR="00A81136" w:rsidRPr="00D7455F" w:rsidRDefault="00A81136" w:rsidP="00A31200">
      <w:pPr>
        <w:ind w:right="-22" w:firstLine="709"/>
        <w:jc w:val="both"/>
        <w:rPr>
          <w:spacing w:val="10"/>
          <w:sz w:val="20"/>
          <w:szCs w:val="20"/>
          <w:lang w:val="sr-Cyrl-RS"/>
        </w:rPr>
      </w:pPr>
    </w:p>
    <w:p w:rsidR="000146A2" w:rsidRPr="00A31200" w:rsidRDefault="000146A2" w:rsidP="000146A2">
      <w:pPr>
        <w:ind w:right="-22" w:firstLine="709"/>
        <w:jc w:val="both"/>
        <w:rPr>
          <w:lang w:val="sr-Cyrl-CS"/>
        </w:rPr>
      </w:pPr>
      <w:r w:rsidRPr="00A31200">
        <w:rPr>
          <w:lang w:val="sr-Cyrl-CS"/>
        </w:rPr>
        <w:t>У Републици Србији функционише значајан број тзв. сигурних кућа за жртве насиља у породици, које су организовале свој рад у невладином и државном сектору. У овим склоништима поред основних услуга које се односе на безбедност, бригу о здрављу и задовољавање егзистенцијалних потреба, обезбеђује се и п</w:t>
      </w:r>
      <w:r>
        <w:rPr>
          <w:lang w:val="sr-Cyrl-CS"/>
        </w:rPr>
        <w:t>сихосоцијална и правна  подршка,</w:t>
      </w:r>
      <w:r w:rsidRPr="00A31200">
        <w:rPr>
          <w:lang w:val="sr-Cyrl-CS"/>
        </w:rPr>
        <w:t xml:space="preserve"> као и друге услуге које се пружају у другим држав</w:t>
      </w:r>
      <w:r>
        <w:rPr>
          <w:lang w:val="sr-Cyrl-CS"/>
        </w:rPr>
        <w:t xml:space="preserve">ним системима: </w:t>
      </w:r>
      <w:r w:rsidRPr="00A31200">
        <w:rPr>
          <w:lang w:val="sr-Cyrl-CS"/>
        </w:rPr>
        <w:t>образовање, култур</w:t>
      </w:r>
      <w:r>
        <w:rPr>
          <w:lang w:val="sr-Cyrl-CS"/>
        </w:rPr>
        <w:t>а информисање, запошљавање итд.</w:t>
      </w:r>
    </w:p>
    <w:p w:rsidR="007747AB" w:rsidRDefault="001935C8" w:rsidP="004358A3">
      <w:pPr>
        <w:spacing w:before="60"/>
        <w:ind w:right="-22" w:firstLine="709"/>
        <w:jc w:val="both"/>
        <w:rPr>
          <w:bCs/>
          <w:lang w:val="sr-Cyrl-RS"/>
        </w:rPr>
      </w:pPr>
      <w:r>
        <w:rPr>
          <w:bCs/>
          <w:lang w:val="sr-Cyrl-RS"/>
        </w:rPr>
        <w:lastRenderedPageBreak/>
        <w:t>У Републици</w:t>
      </w:r>
      <w:r w:rsidR="005367CC" w:rsidRPr="00A31200">
        <w:rPr>
          <w:bCs/>
          <w:lang w:val="sr-Cyrl-RS"/>
        </w:rPr>
        <w:t xml:space="preserve"> Србији </w:t>
      </w:r>
      <w:r>
        <w:rPr>
          <w:bCs/>
          <w:lang w:val="sr-Cyrl-RS"/>
        </w:rPr>
        <w:t xml:space="preserve">тренутно </w:t>
      </w:r>
      <w:r w:rsidR="005367CC" w:rsidRPr="00A31200">
        <w:rPr>
          <w:bCs/>
          <w:lang w:val="sr-Cyrl-RS"/>
        </w:rPr>
        <w:t>има 1</w:t>
      </w:r>
      <w:r>
        <w:rPr>
          <w:bCs/>
          <w:lang w:val="sr-Cyrl-RS"/>
        </w:rPr>
        <w:t>5</w:t>
      </w:r>
      <w:r w:rsidR="005367CC" w:rsidRPr="00A31200">
        <w:rPr>
          <w:bCs/>
          <w:lang w:val="sr-Cyrl-RS"/>
        </w:rPr>
        <w:t xml:space="preserve"> сигурних кућа/прихватилишта за жене које су преживеле насиље и то 10 </w:t>
      </w:r>
      <w:r>
        <w:rPr>
          <w:bCs/>
          <w:lang w:val="sr-Cyrl-RS"/>
        </w:rPr>
        <w:t xml:space="preserve">сигурних </w:t>
      </w:r>
      <w:r w:rsidR="005367CC" w:rsidRPr="00A31200">
        <w:rPr>
          <w:bCs/>
          <w:lang w:val="sr-Cyrl-RS"/>
        </w:rPr>
        <w:t>кућа којима руководи центар за социјални рад (Нови Сад, Зрењанин, Јагодина, Сомбор, Ниш, Панчево, Лесков</w:t>
      </w:r>
      <w:r w:rsidR="007747AB">
        <w:rPr>
          <w:bCs/>
          <w:lang w:val="sr-Cyrl-RS"/>
        </w:rPr>
        <w:t xml:space="preserve">ац, Шабац, Прибој и Смедерево), </w:t>
      </w:r>
      <w:r w:rsidR="005367CC" w:rsidRPr="00A31200">
        <w:rPr>
          <w:bCs/>
          <w:lang w:val="sr-Cyrl-RS"/>
        </w:rPr>
        <w:t xml:space="preserve">2 прихватилишта за жртве насиља у породици у оквиру центара за развој локалних услуга социјалне заштите (Крагујевац и Врање), затим Прихватилиште за ургентне случајеве и СОС телефон за жене и децу жртве насиља (Власотинце) као и </w:t>
      </w:r>
      <w:r w:rsidR="00A31200">
        <w:rPr>
          <w:bCs/>
          <w:lang w:val="sr-Cyrl-RS"/>
        </w:rPr>
        <w:t>Н</w:t>
      </w:r>
      <w:r w:rsidR="00A31200" w:rsidRPr="00A31200">
        <w:rPr>
          <w:spacing w:val="10"/>
          <w:lang w:val="ru-RU"/>
        </w:rPr>
        <w:t xml:space="preserve">ационални СОС телефон </w:t>
      </w:r>
      <w:r w:rsidR="00A31200">
        <w:rPr>
          <w:spacing w:val="10"/>
          <w:lang w:val="ru-RU"/>
        </w:rPr>
        <w:t>за жене жртве насиља са</w:t>
      </w:r>
      <w:r w:rsidR="005367CC" w:rsidRPr="00A31200">
        <w:rPr>
          <w:bCs/>
          <w:lang w:val="sr-Cyrl-RS"/>
        </w:rPr>
        <w:t xml:space="preserve"> позив</w:t>
      </w:r>
      <w:r w:rsidR="00A31200">
        <w:rPr>
          <w:bCs/>
          <w:lang w:val="sr-Cyrl-RS"/>
        </w:rPr>
        <w:t>ом</w:t>
      </w:r>
      <w:r w:rsidR="005367CC" w:rsidRPr="00A31200">
        <w:rPr>
          <w:bCs/>
          <w:lang w:val="sr-Cyrl-RS"/>
        </w:rPr>
        <w:t xml:space="preserve"> на број 0800-011-011</w:t>
      </w:r>
      <w:r w:rsidR="000146A2">
        <w:rPr>
          <w:bCs/>
          <w:lang w:val="sr-Cyrl-RS"/>
        </w:rPr>
        <w:t>, који је</w:t>
      </w:r>
      <w:r w:rsidR="005367CC" w:rsidRPr="00A31200">
        <w:rPr>
          <w:bCs/>
          <w:lang w:val="sr-Cyrl-RS"/>
        </w:rPr>
        <w:t xml:space="preserve"> бесплатан. Већина телефона сигурних кућа </w:t>
      </w:r>
      <w:r w:rsidR="00A31200">
        <w:rPr>
          <w:bCs/>
          <w:lang w:val="sr-Cyrl-RS"/>
        </w:rPr>
        <w:t xml:space="preserve">и СОС телефона </w:t>
      </w:r>
      <w:r w:rsidR="005367CC" w:rsidRPr="00A31200">
        <w:rPr>
          <w:bCs/>
          <w:lang w:val="sr-Cyrl-RS"/>
        </w:rPr>
        <w:t>доступна је 24 сата седам дана у недељи.</w:t>
      </w:r>
      <w:r w:rsidR="007747AB">
        <w:rPr>
          <w:bCs/>
          <w:lang w:val="sr-Cyrl-RS"/>
        </w:rPr>
        <w:t xml:space="preserve"> </w:t>
      </w:r>
    </w:p>
    <w:p w:rsidR="005367CC" w:rsidRPr="00A31200" w:rsidRDefault="007747AB" w:rsidP="004358A3">
      <w:pPr>
        <w:spacing w:before="60"/>
        <w:ind w:right="-22" w:firstLine="709"/>
        <w:jc w:val="both"/>
        <w:rPr>
          <w:bCs/>
          <w:lang w:val="sr-Cyrl-RS"/>
        </w:rPr>
      </w:pPr>
      <w:r>
        <w:rPr>
          <w:bCs/>
          <w:lang w:val="sr-Cyrl-RS"/>
        </w:rPr>
        <w:t>У АП Војводина је кроз пројектну подршку УН акцијама елиминисања насиља над женама, основано седам пилот центара за жртве сексуалног насиља.</w:t>
      </w:r>
    </w:p>
    <w:p w:rsidR="005367CC" w:rsidRPr="00A31200" w:rsidRDefault="000146A2" w:rsidP="004358A3">
      <w:pPr>
        <w:spacing w:before="60"/>
        <w:ind w:right="-22" w:firstLine="709"/>
        <w:jc w:val="both"/>
        <w:rPr>
          <w:rFonts w:eastAsia="Calibri"/>
          <w:lang w:val="sr-Cyrl-CS"/>
        </w:rPr>
      </w:pPr>
      <w:r>
        <w:rPr>
          <w:rFonts w:eastAsia="Calibri"/>
          <w:lang w:val="sr-Cyrl-RS"/>
        </w:rPr>
        <w:t>Крајем 2015. године</w:t>
      </w:r>
      <w:r w:rsidR="005367CC" w:rsidRPr="00A31200">
        <w:rPr>
          <w:rFonts w:eastAsia="Calibri"/>
          <w:lang w:val="sr-Cyrl-RS"/>
        </w:rPr>
        <w:t xml:space="preserve"> Министарство је донело </w:t>
      </w:r>
      <w:r w:rsidR="005367CC" w:rsidRPr="00A31200">
        <w:rPr>
          <w:rFonts w:eastAsia="Calibri"/>
          <w:i/>
          <w:lang w:val="sr-Cyrl-RS"/>
        </w:rPr>
        <w:t>Правилник о ближим условима и стандардима за пружање услуге СОС телефона за жене са искуством насиља</w:t>
      </w:r>
      <w:r w:rsidR="005367CC" w:rsidRPr="00EC2E2A">
        <w:rPr>
          <w:rFonts w:eastAsia="Calibri"/>
          <w:i/>
          <w:lang w:val="ru-RU"/>
        </w:rPr>
        <w:t xml:space="preserve"> </w:t>
      </w:r>
      <w:r w:rsidR="005367CC" w:rsidRPr="00A31200">
        <w:rPr>
          <w:rFonts w:eastAsia="Calibri"/>
          <w:lang w:val="sr-Cyrl-RS"/>
        </w:rPr>
        <w:t xml:space="preserve">у складу са чланом 24 </w:t>
      </w:r>
      <w:r w:rsidRPr="00494103">
        <w:rPr>
          <w:i/>
          <w:lang w:val="x-none"/>
        </w:rPr>
        <w:t>Конвенциј</w:t>
      </w:r>
      <w:r w:rsidR="00ED5881">
        <w:rPr>
          <w:i/>
          <w:lang w:val="sr-Cyrl-RS"/>
        </w:rPr>
        <w:t>е</w:t>
      </w:r>
      <w:r w:rsidRPr="00494103">
        <w:rPr>
          <w:i/>
          <w:lang w:val="x-none"/>
        </w:rPr>
        <w:t xml:space="preserve"> Савета Европе о спречавању и борби </w:t>
      </w:r>
      <w:r w:rsidRPr="00494103">
        <w:rPr>
          <w:i/>
          <w:lang w:val="sr-Cyrl-RS"/>
        </w:rPr>
        <w:t>п</w:t>
      </w:r>
      <w:r w:rsidRPr="00494103">
        <w:rPr>
          <w:i/>
          <w:lang w:val="x-none"/>
        </w:rPr>
        <w:t>ротив насиља над женама и насиља у породици из 2011. године</w:t>
      </w:r>
      <w:r w:rsidRPr="00494103">
        <w:rPr>
          <w:lang w:val="x-none"/>
        </w:rPr>
        <w:t xml:space="preserve"> (</w:t>
      </w:r>
      <w:r>
        <w:rPr>
          <w:lang w:val="sr-Cyrl-RS"/>
        </w:rPr>
        <w:t>тзв.</w:t>
      </w:r>
      <w:r w:rsidRPr="00494103">
        <w:rPr>
          <w:lang w:val="x-none"/>
        </w:rPr>
        <w:t xml:space="preserve"> Истанбулска конвенција)</w:t>
      </w:r>
      <w:r w:rsidR="005367CC" w:rsidRPr="00A31200">
        <w:rPr>
          <w:rFonts w:eastAsia="Calibri"/>
          <w:lang w:val="sr-Cyrl-RS"/>
        </w:rPr>
        <w:t xml:space="preserve">. </w:t>
      </w:r>
      <w:r w:rsidR="005367CC" w:rsidRPr="00EC2E2A">
        <w:rPr>
          <w:rFonts w:eastAsia="Calibri"/>
          <w:lang w:val="ru-RU"/>
        </w:rPr>
        <w:t xml:space="preserve">Овим правилником </w:t>
      </w:r>
      <w:r w:rsidR="005367CC" w:rsidRPr="00A31200">
        <w:rPr>
          <w:rFonts w:eastAsia="Calibri"/>
          <w:lang w:val="sr-Cyrl-CS"/>
        </w:rPr>
        <w:t>прописани су ближи услови и стандарди за услугу</w:t>
      </w:r>
      <w:r w:rsidR="005367CC" w:rsidRPr="00EC2E2A">
        <w:rPr>
          <w:rFonts w:eastAsia="Calibri"/>
          <w:lang w:val="ru-RU"/>
        </w:rPr>
        <w:t xml:space="preserve"> СОС телефона </w:t>
      </w:r>
      <w:r w:rsidR="005367CC" w:rsidRPr="00A31200">
        <w:rPr>
          <w:rFonts w:eastAsia="Calibri"/>
          <w:lang w:val="pl-PL"/>
        </w:rPr>
        <w:t xml:space="preserve">за </w:t>
      </w:r>
      <w:r w:rsidR="005367CC" w:rsidRPr="00EC2E2A">
        <w:rPr>
          <w:rFonts w:eastAsia="Calibri"/>
          <w:lang w:val="ru-RU"/>
        </w:rPr>
        <w:t xml:space="preserve">девојке и </w:t>
      </w:r>
      <w:r w:rsidR="005367CC" w:rsidRPr="00A31200">
        <w:rPr>
          <w:rFonts w:eastAsia="Calibri"/>
          <w:lang w:val="sr-Latn-CS"/>
        </w:rPr>
        <w:t xml:space="preserve">жене са искуством родно </w:t>
      </w:r>
      <w:r w:rsidR="005367CC" w:rsidRPr="00EC2E2A">
        <w:rPr>
          <w:rFonts w:eastAsia="Calibri"/>
          <w:lang w:val="ru-RU"/>
        </w:rPr>
        <w:t xml:space="preserve">заснованог </w:t>
      </w:r>
      <w:r w:rsidR="005367CC" w:rsidRPr="00A31200">
        <w:rPr>
          <w:rFonts w:eastAsia="Calibri"/>
          <w:lang w:val="pl-PL"/>
        </w:rPr>
        <w:t>насиља</w:t>
      </w:r>
      <w:r w:rsidR="005367CC" w:rsidRPr="00A31200">
        <w:rPr>
          <w:rFonts w:eastAsia="Calibri"/>
          <w:lang w:val="sr-Cyrl-CS"/>
        </w:rPr>
        <w:t xml:space="preserve"> </w:t>
      </w:r>
      <w:r w:rsidR="005367CC" w:rsidRPr="00A31200">
        <w:rPr>
          <w:rFonts w:eastAsia="Calibri"/>
          <w:lang w:val="pl-PL"/>
        </w:rPr>
        <w:t>из групе саветодавно-т</w:t>
      </w:r>
      <w:r w:rsidR="005367CC" w:rsidRPr="00A31200">
        <w:rPr>
          <w:rFonts w:eastAsia="Calibri"/>
          <w:lang w:val="sr-Cyrl-RS"/>
        </w:rPr>
        <w:t>ера</w:t>
      </w:r>
      <w:r w:rsidR="005367CC" w:rsidRPr="00A31200">
        <w:rPr>
          <w:rFonts w:eastAsia="Calibri"/>
          <w:lang w:val="pl-PL"/>
        </w:rPr>
        <w:t xml:space="preserve">пијских и социјално-едукативних услуга </w:t>
      </w:r>
      <w:r w:rsidR="005367CC" w:rsidRPr="00A31200">
        <w:rPr>
          <w:rFonts w:eastAsia="Calibri"/>
          <w:lang w:val="sr-Cyrl-CS"/>
        </w:rPr>
        <w:t>прописаних чланом 46.</w:t>
      </w:r>
      <w:r w:rsidR="005367CC" w:rsidRPr="00A31200">
        <w:rPr>
          <w:rFonts w:eastAsia="Calibri"/>
          <w:lang w:val="pl-PL"/>
        </w:rPr>
        <w:t xml:space="preserve"> </w:t>
      </w:r>
      <w:r w:rsidR="005367CC" w:rsidRPr="00A31200">
        <w:rPr>
          <w:rFonts w:eastAsia="Calibri"/>
          <w:i/>
          <w:lang w:val="pl-PL"/>
        </w:rPr>
        <w:t>Закон</w:t>
      </w:r>
      <w:r w:rsidR="005367CC" w:rsidRPr="00A31200">
        <w:rPr>
          <w:rFonts w:eastAsia="Calibri"/>
          <w:i/>
          <w:lang w:val="sr-Cyrl-CS"/>
        </w:rPr>
        <w:t>а</w:t>
      </w:r>
      <w:r w:rsidR="005367CC" w:rsidRPr="00A31200">
        <w:rPr>
          <w:rFonts w:eastAsia="Calibri"/>
          <w:i/>
          <w:lang w:val="pl-PL"/>
        </w:rPr>
        <w:t xml:space="preserve"> о социјалној заштити</w:t>
      </w:r>
      <w:r w:rsidR="005367CC" w:rsidRPr="00A31200">
        <w:rPr>
          <w:rFonts w:eastAsia="Calibri"/>
          <w:i/>
          <w:lang w:val="sr-Cyrl-CS"/>
        </w:rPr>
        <w:t>,</w:t>
      </w:r>
      <w:r w:rsidR="005367CC" w:rsidRPr="00A31200">
        <w:rPr>
          <w:rFonts w:eastAsia="Calibri"/>
          <w:lang w:val="sr-Cyrl-CS"/>
        </w:rPr>
        <w:t xml:space="preserve"> као вид помоћи </w:t>
      </w:r>
      <w:r w:rsidR="005367CC" w:rsidRPr="00EC2E2A">
        <w:rPr>
          <w:rFonts w:eastAsia="Calibri"/>
          <w:lang w:val="ru-RU"/>
        </w:rPr>
        <w:t>девојк</w:t>
      </w:r>
      <w:r w:rsidR="005367CC" w:rsidRPr="00A31200">
        <w:rPr>
          <w:rFonts w:eastAsia="Calibri"/>
          <w:lang w:val="sr-Cyrl-CS"/>
        </w:rPr>
        <w:t>ама</w:t>
      </w:r>
      <w:r w:rsidR="005367CC" w:rsidRPr="00EC2E2A">
        <w:rPr>
          <w:rFonts w:eastAsia="Calibri"/>
          <w:lang w:val="ru-RU"/>
        </w:rPr>
        <w:t xml:space="preserve"> и </w:t>
      </w:r>
      <w:r w:rsidR="005367CC" w:rsidRPr="00A31200">
        <w:rPr>
          <w:rFonts w:eastAsia="Calibri"/>
          <w:lang w:val="sr-Latn-CS"/>
        </w:rPr>
        <w:t>жен</w:t>
      </w:r>
      <w:r w:rsidR="005367CC" w:rsidRPr="00A31200">
        <w:rPr>
          <w:rFonts w:eastAsia="Calibri"/>
          <w:lang w:val="sr-Cyrl-CS"/>
        </w:rPr>
        <w:t>ама</w:t>
      </w:r>
      <w:r w:rsidR="005367CC" w:rsidRPr="00A31200">
        <w:rPr>
          <w:rFonts w:eastAsia="Calibri"/>
          <w:lang w:val="sr-Latn-CS"/>
        </w:rPr>
        <w:t xml:space="preserve"> са искуством родно </w:t>
      </w:r>
      <w:r w:rsidR="005367CC" w:rsidRPr="00EC2E2A">
        <w:rPr>
          <w:rFonts w:eastAsia="Calibri"/>
          <w:lang w:val="ru-RU"/>
        </w:rPr>
        <w:t xml:space="preserve">заснованог </w:t>
      </w:r>
      <w:r w:rsidR="005367CC" w:rsidRPr="00A31200">
        <w:rPr>
          <w:rFonts w:eastAsia="Calibri"/>
          <w:lang w:val="pl-PL"/>
        </w:rPr>
        <w:t>насиља</w:t>
      </w:r>
      <w:r w:rsidR="005367CC" w:rsidRPr="00A31200">
        <w:rPr>
          <w:rFonts w:eastAsia="Calibri"/>
          <w:lang w:val="sr-Cyrl-CS"/>
        </w:rPr>
        <w:t xml:space="preserve"> које су у кризи ради превазилажења кризних ситуација и стицања вештина за самосталан и продуктиван живот у друштву. Након тога, </w:t>
      </w:r>
      <w:r w:rsidR="00A31200" w:rsidRPr="00A31200">
        <w:rPr>
          <w:rFonts w:eastAsia="Calibri"/>
          <w:lang w:val="sr-Cyrl-CS"/>
        </w:rPr>
        <w:t>28. децембра</w:t>
      </w:r>
      <w:r w:rsidR="005367CC" w:rsidRPr="00A31200">
        <w:rPr>
          <w:rFonts w:eastAsia="Calibri"/>
          <w:lang w:val="sr-Cyrl-CS"/>
        </w:rPr>
        <w:t xml:space="preserve"> 2018. године је успостављена Национална СОС телефонска линија за</w:t>
      </w:r>
      <w:r w:rsidR="00A31200">
        <w:rPr>
          <w:rFonts w:eastAsia="Calibri"/>
          <w:lang w:val="sr-Cyrl-CS"/>
        </w:rPr>
        <w:t xml:space="preserve"> жене жртве насиља</w:t>
      </w:r>
      <w:r w:rsidR="00167B8A">
        <w:rPr>
          <w:rFonts w:eastAsia="Calibri"/>
          <w:lang w:val="sr-Cyrl-CS"/>
        </w:rPr>
        <w:t>,</w:t>
      </w:r>
      <w:r w:rsidR="00A31200">
        <w:rPr>
          <w:rFonts w:eastAsia="Calibri"/>
          <w:lang w:val="sr-Cyrl-CS"/>
        </w:rPr>
        <w:t xml:space="preserve"> за</w:t>
      </w:r>
      <w:r w:rsidR="005367CC" w:rsidRPr="00A31200">
        <w:rPr>
          <w:rFonts w:eastAsia="Calibri"/>
          <w:lang w:val="sr-Cyrl-CS"/>
        </w:rPr>
        <w:t xml:space="preserve"> чији је рад у буџету </w:t>
      </w:r>
      <w:r w:rsidR="00A31200">
        <w:rPr>
          <w:rFonts w:eastAsia="Calibri"/>
          <w:lang w:val="sr-Cyrl-CS"/>
        </w:rPr>
        <w:t xml:space="preserve">за 2019. годину </w:t>
      </w:r>
      <w:r w:rsidR="005367CC" w:rsidRPr="00A31200">
        <w:rPr>
          <w:rFonts w:eastAsia="Calibri"/>
          <w:lang w:val="sr-Cyrl-CS"/>
        </w:rPr>
        <w:t>опредељно 30.000.000,00 (тридесет милиона) динара.</w:t>
      </w:r>
    </w:p>
    <w:p w:rsidR="005367CC" w:rsidRPr="00A31200" w:rsidRDefault="00167B8A" w:rsidP="004358A3">
      <w:pPr>
        <w:spacing w:before="60"/>
        <w:ind w:right="-22" w:firstLine="709"/>
        <w:jc w:val="both"/>
        <w:rPr>
          <w:rFonts w:eastAsia="Calibri"/>
          <w:lang w:val="sr-Cyrl-CS"/>
        </w:rPr>
      </w:pPr>
      <w:r>
        <w:rPr>
          <w:rFonts w:eastAsia="Calibri"/>
          <w:lang w:val="sr-Cyrl-CS"/>
        </w:rPr>
        <w:t xml:space="preserve">Ресорно </w:t>
      </w:r>
      <w:r w:rsidR="005367CC" w:rsidRPr="00A31200">
        <w:rPr>
          <w:rFonts w:eastAsia="Calibri"/>
          <w:lang w:val="sr-Cyrl-CS"/>
        </w:rPr>
        <w:t xml:space="preserve">Министарство је у септембру месецу 2017. године покренуло поступак за измене и допуне </w:t>
      </w:r>
      <w:r w:rsidR="005367CC" w:rsidRPr="00ED5881">
        <w:rPr>
          <w:rFonts w:eastAsia="Calibri"/>
          <w:i/>
          <w:lang w:val="sr-Cyrl-CS"/>
        </w:rPr>
        <w:t>Породичног закона</w:t>
      </w:r>
      <w:r w:rsidR="005367CC" w:rsidRPr="00A31200">
        <w:rPr>
          <w:rFonts w:eastAsia="Calibri"/>
          <w:lang w:val="sr-Cyrl-CS"/>
        </w:rPr>
        <w:t xml:space="preserve"> и сачинило радну верзију измена и допуна у којој су предвиђене одређене измене и у области насиља у породици и то посебно увођење нове мере грађанскоправне одговорности за починиоца насиља и нове мере које обезбеђују целовитије и адекватно праћење извршења изречених мера за заштиту од насиља у породици.</w:t>
      </w:r>
    </w:p>
    <w:p w:rsidR="00021AC9" w:rsidRDefault="00021AC9" w:rsidP="004358A3">
      <w:pPr>
        <w:pStyle w:val="BodyText2"/>
        <w:spacing w:before="60"/>
        <w:ind w:firstLine="709"/>
        <w:rPr>
          <w:lang w:val="sr-Cyrl-RS"/>
        </w:rPr>
      </w:pPr>
      <w:r>
        <w:rPr>
          <w:lang w:val="sr-Cyrl-RS"/>
        </w:rPr>
        <w:t>Покрајински секратаријат за</w:t>
      </w:r>
      <w:r w:rsidRPr="00344571">
        <w:rPr>
          <w:lang w:val="sr-Cyrl-RS"/>
        </w:rPr>
        <w:t xml:space="preserve"> социјалну политику, демографију и равноправност</w:t>
      </w:r>
      <w:r>
        <w:rPr>
          <w:lang w:val="sr-Cyrl-RS"/>
        </w:rPr>
        <w:t xml:space="preserve">, доставио је извештај у којем се </w:t>
      </w:r>
      <w:r w:rsidRPr="00026514">
        <w:rPr>
          <w:lang w:val="sr-Cyrl-RS"/>
        </w:rPr>
        <w:t xml:space="preserve">наводи да је Скупштина Аутономне покрајине Војводине донела одлуку о </w:t>
      </w:r>
      <w:r w:rsidRPr="00B458D9">
        <w:rPr>
          <w:i/>
          <w:lang w:val="sr-Cyrl-RS"/>
        </w:rPr>
        <w:t>Програму за заштиту жена од насиља у породици и партнерским односима и других облика родно заснованог насиља у АП Војводина за период од 2015. до 2020. године</w:t>
      </w:r>
      <w:r w:rsidR="0042566C">
        <w:rPr>
          <w:lang w:val="sr-Cyrl-RS"/>
        </w:rPr>
        <w:t>.</w:t>
      </w:r>
    </w:p>
    <w:p w:rsidR="00021AC9" w:rsidRPr="00026514" w:rsidRDefault="00021AC9" w:rsidP="004358A3">
      <w:pPr>
        <w:pStyle w:val="BodyText2"/>
        <w:spacing w:before="60"/>
        <w:ind w:firstLine="720"/>
        <w:rPr>
          <w:lang w:val="sr-Cyrl-RS"/>
        </w:rPr>
      </w:pPr>
      <w:r w:rsidRPr="00026514">
        <w:rPr>
          <w:lang w:val="sr-Cyrl-RS"/>
        </w:rPr>
        <w:t>У складу са мером из Програма за заштиту жена од насиља у породици и партнерским односима и других облика родно заснованог насиља у АП Војводини за период од 2015.до 2020. године</w:t>
      </w:r>
      <w:r>
        <w:rPr>
          <w:lang w:val="sr-Cyrl-RS"/>
        </w:rPr>
        <w:t>, треба истаћи да</w:t>
      </w:r>
      <w:r w:rsidRPr="00026514">
        <w:rPr>
          <w:lang w:val="sr-Cyrl-RS"/>
        </w:rPr>
        <w:t xml:space="preserve"> је</w:t>
      </w:r>
      <w:r>
        <w:rPr>
          <w:lang w:val="sr-Cyrl-RS"/>
        </w:rPr>
        <w:t xml:space="preserve"> тадашњи</w:t>
      </w:r>
      <w:r w:rsidRPr="00026514">
        <w:rPr>
          <w:lang w:val="sr-Cyrl-RS"/>
        </w:rPr>
        <w:t xml:space="preserve"> носилац би</w:t>
      </w:r>
      <w:r>
        <w:rPr>
          <w:lang w:val="sr-Cyrl-RS"/>
        </w:rPr>
        <w:t>ла</w:t>
      </w:r>
      <w:r w:rsidRPr="00026514">
        <w:rPr>
          <w:lang w:val="sr-Cyrl-RS"/>
        </w:rPr>
        <w:t xml:space="preserve"> Покрајинска </w:t>
      </w:r>
      <w:r>
        <w:rPr>
          <w:lang w:val="sr-Cyrl-RS"/>
        </w:rPr>
        <w:t>в</w:t>
      </w:r>
      <w:r w:rsidRPr="00026514">
        <w:rPr>
          <w:lang w:val="sr-Cyrl-RS"/>
        </w:rPr>
        <w:t>лада</w:t>
      </w:r>
      <w:r>
        <w:rPr>
          <w:lang w:val="sr-Cyrl-RS"/>
        </w:rPr>
        <w:t>, која је</w:t>
      </w:r>
      <w:r w:rsidRPr="00026514">
        <w:rPr>
          <w:lang w:val="sr-Cyrl-RS"/>
        </w:rPr>
        <w:t xml:space="preserve"> 25. новембра 2015. године дон</w:t>
      </w:r>
      <w:r>
        <w:rPr>
          <w:lang w:val="sr-Cyrl-RS"/>
        </w:rPr>
        <w:t>ела</w:t>
      </w:r>
      <w:r w:rsidR="00167B8A">
        <w:rPr>
          <w:lang w:val="sr-Cyrl-RS"/>
        </w:rPr>
        <w:t xml:space="preserve"> Одлуку о образовању интерс</w:t>
      </w:r>
      <w:r w:rsidRPr="00026514">
        <w:rPr>
          <w:lang w:val="sr-Cyrl-RS"/>
        </w:rPr>
        <w:t>е</w:t>
      </w:r>
      <w:r w:rsidR="00167B8A">
        <w:rPr>
          <w:lang w:val="sr-Cyrl-RS"/>
        </w:rPr>
        <w:t>к</w:t>
      </w:r>
      <w:r w:rsidRPr="00026514">
        <w:rPr>
          <w:lang w:val="sr-Cyrl-RS"/>
        </w:rPr>
        <w:t>торског одбора који је надлежан за координацију, праћење и процену ефеката мера наведеног Програма. Интерсекторски</w:t>
      </w:r>
      <w:r w:rsidR="00167B8A">
        <w:rPr>
          <w:lang w:val="sr-Cyrl-RS"/>
        </w:rPr>
        <w:t>м</w:t>
      </w:r>
      <w:r w:rsidRPr="00026514">
        <w:rPr>
          <w:lang w:val="sr-Cyrl-RS"/>
        </w:rPr>
        <w:t xml:space="preserve"> одбор</w:t>
      </w:r>
      <w:r w:rsidR="00167B8A">
        <w:rPr>
          <w:lang w:val="sr-Cyrl-RS"/>
        </w:rPr>
        <w:t>ом</w:t>
      </w:r>
      <w:r w:rsidRPr="00026514">
        <w:rPr>
          <w:lang w:val="sr-Cyrl-RS"/>
        </w:rPr>
        <w:t xml:space="preserve"> председ</w:t>
      </w:r>
      <w:r w:rsidR="00167B8A">
        <w:rPr>
          <w:lang w:val="sr-Cyrl-RS"/>
        </w:rPr>
        <w:t xml:space="preserve">ава председник Покрајинске владе и има у свом саставу </w:t>
      </w:r>
      <w:r w:rsidRPr="00026514">
        <w:rPr>
          <w:lang w:val="sr-Cyrl-RS"/>
        </w:rPr>
        <w:t>заменика председника и пет чланова из редова чланова Покрајинске владе.</w:t>
      </w:r>
      <w:r>
        <w:rPr>
          <w:lang w:val="sr-Cyrl-RS"/>
        </w:rPr>
        <w:t xml:space="preserve"> </w:t>
      </w:r>
      <w:r w:rsidRPr="00026514">
        <w:rPr>
          <w:lang w:val="sr-Cyrl-RS"/>
        </w:rPr>
        <w:t>Интерсекторски одбор подноси извештај о свом раду Покрајинској влади најмање два пута годишње. Стручне и административни-техничке послове за потребе Интерсекторског одбора обавља покрајински орган у чијем делокругу су послови из области равноправности полова.</w:t>
      </w:r>
    </w:p>
    <w:p w:rsidR="00021AC9" w:rsidRPr="00026514" w:rsidRDefault="00021AC9" w:rsidP="004358A3">
      <w:pPr>
        <w:pStyle w:val="BodyText2"/>
        <w:spacing w:before="60"/>
        <w:ind w:firstLine="709"/>
        <w:rPr>
          <w:lang w:val="sr-Cyrl-RS"/>
        </w:rPr>
      </w:pPr>
      <w:r w:rsidRPr="00026514">
        <w:rPr>
          <w:lang w:val="sr-Cyrl-RS"/>
        </w:rPr>
        <w:t>Покрајински секретаријат за привреду, запошљавање и равноправност полова иницирао је формирање Радне групе за израду Програма коју су чиниле представнице женских организација, надлежних институција и покрајинских органа.</w:t>
      </w:r>
      <w:r>
        <w:rPr>
          <w:lang w:val="sr-Cyrl-RS"/>
        </w:rPr>
        <w:t xml:space="preserve"> </w:t>
      </w:r>
      <w:r w:rsidRPr="00026514">
        <w:rPr>
          <w:lang w:val="sr-Cyrl-RS"/>
        </w:rPr>
        <w:t xml:space="preserve">Сврха израде Програма јесте унапређивање координисаног рада надлежних институција и организација у спречавању и решавању случајева насиља у породици и насиља над женама и даље јачање успешне праксе за делотворну борбу против овог вида кршења људских права, у </w:t>
      </w:r>
      <w:r>
        <w:rPr>
          <w:lang w:val="sr-Cyrl-RS"/>
        </w:rPr>
        <w:t>оквиру надлежности АП Војводин</w:t>
      </w:r>
      <w:r w:rsidR="00167B8A">
        <w:rPr>
          <w:lang w:val="sr-Cyrl-RS"/>
        </w:rPr>
        <w:t>а</w:t>
      </w:r>
      <w:r>
        <w:rPr>
          <w:lang w:val="sr-Cyrl-RS"/>
        </w:rPr>
        <w:t>. А</w:t>
      </w:r>
      <w:r w:rsidRPr="00026514">
        <w:rPr>
          <w:lang w:val="sr-Cyrl-RS"/>
        </w:rPr>
        <w:t>ктивности се ослањају на досадашња искуст</w:t>
      </w:r>
      <w:r>
        <w:rPr>
          <w:lang w:val="sr-Cyrl-RS"/>
        </w:rPr>
        <w:t xml:space="preserve">ва реализације активности за спречавање насиља над женама </w:t>
      </w:r>
      <w:r>
        <w:rPr>
          <w:lang w:val="sr-Cyrl-RS"/>
        </w:rPr>
        <w:lastRenderedPageBreak/>
        <w:t>садржане у Стратегији за период</w:t>
      </w:r>
      <w:r w:rsidRPr="00026514">
        <w:rPr>
          <w:lang w:val="sr-Cyrl-RS"/>
        </w:rPr>
        <w:t xml:space="preserve"> 2008-2012. и </w:t>
      </w:r>
      <w:r>
        <w:rPr>
          <w:lang w:val="sr-Cyrl-RS"/>
        </w:rPr>
        <w:t xml:space="preserve">у </w:t>
      </w:r>
      <w:r w:rsidRPr="00026514">
        <w:rPr>
          <w:lang w:val="sr-Cyrl-RS"/>
        </w:rPr>
        <w:t>Програм</w:t>
      </w:r>
      <w:r>
        <w:rPr>
          <w:lang w:val="sr-Cyrl-RS"/>
        </w:rPr>
        <w:t>у за период</w:t>
      </w:r>
      <w:r w:rsidRPr="00026514">
        <w:rPr>
          <w:lang w:val="sr-Cyrl-RS"/>
        </w:rPr>
        <w:t xml:space="preserve"> 2015-2020</w:t>
      </w:r>
      <w:r>
        <w:rPr>
          <w:lang w:val="sr-Cyrl-RS"/>
        </w:rPr>
        <w:t>. године. Током спровођења С</w:t>
      </w:r>
      <w:r w:rsidRPr="00026514">
        <w:rPr>
          <w:lang w:val="sr-Cyrl-RS"/>
        </w:rPr>
        <w:t>тратегије</w:t>
      </w:r>
      <w:r>
        <w:rPr>
          <w:lang w:val="sr-Cyrl-RS"/>
        </w:rPr>
        <w:t>,</w:t>
      </w:r>
      <w:r w:rsidRPr="00026514">
        <w:rPr>
          <w:lang w:val="sr-Cyrl-RS"/>
        </w:rPr>
        <w:t xml:space="preserve"> фокус је био на изградњи система, док </w:t>
      </w:r>
      <w:r>
        <w:rPr>
          <w:lang w:val="sr-Cyrl-RS"/>
        </w:rPr>
        <w:t>ј</w:t>
      </w:r>
      <w:r w:rsidRPr="00026514">
        <w:rPr>
          <w:lang w:val="sr-Cyrl-RS"/>
        </w:rPr>
        <w:t>е Програмом фокус проширује на додатну подршку кроз економско оснаживање жена, интензивнији рад са женама</w:t>
      </w:r>
      <w:r>
        <w:rPr>
          <w:lang w:val="sr-Cyrl-RS"/>
        </w:rPr>
        <w:t xml:space="preserve">, а </w:t>
      </w:r>
      <w:r w:rsidRPr="00026514">
        <w:rPr>
          <w:lang w:val="sr-Cyrl-RS"/>
        </w:rPr>
        <w:t xml:space="preserve">посебно </w:t>
      </w:r>
      <w:r>
        <w:rPr>
          <w:lang w:val="sr-Cyrl-RS"/>
        </w:rPr>
        <w:t xml:space="preserve">са женама из </w:t>
      </w:r>
      <w:r w:rsidRPr="00026514">
        <w:rPr>
          <w:lang w:val="sr-Cyrl-RS"/>
        </w:rPr>
        <w:t xml:space="preserve">маргинализованих група и </w:t>
      </w:r>
      <w:r>
        <w:rPr>
          <w:lang w:val="sr-Cyrl-RS"/>
        </w:rPr>
        <w:t xml:space="preserve">на </w:t>
      </w:r>
      <w:r w:rsidRPr="00026514">
        <w:rPr>
          <w:lang w:val="sr-Cyrl-RS"/>
        </w:rPr>
        <w:t>јачање капацитета професионалаца за разумевање и решавање случајева сексуалног насиља над женама</w:t>
      </w:r>
      <w:r>
        <w:rPr>
          <w:lang w:val="sr-Cyrl-RS"/>
        </w:rPr>
        <w:t xml:space="preserve"> и </w:t>
      </w:r>
      <w:r w:rsidRPr="00026514">
        <w:rPr>
          <w:lang w:val="sr-Cyrl-RS"/>
        </w:rPr>
        <w:t>наставак реализације ко</w:t>
      </w:r>
      <w:r>
        <w:rPr>
          <w:lang w:val="sr-Cyrl-RS"/>
        </w:rPr>
        <w:t>нференција случаја у 10 општина. О</w:t>
      </w:r>
      <w:r w:rsidRPr="00026514">
        <w:rPr>
          <w:lang w:val="sr-Cyrl-RS"/>
        </w:rPr>
        <w:t>ва пракса се наставља зато што се показало да је рад на конкретним случајевима најделотворнији начин да се унапреде капацитети професионалаца и јача њихово координирано деловање, препознају пропусти у раду</w:t>
      </w:r>
      <w:r w:rsidR="00B37CBA">
        <w:rPr>
          <w:lang w:val="sr-Cyrl-RS"/>
        </w:rPr>
        <w:t xml:space="preserve"> и сагледају</w:t>
      </w:r>
      <w:r w:rsidRPr="00026514">
        <w:rPr>
          <w:lang w:val="sr-Cyrl-RS"/>
        </w:rPr>
        <w:t xml:space="preserve"> позитивне праксе.</w:t>
      </w:r>
    </w:p>
    <w:p w:rsidR="00021AC9" w:rsidRPr="00026514" w:rsidRDefault="00021AC9" w:rsidP="00EC2339">
      <w:pPr>
        <w:pStyle w:val="BodyText2"/>
        <w:spacing w:before="60"/>
        <w:ind w:firstLine="709"/>
        <w:rPr>
          <w:lang w:val="sr-Cyrl-RS"/>
        </w:rPr>
      </w:pPr>
      <w:r w:rsidRPr="00026514">
        <w:rPr>
          <w:lang w:val="sr-Cyrl-RS"/>
        </w:rPr>
        <w:t>У оквиру спровођења Програма од посебне важности су следеће активности:</w:t>
      </w:r>
      <w:r w:rsidR="00EC2339">
        <w:rPr>
          <w:lang w:val="sr-Cyrl-RS"/>
        </w:rPr>
        <w:t xml:space="preserve"> (1) у</w:t>
      </w:r>
      <w:r w:rsidRPr="00026514">
        <w:rPr>
          <w:lang w:val="sr-Cyrl-RS"/>
        </w:rPr>
        <w:t xml:space="preserve"> оквиру економског оснаживања жена које су трпеле насиље запослено је 13 жена код 11 послодаваца за чије запошљавање су обезбеђене бруто плате за годину дана. Укупно издвојена средства за реализацију конкурса је 10.000.000</w:t>
      </w:r>
      <w:r w:rsidR="00EC2339">
        <w:rPr>
          <w:lang w:val="sr-Cyrl-RS"/>
        </w:rPr>
        <w:t>,00 динара; (2) з</w:t>
      </w:r>
      <w:r w:rsidRPr="00026514">
        <w:rPr>
          <w:lang w:val="sr-Cyrl-RS"/>
        </w:rPr>
        <w:t>а едукације запослених у свим државним органима и институцијама које се баве насиљем над женама на територији 10 општина, потрошено је 3.000.000,00 динара.</w:t>
      </w:r>
    </w:p>
    <w:p w:rsidR="00021AC9" w:rsidRDefault="00B37CBA" w:rsidP="004358A3">
      <w:pPr>
        <w:pStyle w:val="BodyText2"/>
        <w:spacing w:before="60"/>
        <w:ind w:firstLine="720"/>
        <w:rPr>
          <w:lang w:val="sr-Cyrl-RS"/>
        </w:rPr>
      </w:pPr>
      <w:r>
        <w:rPr>
          <w:lang w:val="sr-Cyrl-RS"/>
        </w:rPr>
        <w:t>Спроведено је пет</w:t>
      </w:r>
      <w:r w:rsidR="00021AC9" w:rsidRPr="00026514">
        <w:rPr>
          <w:lang w:val="sr-Cyrl-RS"/>
        </w:rPr>
        <w:t xml:space="preserve"> тематских обука:</w:t>
      </w:r>
      <w:r w:rsidR="00021AC9">
        <w:rPr>
          <w:lang w:val="sr-Cyrl-RS"/>
        </w:rPr>
        <w:t xml:space="preserve"> о</w:t>
      </w:r>
      <w:r w:rsidR="00021AC9" w:rsidRPr="00026514">
        <w:rPr>
          <w:lang w:val="sr-Cyrl-RS"/>
        </w:rPr>
        <w:t>бука о поступању институција у заштити од насиља над женама у породици и партнерским односима</w:t>
      </w:r>
      <w:r w:rsidR="00021AC9">
        <w:rPr>
          <w:lang w:val="sr-Cyrl-RS"/>
        </w:rPr>
        <w:t>; о</w:t>
      </w:r>
      <w:r w:rsidR="00021AC9" w:rsidRPr="00026514">
        <w:rPr>
          <w:lang w:val="sr-Cyrl-RS"/>
        </w:rPr>
        <w:t>бука о повезаности насиља према женама и злостављања деце</w:t>
      </w:r>
      <w:r w:rsidR="00021AC9">
        <w:rPr>
          <w:lang w:val="sr-Cyrl-RS"/>
        </w:rPr>
        <w:t>; о</w:t>
      </w:r>
      <w:r w:rsidR="00021AC9" w:rsidRPr="00026514">
        <w:rPr>
          <w:lang w:val="sr-Cyrl-RS"/>
        </w:rPr>
        <w:t>бука о процени и управљању безбедносним ризицима у ситуацији насиља у партнерским односима у породици</w:t>
      </w:r>
      <w:r w:rsidR="00021AC9">
        <w:rPr>
          <w:lang w:val="sr-Cyrl-RS"/>
        </w:rPr>
        <w:t>; о</w:t>
      </w:r>
      <w:r w:rsidR="00021AC9" w:rsidRPr="00026514">
        <w:rPr>
          <w:lang w:val="sr-Cyrl-RS"/>
        </w:rPr>
        <w:t>бука за преовладавање професионалног стреса професионалаца ангажованих у директном раду са жртвама насиља</w:t>
      </w:r>
      <w:r w:rsidR="00021AC9">
        <w:rPr>
          <w:lang w:val="sr-Cyrl-RS"/>
        </w:rPr>
        <w:t>; о</w:t>
      </w:r>
      <w:r w:rsidR="00021AC9" w:rsidRPr="00026514">
        <w:rPr>
          <w:lang w:val="sr-Cyrl-RS"/>
        </w:rPr>
        <w:t>бука за организовање и спровођење конференције случаја насиља над женама у породици и партнерским односима</w:t>
      </w:r>
      <w:r w:rsidR="00021AC9">
        <w:rPr>
          <w:lang w:val="sr-Cyrl-RS"/>
        </w:rPr>
        <w:t xml:space="preserve">. </w:t>
      </w:r>
      <w:r w:rsidR="00021AC9" w:rsidRPr="00026514">
        <w:rPr>
          <w:lang w:val="sr-Cyrl-RS"/>
        </w:rPr>
        <w:t>Полазници су бил</w:t>
      </w:r>
      <w:r>
        <w:rPr>
          <w:lang w:val="sr-Cyrl-RS"/>
        </w:rPr>
        <w:t>и запослени стручни радници из ЦСР</w:t>
      </w:r>
      <w:r w:rsidR="00021AC9" w:rsidRPr="00026514">
        <w:rPr>
          <w:lang w:val="sr-Cyrl-RS"/>
        </w:rPr>
        <w:t>, полицијски службеници, судије, запослени у здравственим установама, тужилаштвима из 14 општина у Војводини: Рума, Вршац, Зрењанин, Бела Црква, Пландиште, Бечеј, Ириг, Србобран, Бачка Топола, Стара Пазова, Ковачица, Сремска Митровица, Нови Сад, Суботица.</w:t>
      </w:r>
    </w:p>
    <w:p w:rsidR="00EA41C1" w:rsidRPr="00D7455F" w:rsidRDefault="00EA41C1" w:rsidP="004358A3">
      <w:pPr>
        <w:pStyle w:val="BodyText2"/>
        <w:spacing w:before="60"/>
        <w:ind w:firstLine="720"/>
        <w:rPr>
          <w:sz w:val="20"/>
          <w:szCs w:val="20"/>
          <w:lang w:val="sr-Latn-RS"/>
        </w:rPr>
      </w:pPr>
    </w:p>
    <w:p w:rsidR="00A065F0" w:rsidRPr="00304161" w:rsidRDefault="005E321F" w:rsidP="004358A3">
      <w:pPr>
        <w:pStyle w:val="BodyText2"/>
        <w:spacing w:before="60"/>
        <w:ind w:firstLine="720"/>
        <w:jc w:val="center"/>
        <w:rPr>
          <w:b/>
          <w:lang w:val="sr-Cyrl-RS"/>
        </w:rPr>
      </w:pPr>
      <w:r w:rsidRPr="00304161">
        <w:rPr>
          <w:b/>
          <w:lang w:val="sr-Latn-RS"/>
        </w:rPr>
        <w:t xml:space="preserve">IV </w:t>
      </w:r>
      <w:r w:rsidRPr="00304161">
        <w:rPr>
          <w:b/>
          <w:lang w:val="en-US"/>
        </w:rPr>
        <w:t>O</w:t>
      </w:r>
      <w:r w:rsidRPr="00304161">
        <w:rPr>
          <w:b/>
          <w:lang w:val="sr-Cyrl-RS"/>
        </w:rPr>
        <w:t>БРАЗОВАЊЕ, КУЛТУРА И СПОРТ</w:t>
      </w:r>
    </w:p>
    <w:p w:rsidR="003B55E3" w:rsidRPr="00D7455F" w:rsidRDefault="003B55E3" w:rsidP="004358A3">
      <w:pPr>
        <w:pStyle w:val="BodyText2"/>
        <w:spacing w:before="60"/>
        <w:ind w:firstLine="720"/>
        <w:rPr>
          <w:sz w:val="20"/>
          <w:szCs w:val="20"/>
          <w:lang w:val="sr-Cyrl-RS"/>
        </w:rPr>
      </w:pPr>
    </w:p>
    <w:p w:rsidR="005E321F" w:rsidRPr="003B55E3" w:rsidRDefault="00844814" w:rsidP="004358A3">
      <w:pPr>
        <w:pStyle w:val="BodyText2"/>
        <w:numPr>
          <w:ilvl w:val="0"/>
          <w:numId w:val="6"/>
        </w:numPr>
        <w:spacing w:before="60"/>
        <w:rPr>
          <w:b/>
          <w:lang w:val="sr-Cyrl-RS"/>
        </w:rPr>
      </w:pPr>
      <w:r>
        <w:rPr>
          <w:b/>
          <w:lang w:val="sr-Cyrl-RS"/>
        </w:rPr>
        <w:t xml:space="preserve">Остваривање </w:t>
      </w:r>
      <w:r w:rsidR="00A23AFB">
        <w:rPr>
          <w:b/>
          <w:lang w:val="sr-Cyrl-RS"/>
        </w:rPr>
        <w:t xml:space="preserve">једнаких могућности и </w:t>
      </w:r>
      <w:r>
        <w:rPr>
          <w:b/>
          <w:lang w:val="sr-Cyrl-RS"/>
        </w:rPr>
        <w:t>равноправности</w:t>
      </w:r>
      <w:r w:rsidR="00A23AFB">
        <w:rPr>
          <w:b/>
          <w:lang w:val="sr-Cyrl-RS"/>
        </w:rPr>
        <w:t xml:space="preserve"> полова</w:t>
      </w:r>
      <w:r>
        <w:rPr>
          <w:b/>
          <w:lang w:val="sr-Cyrl-RS"/>
        </w:rPr>
        <w:t xml:space="preserve"> у области образовања</w:t>
      </w:r>
    </w:p>
    <w:p w:rsidR="00A23AFB" w:rsidRPr="00D7455F" w:rsidRDefault="00A23AFB" w:rsidP="00A23AFB">
      <w:pPr>
        <w:pStyle w:val="BodyText2"/>
        <w:spacing w:before="60"/>
        <w:ind w:firstLine="720"/>
        <w:rPr>
          <w:sz w:val="20"/>
          <w:szCs w:val="20"/>
          <w:lang w:val="sr-Cyrl-RS"/>
        </w:rPr>
      </w:pPr>
    </w:p>
    <w:p w:rsidR="004502EE" w:rsidRPr="00EC2E2A" w:rsidRDefault="00332467" w:rsidP="004358A3">
      <w:pPr>
        <w:pStyle w:val="BodyText2"/>
        <w:spacing w:before="60"/>
        <w:ind w:firstLine="720"/>
        <w:rPr>
          <w:lang w:val="ru-RU"/>
        </w:rPr>
      </w:pPr>
      <w:r>
        <w:rPr>
          <w:lang w:val="sr-Cyrl-RS"/>
        </w:rPr>
        <w:t>Забрана дискриминације и о</w:t>
      </w:r>
      <w:r w:rsidR="00A23AFB">
        <w:rPr>
          <w:lang w:val="ru-RU"/>
        </w:rPr>
        <w:t xml:space="preserve">стваривање </w:t>
      </w:r>
      <w:r w:rsidR="00A23AFB" w:rsidRPr="00A23AFB">
        <w:rPr>
          <w:lang w:val="sr-Cyrl-RS"/>
        </w:rPr>
        <w:t>једнаких могућности и равноправности полова у области образовања</w:t>
      </w:r>
      <w:r w:rsidR="00A23AFB">
        <w:rPr>
          <w:lang w:val="sr-Cyrl-RS"/>
        </w:rPr>
        <w:t xml:space="preserve"> су ближе регулисани чл. 30. и 31. </w:t>
      </w:r>
      <w:r w:rsidR="00A23AFB" w:rsidRPr="00332467">
        <w:rPr>
          <w:i/>
          <w:lang w:val="sr-Cyrl-RS"/>
        </w:rPr>
        <w:t>Закона о равноправности полова</w:t>
      </w:r>
      <w:r>
        <w:rPr>
          <w:lang w:val="sr-Cyrl-RS"/>
        </w:rPr>
        <w:t>, док су чланом 33. прецизиране и посебне мере органа јавне власти ради обезбеђивања услова за напредовање и подстицања потупунијег укључивања у процес образовања и стручног усавршавања мање заступљеног пола</w:t>
      </w:r>
      <w:r w:rsidR="00A23AFB">
        <w:rPr>
          <w:lang w:val="sr-Cyrl-RS"/>
        </w:rPr>
        <w:t xml:space="preserve">. У вези са наведеним, </w:t>
      </w:r>
      <w:r w:rsidR="0023313A" w:rsidRPr="0023313A">
        <w:rPr>
          <w:lang w:val="ru-RU"/>
        </w:rPr>
        <w:t>Министарство просвете, науке и технолошког развоја</w:t>
      </w:r>
      <w:r w:rsidR="00A23AFB">
        <w:rPr>
          <w:lang w:val="ru-RU"/>
        </w:rPr>
        <w:t xml:space="preserve"> је у свом извештају за 2018. </w:t>
      </w:r>
      <w:r>
        <w:rPr>
          <w:lang w:val="ru-RU"/>
        </w:rPr>
        <w:t>г</w:t>
      </w:r>
      <w:r w:rsidR="00A23AFB">
        <w:rPr>
          <w:lang w:val="ru-RU"/>
        </w:rPr>
        <w:t>одину</w:t>
      </w:r>
      <w:r>
        <w:rPr>
          <w:lang w:val="ru-RU"/>
        </w:rPr>
        <w:t xml:space="preserve"> најпре</w:t>
      </w:r>
      <w:r w:rsidR="00A23AFB">
        <w:rPr>
          <w:lang w:val="ru-RU"/>
        </w:rPr>
        <w:t xml:space="preserve"> истакло да</w:t>
      </w:r>
      <w:r w:rsidR="0023313A" w:rsidRPr="0023313A">
        <w:rPr>
          <w:lang w:val="ru-RU"/>
        </w:rPr>
        <w:t xml:space="preserve"> активно ради на унапређивању квалитета образовања и развијању духа толеранције и антидискриминације. Ради унапређивања законске регулативе у области </w:t>
      </w:r>
      <w:r w:rsidR="0023313A">
        <w:rPr>
          <w:lang w:val="ru-RU"/>
        </w:rPr>
        <w:t>антидискриминације и родне равноправности</w:t>
      </w:r>
      <w:r w:rsidR="0023313A" w:rsidRPr="0023313A">
        <w:rPr>
          <w:lang w:val="ru-RU"/>
        </w:rPr>
        <w:t xml:space="preserve"> у образовним и васпитним установама,</w:t>
      </w:r>
      <w:r w:rsidR="0023313A">
        <w:rPr>
          <w:lang w:val="ru-RU"/>
        </w:rPr>
        <w:t xml:space="preserve"> 2018. године </w:t>
      </w:r>
      <w:r>
        <w:rPr>
          <w:lang w:val="ru-RU"/>
        </w:rPr>
        <w:t xml:space="preserve">су </w:t>
      </w:r>
      <w:r w:rsidR="0023313A">
        <w:rPr>
          <w:lang w:val="ru-RU"/>
        </w:rPr>
        <w:t xml:space="preserve">извршене измене и допуне </w:t>
      </w:r>
      <w:r w:rsidR="004502EE" w:rsidRPr="004502EE">
        <w:rPr>
          <w:i/>
          <w:lang w:val="ru-RU"/>
        </w:rPr>
        <w:t>Закона о основама система образовања и васпитања</w:t>
      </w:r>
      <w:r w:rsidR="004502EE">
        <w:rPr>
          <w:lang w:val="ru-RU"/>
        </w:rPr>
        <w:t xml:space="preserve"> (</w:t>
      </w:r>
      <w:r w:rsidR="004502EE">
        <w:rPr>
          <w:lang w:val="sr-Cyrl-RS"/>
        </w:rPr>
        <w:t xml:space="preserve">„Службени гласник РС“ </w:t>
      </w:r>
      <w:r w:rsidR="004502EE" w:rsidRPr="00EC2E2A">
        <w:rPr>
          <w:lang w:val="ru-RU"/>
        </w:rPr>
        <w:t>бр. 88/20, 27/18 (</w:t>
      </w:r>
      <w:r w:rsidR="004502EE" w:rsidRPr="003B55E3">
        <w:rPr>
          <w:lang w:val="en-GB"/>
        </w:rPr>
        <w:t>I</w:t>
      </w:r>
      <w:r w:rsidR="004502EE">
        <w:rPr>
          <w:lang w:val="ru-RU"/>
        </w:rPr>
        <w:t xml:space="preserve">) - др. закон и 27/18 (11) </w:t>
      </w:r>
      <w:r w:rsidR="004502EE" w:rsidRPr="00EC2E2A">
        <w:rPr>
          <w:lang w:val="ru-RU"/>
        </w:rPr>
        <w:t>-др. закон)</w:t>
      </w:r>
      <w:r w:rsidR="0023313A">
        <w:rPr>
          <w:lang w:val="ru-RU"/>
        </w:rPr>
        <w:t xml:space="preserve">, којом приликом су </w:t>
      </w:r>
      <w:r w:rsidR="004502EE" w:rsidRPr="00EC2E2A">
        <w:rPr>
          <w:lang w:val="ru-RU"/>
        </w:rPr>
        <w:t>усвојени чланови који ближе уређују забрану дискрими</w:t>
      </w:r>
      <w:r w:rsidR="00FC3131">
        <w:rPr>
          <w:lang w:val="ru-RU"/>
        </w:rPr>
        <w:t>н</w:t>
      </w:r>
      <w:r w:rsidR="004502EE" w:rsidRPr="00EC2E2A">
        <w:rPr>
          <w:lang w:val="ru-RU"/>
        </w:rPr>
        <w:t>ације, забрану понашања која вређа углед, част</w:t>
      </w:r>
      <w:r w:rsidR="004502EE">
        <w:rPr>
          <w:lang w:val="ru-RU"/>
        </w:rPr>
        <w:t>,</w:t>
      </w:r>
      <w:r w:rsidR="004502EE" w:rsidRPr="00EC2E2A">
        <w:rPr>
          <w:lang w:val="ru-RU"/>
        </w:rPr>
        <w:t xml:space="preserve"> достојанство и обавезе органа и појединаца у реаговању на ситуације дискриминаторног понашања.</w:t>
      </w:r>
    </w:p>
    <w:p w:rsidR="004502EE" w:rsidRPr="0042566C" w:rsidRDefault="004502EE" w:rsidP="004358A3">
      <w:pPr>
        <w:pStyle w:val="BodyText2"/>
        <w:spacing w:before="60"/>
        <w:ind w:firstLine="720"/>
        <w:rPr>
          <w:lang w:val="sr-Cyrl-RS"/>
        </w:rPr>
      </w:pPr>
      <w:r w:rsidRPr="0042566C">
        <w:rPr>
          <w:i/>
        </w:rPr>
        <w:t>Правилник о ближим критеријумима за препознавање облика дискриминације од стране запосленог, дете</w:t>
      </w:r>
      <w:r w:rsidR="00ED5881">
        <w:rPr>
          <w:i/>
          <w:lang w:val="sr-Cyrl-RS"/>
        </w:rPr>
        <w:t>т</w:t>
      </w:r>
      <w:r w:rsidRPr="0042566C">
        <w:rPr>
          <w:i/>
        </w:rPr>
        <w:t>а, ученика или трећег лица у установи образовања и васпитања</w:t>
      </w:r>
      <w:r w:rsidRPr="003B55E3">
        <w:t xml:space="preserve"> (</w:t>
      </w:r>
      <w:r>
        <w:rPr>
          <w:lang w:val="sr-Cyrl-RS"/>
        </w:rPr>
        <w:t xml:space="preserve">„Службени гласник РС“ </w:t>
      </w:r>
      <w:r w:rsidRPr="003B55E3">
        <w:t>бр</w:t>
      </w:r>
      <w:r>
        <w:rPr>
          <w:lang w:val="sr-Cyrl-RS"/>
        </w:rPr>
        <w:t>ој</w:t>
      </w:r>
      <w:r w:rsidRPr="003B55E3">
        <w:t xml:space="preserve"> 22/2016) у члану 2.</w:t>
      </w:r>
      <w:r w:rsidR="0042566C">
        <w:rPr>
          <w:lang w:val="sr-Cyrl-RS"/>
        </w:rPr>
        <w:t xml:space="preserve"> </w:t>
      </w:r>
      <w:r w:rsidRPr="003B55E3">
        <w:t>дефинише дискриминаторско поступа</w:t>
      </w:r>
      <w:r w:rsidR="00ED5881">
        <w:t>ње у образовању и васпитању као</w:t>
      </w:r>
      <w:r w:rsidRPr="003B55E3">
        <w:t xml:space="preserve"> „свако неоправдано прављење разлике или неједнако поступање, односно </w:t>
      </w:r>
      <w:r w:rsidRPr="003B55E3">
        <w:lastRenderedPageBreak/>
        <w:t>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w:t>
      </w:r>
      <w:r w:rsidR="0042566C">
        <w:rPr>
          <w:lang w:val="sr-Cyrl-RS"/>
        </w:rPr>
        <w:t>н</w:t>
      </w:r>
      <w:r w:rsidRPr="003B55E3">
        <w:t xml:space="preserve">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w:t>
      </w:r>
      <w:r w:rsidR="0042566C">
        <w:rPr>
          <w:lang w:val="sr-Cyrl-RS"/>
        </w:rPr>
        <w:t>“</w:t>
      </w:r>
    </w:p>
    <w:p w:rsidR="005E321F" w:rsidRPr="00BC110B" w:rsidRDefault="005E321F" w:rsidP="004358A3">
      <w:pPr>
        <w:pStyle w:val="BodyText2"/>
        <w:spacing w:before="60"/>
        <w:ind w:firstLine="720"/>
        <w:rPr>
          <w:lang w:val="sr-Cyrl-RS"/>
        </w:rPr>
      </w:pPr>
      <w:r>
        <w:rPr>
          <w:lang w:val="sr-Cyrl-RS"/>
        </w:rPr>
        <w:t>Када је у питању остваривање начела равноправности</w:t>
      </w:r>
      <w:r w:rsidR="00ED5881">
        <w:rPr>
          <w:lang w:val="sr-Cyrl-RS"/>
        </w:rPr>
        <w:t xml:space="preserve"> полова</w:t>
      </w:r>
      <w:r>
        <w:rPr>
          <w:lang w:val="sr-Cyrl-RS"/>
        </w:rPr>
        <w:t xml:space="preserve"> у области образовања </w:t>
      </w:r>
      <w:r w:rsidR="00F05FD7">
        <w:t>Министарство просвете,</w:t>
      </w:r>
      <w:r w:rsidRPr="005E321F">
        <w:t xml:space="preserve"> науке и технолошког развоја активно ради на промоцији и унапр</w:t>
      </w:r>
      <w:r w:rsidR="00F05FD7">
        <w:t>еђивању људских права, са посебн</w:t>
      </w:r>
      <w:r w:rsidRPr="005E321F">
        <w:t>им фокусом на родну равноправност, осетљиве и мањинске групе.</w:t>
      </w:r>
      <w:r w:rsidR="00BC110B">
        <w:rPr>
          <w:lang w:val="sr-Cyrl-RS"/>
        </w:rPr>
        <w:t xml:space="preserve"> </w:t>
      </w:r>
      <w:r w:rsidR="009E4ECC" w:rsidRPr="005E321F">
        <w:t xml:space="preserve">Људско право на образовање може се назвати </w:t>
      </w:r>
      <w:r w:rsidR="009E4ECC" w:rsidRPr="005E321F">
        <w:rPr>
          <w:i/>
          <w:iCs/>
        </w:rPr>
        <w:t>оснажујућим правом,</w:t>
      </w:r>
      <w:r w:rsidR="009E4ECC" w:rsidRPr="005E321F">
        <w:t xml:space="preserve"> јер појединцу/ки даје више контроле над сопственим животом. За етничке и језичке мањине право на образовање има велики значај у очувању и оснажењу њиховог културног идентитета. Образовање промовише толеранциј</w:t>
      </w:r>
      <w:r w:rsidR="009E4ECC">
        <w:rPr>
          <w:lang w:val="sr-Cyrl-RS"/>
        </w:rPr>
        <w:t>у</w:t>
      </w:r>
      <w:r w:rsidR="009E4ECC" w:rsidRPr="005E321F">
        <w:t>, разумевање</w:t>
      </w:r>
      <w:r w:rsidR="009E4ECC">
        <w:rPr>
          <w:lang w:val="sr-Cyrl-RS"/>
        </w:rPr>
        <w:t xml:space="preserve"> </w:t>
      </w:r>
      <w:r w:rsidR="009E4ECC">
        <w:t xml:space="preserve">и </w:t>
      </w:r>
      <w:r w:rsidR="009E4ECC" w:rsidRPr="005E321F">
        <w:t>поштовање међу националним, етничким и верским гру</w:t>
      </w:r>
      <w:r w:rsidR="009E4ECC">
        <w:rPr>
          <w:lang w:val="sr-Cyrl-RS"/>
        </w:rPr>
        <w:t>п</w:t>
      </w:r>
      <w:r w:rsidR="00ED5881">
        <w:t>ама,</w:t>
      </w:r>
      <w:r w:rsidR="009E4ECC" w:rsidRPr="005E321F">
        <w:t xml:space="preserve"> као и изграђива</w:t>
      </w:r>
      <w:r w:rsidR="009E4ECC">
        <w:rPr>
          <w:lang w:val="sr-Cyrl-RS"/>
        </w:rPr>
        <w:t>ње</w:t>
      </w:r>
      <w:r w:rsidR="009E4ECC" w:rsidRPr="005E321F">
        <w:t xml:space="preserve"> култур</w:t>
      </w:r>
      <w:r w:rsidR="009E4ECC">
        <w:rPr>
          <w:lang w:val="sr-Cyrl-RS"/>
        </w:rPr>
        <w:t>е</w:t>
      </w:r>
      <w:r w:rsidR="009E4ECC" w:rsidRPr="005E321F">
        <w:t xml:space="preserve"> људски</w:t>
      </w:r>
      <w:r w:rsidR="009E4ECC">
        <w:t xml:space="preserve">х права. </w:t>
      </w:r>
      <w:r w:rsidR="00BC110B">
        <w:rPr>
          <w:lang w:val="sr-Cyrl-RS"/>
        </w:rPr>
        <w:t>У извештају које је поднело Министарство просвете, науке и технолошког развоја о спровођењу Закона о родној равноправности, статистички је потврђена чињеница да су жене</w:t>
      </w:r>
      <w:r w:rsidR="009E4ECC">
        <w:rPr>
          <w:lang w:val="sr-Cyrl-RS"/>
        </w:rPr>
        <w:t xml:space="preserve"> око три пута</w:t>
      </w:r>
      <w:r w:rsidR="00BC110B">
        <w:rPr>
          <w:lang w:val="sr-Cyrl-RS"/>
        </w:rPr>
        <w:t xml:space="preserve"> заступљеније у области васпитања и образовања од мушкараца. Према стању из 2018. године</w:t>
      </w:r>
      <w:r w:rsidR="007079DD">
        <w:rPr>
          <w:lang w:val="sr-Cyrl-RS"/>
        </w:rPr>
        <w:t>,</w:t>
      </w:r>
      <w:r w:rsidR="00BC110B">
        <w:rPr>
          <w:lang w:val="sr-Cyrl-RS"/>
        </w:rPr>
        <w:t xml:space="preserve"> </w:t>
      </w:r>
      <w:r w:rsidR="007079DD">
        <w:rPr>
          <w:lang w:val="sr-Cyrl-RS"/>
        </w:rPr>
        <w:t xml:space="preserve">у укупно 1.948 образовних и васпитних установа у Србији је запослено 136.196 лица, од којих 34.460 мушкараца и </w:t>
      </w:r>
      <w:r w:rsidR="009E4ECC">
        <w:rPr>
          <w:lang w:val="sr-Cyrl-RS"/>
        </w:rPr>
        <w:t xml:space="preserve">101.736 </w:t>
      </w:r>
      <w:r w:rsidR="007079DD">
        <w:rPr>
          <w:lang w:val="sr-Cyrl-RS"/>
        </w:rPr>
        <w:t>жена (Табела 12)</w:t>
      </w:r>
      <w:r w:rsidR="0017425C">
        <w:rPr>
          <w:lang w:val="sr-Cyrl-RS"/>
        </w:rPr>
        <w:t>.</w:t>
      </w:r>
    </w:p>
    <w:p w:rsidR="00DA093B" w:rsidRPr="00D7455F" w:rsidRDefault="00DA093B" w:rsidP="00DA093B">
      <w:pPr>
        <w:pStyle w:val="BodyText2"/>
        <w:ind w:firstLine="720"/>
        <w:jc w:val="center"/>
        <w:rPr>
          <w:b/>
          <w:sz w:val="20"/>
          <w:szCs w:val="20"/>
          <w:lang w:val="sr-Cyrl-RS"/>
        </w:rPr>
      </w:pPr>
    </w:p>
    <w:p w:rsidR="00DA093B" w:rsidRPr="00005DC6" w:rsidRDefault="00DA093B" w:rsidP="00DA093B">
      <w:pPr>
        <w:pStyle w:val="BodyText2"/>
        <w:ind w:firstLine="720"/>
        <w:jc w:val="center"/>
        <w:rPr>
          <w:b/>
          <w:lang w:val="sr-Cyrl-RS"/>
        </w:rPr>
      </w:pPr>
      <w:r w:rsidRPr="004B0148">
        <w:rPr>
          <w:b/>
          <w:lang w:val="sr-Cyrl-RS"/>
        </w:rPr>
        <w:t xml:space="preserve">Табела </w:t>
      </w:r>
      <w:r w:rsidR="00BC110B">
        <w:rPr>
          <w:b/>
          <w:lang w:val="sr-Cyrl-RS"/>
        </w:rPr>
        <w:t>12</w:t>
      </w:r>
      <w:r w:rsidRPr="004B0148">
        <w:rPr>
          <w:b/>
          <w:lang w:val="sr-Cyrl-RS"/>
        </w:rPr>
        <w:t xml:space="preserve">: Подаци </w:t>
      </w:r>
      <w:r>
        <w:rPr>
          <w:b/>
          <w:lang w:val="sr-Cyrl-RS"/>
        </w:rPr>
        <w:t>Министарства п</w:t>
      </w:r>
      <w:r w:rsidR="0017425C">
        <w:rPr>
          <w:b/>
          <w:lang w:val="sr-Cyrl-RS"/>
        </w:rPr>
        <w:t>р</w:t>
      </w:r>
      <w:r>
        <w:rPr>
          <w:b/>
          <w:lang w:val="sr-Cyrl-RS"/>
        </w:rPr>
        <w:t xml:space="preserve">освете, науке и технолошкој развоја о броју </w:t>
      </w:r>
      <w:r w:rsidR="00BC110B">
        <w:rPr>
          <w:b/>
          <w:lang w:val="sr-Cyrl-RS"/>
        </w:rPr>
        <w:t xml:space="preserve">образовних и </w:t>
      </w:r>
      <w:r>
        <w:rPr>
          <w:b/>
          <w:lang w:val="sr-Cyrl-RS"/>
        </w:rPr>
        <w:t xml:space="preserve">васпитних и установа </w:t>
      </w:r>
      <w:r w:rsidR="00BC110B">
        <w:rPr>
          <w:b/>
          <w:lang w:val="sr-Cyrl-RS"/>
        </w:rPr>
        <w:t>и броју запослених у њима</w:t>
      </w:r>
      <w:r>
        <w:rPr>
          <w:b/>
          <w:lang w:val="sr-Cyrl-RS"/>
        </w:rPr>
        <w:t>, разврстаних по полу, према стању на дан 31.12.2018. године</w:t>
      </w:r>
    </w:p>
    <w:p w:rsidR="00DA093B" w:rsidRPr="00D7455F" w:rsidRDefault="00DA093B" w:rsidP="00DA093B">
      <w:pPr>
        <w:rPr>
          <w:rFonts w:ascii="Arial" w:hAnsi="Arial" w:cs="Arial"/>
          <w:color w:val="000000"/>
          <w:sz w:val="16"/>
          <w:szCs w:val="16"/>
          <w:lang w:val="ru-RU"/>
        </w:rPr>
      </w:pPr>
    </w:p>
    <w:tbl>
      <w:tblPr>
        <w:tblW w:w="9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0"/>
        <w:gridCol w:w="1161"/>
        <w:gridCol w:w="1631"/>
        <w:gridCol w:w="2196"/>
      </w:tblGrid>
      <w:tr w:rsidR="00DA093B" w:rsidRPr="00DA093B" w:rsidTr="00A11F03">
        <w:trPr>
          <w:trHeight w:val="300"/>
          <w:jc w:val="center"/>
        </w:trPr>
        <w:tc>
          <w:tcPr>
            <w:tcW w:w="4360" w:type="dxa"/>
            <w:tcBorders>
              <w:top w:val="outset" w:sz="6" w:space="0" w:color="auto"/>
              <w:left w:val="outset" w:sz="6" w:space="0" w:color="auto"/>
              <w:bottom w:val="outset" w:sz="6" w:space="0" w:color="auto"/>
              <w:right w:val="outset" w:sz="6" w:space="0" w:color="auto"/>
            </w:tcBorders>
            <w:shd w:val="clear" w:color="auto" w:fill="5B9BD5" w:themeFill="accent1"/>
            <w:vAlign w:val="center"/>
            <w:hideMark/>
          </w:tcPr>
          <w:p w:rsidR="00DA093B" w:rsidRPr="00ED5881" w:rsidRDefault="00ED5881" w:rsidP="00A11F03">
            <w:pPr>
              <w:jc w:val="center"/>
              <w:rPr>
                <w:b/>
                <w:lang w:val="sr-Cyrl-RS"/>
              </w:rPr>
            </w:pPr>
            <w:r>
              <w:rPr>
                <w:b/>
                <w:lang w:val="sr-Cyrl-RS"/>
              </w:rPr>
              <w:t>Врста образовних и васпитних установа</w:t>
            </w:r>
          </w:p>
        </w:tc>
        <w:tc>
          <w:tcPr>
            <w:tcW w:w="1161" w:type="dxa"/>
            <w:tcBorders>
              <w:top w:val="outset" w:sz="6" w:space="0" w:color="auto"/>
              <w:left w:val="nil"/>
              <w:bottom w:val="outset" w:sz="6" w:space="0" w:color="auto"/>
              <w:right w:val="outset" w:sz="6" w:space="0" w:color="auto"/>
            </w:tcBorders>
            <w:shd w:val="clear" w:color="auto" w:fill="5B9BD5" w:themeFill="accent1"/>
            <w:vAlign w:val="center"/>
            <w:hideMark/>
          </w:tcPr>
          <w:p w:rsidR="00DA093B" w:rsidRPr="00ED5881" w:rsidRDefault="00DA093B" w:rsidP="00A11F03">
            <w:pPr>
              <w:jc w:val="center"/>
              <w:rPr>
                <w:b/>
                <w:lang w:val="sr-Cyrl-RS"/>
              </w:rPr>
            </w:pPr>
            <w:r w:rsidRPr="00ED5881">
              <w:rPr>
                <w:b/>
                <w:lang w:val="ru-RU"/>
              </w:rPr>
              <w:t xml:space="preserve">Број </w:t>
            </w:r>
            <w:r w:rsidRPr="00ED5881">
              <w:rPr>
                <w:b/>
                <w:lang w:val="sr-Cyrl-RS"/>
              </w:rPr>
              <w:t>установа</w:t>
            </w:r>
          </w:p>
        </w:tc>
        <w:tc>
          <w:tcPr>
            <w:tcW w:w="1631" w:type="dxa"/>
            <w:tcBorders>
              <w:top w:val="outset" w:sz="6" w:space="0" w:color="auto"/>
              <w:left w:val="nil"/>
              <w:bottom w:val="outset" w:sz="6" w:space="0" w:color="auto"/>
              <w:right w:val="outset" w:sz="6" w:space="0" w:color="auto"/>
            </w:tcBorders>
            <w:shd w:val="clear" w:color="auto" w:fill="5B9BD5" w:themeFill="accent1"/>
            <w:vAlign w:val="center"/>
            <w:hideMark/>
          </w:tcPr>
          <w:p w:rsidR="00DA093B" w:rsidRPr="00ED5881" w:rsidRDefault="00DA093B" w:rsidP="00A11F03">
            <w:pPr>
              <w:jc w:val="center"/>
              <w:rPr>
                <w:b/>
                <w:lang w:val="sr-Cyrl-RS"/>
              </w:rPr>
            </w:pPr>
            <w:r w:rsidRPr="00ED5881">
              <w:rPr>
                <w:b/>
                <w:lang w:val="sr-Cyrl-RS"/>
              </w:rPr>
              <w:t>Број запослених мушкарца</w:t>
            </w:r>
          </w:p>
        </w:tc>
        <w:tc>
          <w:tcPr>
            <w:tcW w:w="2196" w:type="dxa"/>
            <w:tcBorders>
              <w:top w:val="outset" w:sz="6" w:space="0" w:color="auto"/>
              <w:left w:val="nil"/>
              <w:bottom w:val="outset" w:sz="6" w:space="0" w:color="auto"/>
              <w:right w:val="outset" w:sz="6" w:space="0" w:color="auto"/>
            </w:tcBorders>
            <w:shd w:val="clear" w:color="auto" w:fill="5B9BD5" w:themeFill="accent1"/>
            <w:vAlign w:val="center"/>
            <w:hideMark/>
          </w:tcPr>
          <w:p w:rsidR="00DA093B" w:rsidRPr="00ED5881" w:rsidRDefault="0017425C" w:rsidP="00A11F03">
            <w:pPr>
              <w:jc w:val="center"/>
              <w:rPr>
                <w:b/>
                <w:lang w:val="sr-Cyrl-RS"/>
              </w:rPr>
            </w:pPr>
            <w:r>
              <w:rPr>
                <w:b/>
                <w:lang w:val="sr-Cyrl-RS"/>
              </w:rPr>
              <w:t>Број за</w:t>
            </w:r>
            <w:r w:rsidR="00DA093B" w:rsidRPr="00ED5881">
              <w:rPr>
                <w:b/>
                <w:lang w:val="sr-Cyrl-RS"/>
              </w:rPr>
              <w:t>послених жена</w:t>
            </w:r>
          </w:p>
        </w:tc>
      </w:tr>
      <w:tr w:rsidR="00DA093B" w:rsidRP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Pr="00DA093B" w:rsidRDefault="00DA093B" w:rsidP="00DA093B">
            <w:pPr>
              <w:rPr>
                <w:lang w:val="ru-RU"/>
              </w:rPr>
            </w:pPr>
            <w:r w:rsidRPr="00DA093B">
              <w:rPr>
                <w:lang w:val="ru-RU"/>
              </w:rPr>
              <w:t>Гимназије</w:t>
            </w:r>
          </w:p>
        </w:tc>
        <w:tc>
          <w:tcPr>
            <w:tcW w:w="1161" w:type="dxa"/>
            <w:tcBorders>
              <w:top w:val="nil"/>
              <w:left w:val="nil"/>
              <w:bottom w:val="outset" w:sz="6" w:space="0" w:color="auto"/>
              <w:right w:val="outset" w:sz="6" w:space="0" w:color="auto"/>
            </w:tcBorders>
            <w:vAlign w:val="center"/>
            <w:hideMark/>
          </w:tcPr>
          <w:p w:rsidR="00DA093B" w:rsidRPr="00DA093B" w:rsidRDefault="00DA093B" w:rsidP="00DA093B">
            <w:pPr>
              <w:jc w:val="center"/>
              <w:rPr>
                <w:lang w:val="ru-RU"/>
              </w:rPr>
            </w:pPr>
            <w:r w:rsidRPr="00DA093B">
              <w:rPr>
                <w:lang w:val="ru-RU"/>
              </w:rPr>
              <w:t>107</w:t>
            </w:r>
          </w:p>
        </w:tc>
        <w:tc>
          <w:tcPr>
            <w:tcW w:w="1631" w:type="dxa"/>
            <w:tcBorders>
              <w:top w:val="nil"/>
              <w:left w:val="nil"/>
              <w:bottom w:val="outset" w:sz="6" w:space="0" w:color="auto"/>
              <w:right w:val="outset" w:sz="6" w:space="0" w:color="auto"/>
            </w:tcBorders>
            <w:vAlign w:val="center"/>
            <w:hideMark/>
          </w:tcPr>
          <w:p w:rsidR="00DA093B" w:rsidRPr="00DA093B" w:rsidRDefault="00DA093B" w:rsidP="00DA093B">
            <w:pPr>
              <w:jc w:val="center"/>
              <w:rPr>
                <w:lang w:val="ru-RU"/>
              </w:rPr>
            </w:pPr>
            <w:r w:rsidRPr="00DA093B">
              <w:rPr>
                <w:lang w:val="ru-RU"/>
              </w:rPr>
              <w:t>2</w:t>
            </w:r>
            <w:r w:rsidR="007079DD">
              <w:rPr>
                <w:lang w:val="ru-RU"/>
              </w:rPr>
              <w:t>.</w:t>
            </w:r>
            <w:r w:rsidRPr="00DA093B">
              <w:rPr>
                <w:lang w:val="ru-RU"/>
              </w:rPr>
              <w:t>409</w:t>
            </w:r>
          </w:p>
        </w:tc>
        <w:tc>
          <w:tcPr>
            <w:tcW w:w="2196" w:type="dxa"/>
            <w:tcBorders>
              <w:top w:val="nil"/>
              <w:left w:val="nil"/>
              <w:bottom w:val="outset" w:sz="6" w:space="0" w:color="auto"/>
              <w:right w:val="outset" w:sz="6" w:space="0" w:color="auto"/>
            </w:tcBorders>
            <w:vAlign w:val="center"/>
            <w:hideMark/>
          </w:tcPr>
          <w:p w:rsidR="00DA093B" w:rsidRPr="00DA093B" w:rsidRDefault="00DA093B" w:rsidP="00DA093B">
            <w:pPr>
              <w:jc w:val="center"/>
              <w:rPr>
                <w:lang w:val="ru-RU"/>
              </w:rPr>
            </w:pPr>
            <w:r w:rsidRPr="00DA093B">
              <w:rPr>
                <w:lang w:val="ru-RU"/>
              </w:rPr>
              <w:t>5</w:t>
            </w:r>
            <w:r w:rsidR="007079DD">
              <w:rPr>
                <w:lang w:val="ru-RU"/>
              </w:rPr>
              <w:t>.</w:t>
            </w:r>
            <w:r w:rsidRPr="00DA093B">
              <w:rPr>
                <w:lang w:val="ru-RU"/>
              </w:rPr>
              <w:t>469</w:t>
            </w:r>
          </w:p>
        </w:tc>
      </w:tr>
      <w:tr w:rsid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Pr="00DA093B" w:rsidRDefault="00DA093B" w:rsidP="00DA093B">
            <w:pPr>
              <w:rPr>
                <w:lang w:val="ru-RU"/>
              </w:rPr>
            </w:pPr>
            <w:r w:rsidRPr="00DA093B">
              <w:rPr>
                <w:lang w:val="ru-RU"/>
              </w:rPr>
              <w:t>Основна школа</w:t>
            </w:r>
          </w:p>
        </w:tc>
        <w:tc>
          <w:tcPr>
            <w:tcW w:w="1161" w:type="dxa"/>
            <w:tcBorders>
              <w:top w:val="nil"/>
              <w:left w:val="nil"/>
              <w:bottom w:val="outset" w:sz="6" w:space="0" w:color="auto"/>
              <w:right w:val="outset" w:sz="6" w:space="0" w:color="auto"/>
            </w:tcBorders>
            <w:vAlign w:val="center"/>
            <w:hideMark/>
          </w:tcPr>
          <w:p w:rsidR="00DA093B" w:rsidRPr="00DA093B" w:rsidRDefault="00DA093B" w:rsidP="00DA093B">
            <w:pPr>
              <w:jc w:val="center"/>
              <w:rPr>
                <w:lang w:val="ru-RU"/>
              </w:rPr>
            </w:pPr>
            <w:r w:rsidRPr="00DA093B">
              <w:rPr>
                <w:lang w:val="ru-RU"/>
              </w:rPr>
              <w:t>1</w:t>
            </w:r>
            <w:r w:rsidR="007079DD">
              <w:rPr>
                <w:lang w:val="ru-RU"/>
              </w:rPr>
              <w:t>.</w:t>
            </w:r>
            <w:r w:rsidRPr="00DA093B">
              <w:rPr>
                <w:lang w:val="ru-RU"/>
              </w:rPr>
              <w:t>184</w:t>
            </w:r>
          </w:p>
        </w:tc>
        <w:tc>
          <w:tcPr>
            <w:tcW w:w="1631" w:type="dxa"/>
            <w:tcBorders>
              <w:top w:val="nil"/>
              <w:left w:val="nil"/>
              <w:bottom w:val="outset" w:sz="6" w:space="0" w:color="auto"/>
              <w:right w:val="outset" w:sz="6" w:space="0" w:color="auto"/>
            </w:tcBorders>
            <w:vAlign w:val="center"/>
            <w:hideMark/>
          </w:tcPr>
          <w:p w:rsidR="00DA093B" w:rsidRPr="00DA093B" w:rsidRDefault="00DA093B" w:rsidP="00DA093B">
            <w:pPr>
              <w:jc w:val="center"/>
              <w:rPr>
                <w:lang w:val="ru-RU"/>
              </w:rPr>
            </w:pPr>
            <w:r w:rsidRPr="00DA093B">
              <w:rPr>
                <w:lang w:val="ru-RU"/>
              </w:rPr>
              <w:t>18</w:t>
            </w:r>
            <w:r w:rsidR="007079DD">
              <w:rPr>
                <w:lang w:val="ru-RU"/>
              </w:rPr>
              <w:t>.</w:t>
            </w:r>
            <w:r w:rsidRPr="00DA093B">
              <w:rPr>
                <w:lang w:val="ru-RU"/>
              </w:rPr>
              <w:t>015</w:t>
            </w:r>
          </w:p>
        </w:tc>
        <w:tc>
          <w:tcPr>
            <w:tcW w:w="2196" w:type="dxa"/>
            <w:tcBorders>
              <w:top w:val="nil"/>
              <w:left w:val="nil"/>
              <w:bottom w:val="outset" w:sz="6" w:space="0" w:color="auto"/>
              <w:right w:val="outset" w:sz="6" w:space="0" w:color="auto"/>
            </w:tcBorders>
            <w:vAlign w:val="center"/>
            <w:hideMark/>
          </w:tcPr>
          <w:p w:rsidR="00DA093B" w:rsidRDefault="00DA093B" w:rsidP="00DA093B">
            <w:pPr>
              <w:jc w:val="center"/>
            </w:pPr>
            <w:r>
              <w:t>51</w:t>
            </w:r>
            <w:r w:rsidR="007079DD">
              <w:rPr>
                <w:lang w:val="sr-Cyrl-RS"/>
              </w:rPr>
              <w:t>.</w:t>
            </w:r>
            <w:r>
              <w:t>228</w:t>
            </w:r>
          </w:p>
        </w:tc>
      </w:tr>
      <w:tr w:rsid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Pr="00DA093B" w:rsidRDefault="00DA093B" w:rsidP="00DA093B">
            <w:pPr>
              <w:rPr>
                <w:lang w:val="ru-RU"/>
              </w:rPr>
            </w:pPr>
            <w:r w:rsidRPr="00DA093B">
              <w:rPr>
                <w:lang w:val="ru-RU"/>
              </w:rPr>
              <w:t>Основне музичке и балетске школе</w:t>
            </w:r>
          </w:p>
        </w:tc>
        <w:tc>
          <w:tcPr>
            <w:tcW w:w="1161" w:type="dxa"/>
            <w:tcBorders>
              <w:top w:val="nil"/>
              <w:left w:val="nil"/>
              <w:bottom w:val="outset" w:sz="6" w:space="0" w:color="auto"/>
              <w:right w:val="outset" w:sz="6" w:space="0" w:color="auto"/>
            </w:tcBorders>
            <w:vAlign w:val="center"/>
            <w:hideMark/>
          </w:tcPr>
          <w:p w:rsidR="00DA093B" w:rsidRDefault="00DA093B" w:rsidP="00DA093B">
            <w:pPr>
              <w:jc w:val="center"/>
            </w:pPr>
            <w:r>
              <w:t>41</w:t>
            </w:r>
          </w:p>
        </w:tc>
        <w:tc>
          <w:tcPr>
            <w:tcW w:w="1631" w:type="dxa"/>
            <w:tcBorders>
              <w:top w:val="nil"/>
              <w:left w:val="nil"/>
              <w:bottom w:val="outset" w:sz="6" w:space="0" w:color="auto"/>
              <w:right w:val="outset" w:sz="6" w:space="0" w:color="auto"/>
            </w:tcBorders>
            <w:vAlign w:val="center"/>
            <w:hideMark/>
          </w:tcPr>
          <w:p w:rsidR="00DA093B" w:rsidRDefault="00DA093B" w:rsidP="00DA093B">
            <w:pPr>
              <w:jc w:val="center"/>
            </w:pPr>
            <w:r>
              <w:t>550</w:t>
            </w:r>
          </w:p>
        </w:tc>
        <w:tc>
          <w:tcPr>
            <w:tcW w:w="2196" w:type="dxa"/>
            <w:tcBorders>
              <w:top w:val="nil"/>
              <w:left w:val="nil"/>
              <w:bottom w:val="outset" w:sz="6" w:space="0" w:color="auto"/>
              <w:right w:val="outset" w:sz="6" w:space="0" w:color="auto"/>
            </w:tcBorders>
            <w:vAlign w:val="center"/>
            <w:hideMark/>
          </w:tcPr>
          <w:p w:rsidR="00DA093B" w:rsidRDefault="00DA093B" w:rsidP="00DA093B">
            <w:pPr>
              <w:jc w:val="center"/>
            </w:pPr>
            <w:r>
              <w:t>1</w:t>
            </w:r>
            <w:r w:rsidR="007079DD">
              <w:rPr>
                <w:lang w:val="sr-Cyrl-RS"/>
              </w:rPr>
              <w:t>.</w:t>
            </w:r>
            <w:r>
              <w:t>066</w:t>
            </w:r>
          </w:p>
        </w:tc>
      </w:tr>
      <w:tr w:rsid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Default="00DA093B" w:rsidP="00DA093B">
            <w:r>
              <w:t>Специјалне школе</w:t>
            </w:r>
          </w:p>
        </w:tc>
        <w:tc>
          <w:tcPr>
            <w:tcW w:w="1161" w:type="dxa"/>
            <w:tcBorders>
              <w:top w:val="nil"/>
              <w:left w:val="nil"/>
              <w:bottom w:val="outset" w:sz="6" w:space="0" w:color="auto"/>
              <w:right w:val="outset" w:sz="6" w:space="0" w:color="auto"/>
            </w:tcBorders>
            <w:vAlign w:val="center"/>
            <w:hideMark/>
          </w:tcPr>
          <w:p w:rsidR="00DA093B" w:rsidRDefault="00DA093B" w:rsidP="00DA093B">
            <w:pPr>
              <w:jc w:val="center"/>
            </w:pPr>
            <w:r>
              <w:t>44</w:t>
            </w:r>
          </w:p>
        </w:tc>
        <w:tc>
          <w:tcPr>
            <w:tcW w:w="1631" w:type="dxa"/>
            <w:tcBorders>
              <w:top w:val="nil"/>
              <w:left w:val="nil"/>
              <w:bottom w:val="outset" w:sz="6" w:space="0" w:color="auto"/>
              <w:right w:val="outset" w:sz="6" w:space="0" w:color="auto"/>
            </w:tcBorders>
            <w:vAlign w:val="center"/>
            <w:hideMark/>
          </w:tcPr>
          <w:p w:rsidR="00DA093B" w:rsidRDefault="00DA093B" w:rsidP="00DA093B">
            <w:pPr>
              <w:jc w:val="center"/>
            </w:pPr>
            <w:r>
              <w:t>691</w:t>
            </w:r>
          </w:p>
        </w:tc>
        <w:tc>
          <w:tcPr>
            <w:tcW w:w="2196" w:type="dxa"/>
            <w:tcBorders>
              <w:top w:val="nil"/>
              <w:left w:val="nil"/>
              <w:bottom w:val="outset" w:sz="6" w:space="0" w:color="auto"/>
              <w:right w:val="outset" w:sz="6" w:space="0" w:color="auto"/>
            </w:tcBorders>
            <w:vAlign w:val="center"/>
            <w:hideMark/>
          </w:tcPr>
          <w:p w:rsidR="00DA093B" w:rsidRDefault="00DA093B" w:rsidP="00DA093B">
            <w:pPr>
              <w:jc w:val="center"/>
            </w:pPr>
            <w:r>
              <w:t>2</w:t>
            </w:r>
            <w:r w:rsidR="007079DD">
              <w:rPr>
                <w:lang w:val="sr-Cyrl-RS"/>
              </w:rPr>
              <w:t>.</w:t>
            </w:r>
            <w:r>
              <w:t>385</w:t>
            </w:r>
          </w:p>
        </w:tc>
      </w:tr>
      <w:tr w:rsid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Pr="00DA093B" w:rsidRDefault="00DA093B" w:rsidP="00DA093B">
            <w:pPr>
              <w:rPr>
                <w:lang w:val="ru-RU"/>
              </w:rPr>
            </w:pPr>
            <w:r w:rsidRPr="00DA093B">
              <w:rPr>
                <w:lang w:val="ru-RU"/>
              </w:rPr>
              <w:t>Средње музичке и балетске школе</w:t>
            </w:r>
          </w:p>
        </w:tc>
        <w:tc>
          <w:tcPr>
            <w:tcW w:w="1161" w:type="dxa"/>
            <w:tcBorders>
              <w:top w:val="nil"/>
              <w:left w:val="nil"/>
              <w:bottom w:val="outset" w:sz="6" w:space="0" w:color="auto"/>
              <w:right w:val="outset" w:sz="6" w:space="0" w:color="auto"/>
            </w:tcBorders>
            <w:vAlign w:val="center"/>
            <w:hideMark/>
          </w:tcPr>
          <w:p w:rsidR="00DA093B" w:rsidRDefault="00DA093B" w:rsidP="00DA093B">
            <w:pPr>
              <w:jc w:val="center"/>
            </w:pPr>
            <w:r>
              <w:t>33</w:t>
            </w:r>
          </w:p>
        </w:tc>
        <w:tc>
          <w:tcPr>
            <w:tcW w:w="1631" w:type="dxa"/>
            <w:tcBorders>
              <w:top w:val="nil"/>
              <w:left w:val="nil"/>
              <w:bottom w:val="outset" w:sz="6" w:space="0" w:color="auto"/>
              <w:right w:val="outset" w:sz="6" w:space="0" w:color="auto"/>
            </w:tcBorders>
            <w:vAlign w:val="center"/>
            <w:hideMark/>
          </w:tcPr>
          <w:p w:rsidR="00DA093B" w:rsidRDefault="00DA093B" w:rsidP="00DA093B">
            <w:pPr>
              <w:jc w:val="center"/>
            </w:pPr>
            <w:r>
              <w:t>992</w:t>
            </w:r>
          </w:p>
        </w:tc>
        <w:tc>
          <w:tcPr>
            <w:tcW w:w="2196" w:type="dxa"/>
            <w:tcBorders>
              <w:top w:val="nil"/>
              <w:left w:val="nil"/>
              <w:bottom w:val="outset" w:sz="6" w:space="0" w:color="auto"/>
              <w:right w:val="outset" w:sz="6" w:space="0" w:color="auto"/>
            </w:tcBorders>
            <w:vAlign w:val="center"/>
            <w:hideMark/>
          </w:tcPr>
          <w:p w:rsidR="00DA093B" w:rsidRDefault="00DA093B" w:rsidP="00DA093B">
            <w:pPr>
              <w:jc w:val="center"/>
            </w:pPr>
            <w:r>
              <w:t>2</w:t>
            </w:r>
            <w:r w:rsidR="007079DD">
              <w:rPr>
                <w:lang w:val="sr-Cyrl-RS"/>
              </w:rPr>
              <w:t>.</w:t>
            </w:r>
            <w:r>
              <w:t>271</w:t>
            </w:r>
          </w:p>
        </w:tc>
      </w:tr>
      <w:tr w:rsid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Default="00DA093B" w:rsidP="00DA093B">
            <w:r>
              <w:t>Средње стручне школе</w:t>
            </w:r>
          </w:p>
        </w:tc>
        <w:tc>
          <w:tcPr>
            <w:tcW w:w="1161" w:type="dxa"/>
            <w:tcBorders>
              <w:top w:val="nil"/>
              <w:left w:val="nil"/>
              <w:bottom w:val="outset" w:sz="6" w:space="0" w:color="auto"/>
              <w:right w:val="outset" w:sz="6" w:space="0" w:color="auto"/>
            </w:tcBorders>
            <w:vAlign w:val="center"/>
            <w:hideMark/>
          </w:tcPr>
          <w:p w:rsidR="00DA093B" w:rsidRDefault="00DA093B" w:rsidP="00DA093B">
            <w:pPr>
              <w:jc w:val="center"/>
            </w:pPr>
            <w:r>
              <w:t>349</w:t>
            </w:r>
          </w:p>
        </w:tc>
        <w:tc>
          <w:tcPr>
            <w:tcW w:w="1631" w:type="dxa"/>
            <w:tcBorders>
              <w:top w:val="nil"/>
              <w:left w:val="nil"/>
              <w:bottom w:val="outset" w:sz="6" w:space="0" w:color="auto"/>
              <w:right w:val="outset" w:sz="6" w:space="0" w:color="auto"/>
            </w:tcBorders>
            <w:vAlign w:val="center"/>
            <w:hideMark/>
          </w:tcPr>
          <w:p w:rsidR="00DA093B" w:rsidRDefault="00DA093B" w:rsidP="00DA093B">
            <w:pPr>
              <w:jc w:val="center"/>
            </w:pPr>
            <w:r>
              <w:t>10</w:t>
            </w:r>
            <w:r w:rsidR="007079DD">
              <w:rPr>
                <w:lang w:val="sr-Cyrl-RS"/>
              </w:rPr>
              <w:t>.</w:t>
            </w:r>
            <w:r>
              <w:t>201</w:t>
            </w:r>
          </w:p>
        </w:tc>
        <w:tc>
          <w:tcPr>
            <w:tcW w:w="2196" w:type="dxa"/>
            <w:tcBorders>
              <w:top w:val="nil"/>
              <w:left w:val="nil"/>
              <w:bottom w:val="outset" w:sz="6" w:space="0" w:color="auto"/>
              <w:right w:val="outset" w:sz="6" w:space="0" w:color="auto"/>
            </w:tcBorders>
            <w:vAlign w:val="center"/>
            <w:hideMark/>
          </w:tcPr>
          <w:p w:rsidR="00DA093B" w:rsidRDefault="00DA093B" w:rsidP="00DA093B">
            <w:pPr>
              <w:jc w:val="center"/>
            </w:pPr>
            <w:r>
              <w:t>17</w:t>
            </w:r>
            <w:r w:rsidR="007079DD">
              <w:rPr>
                <w:lang w:val="sr-Cyrl-RS"/>
              </w:rPr>
              <w:t>.</w:t>
            </w:r>
            <w:r>
              <w:t>849</w:t>
            </w:r>
          </w:p>
        </w:tc>
      </w:tr>
      <w:tr w:rsidR="00DA093B" w:rsidTr="00A11F03">
        <w:trPr>
          <w:trHeight w:val="300"/>
          <w:jc w:val="center"/>
        </w:trPr>
        <w:tc>
          <w:tcPr>
            <w:tcW w:w="4360" w:type="dxa"/>
            <w:tcBorders>
              <w:top w:val="nil"/>
              <w:left w:val="outset" w:sz="6" w:space="0" w:color="auto"/>
              <w:bottom w:val="outset" w:sz="6" w:space="0" w:color="auto"/>
              <w:right w:val="outset" w:sz="6" w:space="0" w:color="auto"/>
            </w:tcBorders>
            <w:vAlign w:val="center"/>
            <w:hideMark/>
          </w:tcPr>
          <w:p w:rsidR="00DA093B" w:rsidRDefault="00DA093B" w:rsidP="00DA093B">
            <w:r>
              <w:t>Функционално образовање одраслих</w:t>
            </w:r>
          </w:p>
        </w:tc>
        <w:tc>
          <w:tcPr>
            <w:tcW w:w="1161" w:type="dxa"/>
            <w:tcBorders>
              <w:top w:val="nil"/>
              <w:left w:val="nil"/>
              <w:bottom w:val="outset" w:sz="6" w:space="0" w:color="auto"/>
              <w:right w:val="outset" w:sz="6" w:space="0" w:color="auto"/>
            </w:tcBorders>
            <w:vAlign w:val="center"/>
            <w:hideMark/>
          </w:tcPr>
          <w:p w:rsidR="00DA093B" w:rsidRDefault="00DA093B" w:rsidP="00DA093B">
            <w:pPr>
              <w:jc w:val="center"/>
            </w:pPr>
            <w:r>
              <w:t>12</w:t>
            </w:r>
          </w:p>
        </w:tc>
        <w:tc>
          <w:tcPr>
            <w:tcW w:w="1631" w:type="dxa"/>
            <w:tcBorders>
              <w:top w:val="nil"/>
              <w:left w:val="nil"/>
              <w:bottom w:val="outset" w:sz="6" w:space="0" w:color="auto"/>
              <w:right w:val="outset" w:sz="6" w:space="0" w:color="auto"/>
            </w:tcBorders>
            <w:vAlign w:val="center"/>
            <w:hideMark/>
          </w:tcPr>
          <w:p w:rsidR="00DA093B" w:rsidRDefault="00DA093B" w:rsidP="00DA093B">
            <w:pPr>
              <w:jc w:val="center"/>
            </w:pPr>
            <w:r>
              <w:t>114</w:t>
            </w:r>
          </w:p>
        </w:tc>
        <w:tc>
          <w:tcPr>
            <w:tcW w:w="2196" w:type="dxa"/>
            <w:tcBorders>
              <w:top w:val="nil"/>
              <w:left w:val="nil"/>
              <w:bottom w:val="outset" w:sz="6" w:space="0" w:color="auto"/>
              <w:right w:val="outset" w:sz="6" w:space="0" w:color="auto"/>
            </w:tcBorders>
            <w:vAlign w:val="center"/>
            <w:hideMark/>
          </w:tcPr>
          <w:p w:rsidR="00DA093B" w:rsidRDefault="00DA093B" w:rsidP="00DA093B">
            <w:pPr>
              <w:jc w:val="center"/>
            </w:pPr>
            <w:r>
              <w:t>318</w:t>
            </w:r>
          </w:p>
        </w:tc>
      </w:tr>
      <w:tr w:rsidR="00BC110B" w:rsidTr="00A11F03">
        <w:trPr>
          <w:trHeight w:val="300"/>
          <w:jc w:val="center"/>
        </w:trPr>
        <w:tc>
          <w:tcPr>
            <w:tcW w:w="4360" w:type="dxa"/>
            <w:tcBorders>
              <w:top w:val="nil"/>
              <w:left w:val="outset" w:sz="6" w:space="0" w:color="auto"/>
              <w:bottom w:val="outset" w:sz="6" w:space="0" w:color="auto"/>
              <w:right w:val="outset" w:sz="6" w:space="0" w:color="auto"/>
            </w:tcBorders>
            <w:vAlign w:val="center"/>
          </w:tcPr>
          <w:p w:rsidR="00BC110B" w:rsidRDefault="00BC110B" w:rsidP="00BC110B">
            <w:r>
              <w:t>Предшколске установе</w:t>
            </w:r>
          </w:p>
        </w:tc>
        <w:tc>
          <w:tcPr>
            <w:tcW w:w="1161" w:type="dxa"/>
            <w:tcBorders>
              <w:top w:val="nil"/>
              <w:left w:val="nil"/>
              <w:bottom w:val="outset" w:sz="6" w:space="0" w:color="auto"/>
              <w:right w:val="outset" w:sz="6" w:space="0" w:color="auto"/>
            </w:tcBorders>
            <w:vAlign w:val="center"/>
          </w:tcPr>
          <w:p w:rsidR="00BC110B" w:rsidRDefault="00BC110B" w:rsidP="00BC110B">
            <w:pPr>
              <w:jc w:val="center"/>
            </w:pPr>
            <w:r>
              <w:t>178</w:t>
            </w:r>
          </w:p>
        </w:tc>
        <w:tc>
          <w:tcPr>
            <w:tcW w:w="1631" w:type="dxa"/>
            <w:tcBorders>
              <w:top w:val="nil"/>
              <w:left w:val="nil"/>
              <w:bottom w:val="outset" w:sz="6" w:space="0" w:color="auto"/>
              <w:right w:val="outset" w:sz="6" w:space="0" w:color="auto"/>
            </w:tcBorders>
            <w:vAlign w:val="center"/>
          </w:tcPr>
          <w:p w:rsidR="00BC110B" w:rsidRDefault="00BC110B" w:rsidP="00BC110B">
            <w:pPr>
              <w:jc w:val="center"/>
            </w:pPr>
            <w:r>
              <w:t>1</w:t>
            </w:r>
            <w:r w:rsidR="007079DD">
              <w:rPr>
                <w:lang w:val="sr-Cyrl-RS"/>
              </w:rPr>
              <w:t>.</w:t>
            </w:r>
            <w:r>
              <w:t>488</w:t>
            </w:r>
          </w:p>
        </w:tc>
        <w:tc>
          <w:tcPr>
            <w:tcW w:w="2196" w:type="dxa"/>
            <w:tcBorders>
              <w:top w:val="nil"/>
              <w:left w:val="nil"/>
              <w:bottom w:val="outset" w:sz="6" w:space="0" w:color="auto"/>
              <w:right w:val="outset" w:sz="6" w:space="0" w:color="auto"/>
            </w:tcBorders>
            <w:vAlign w:val="center"/>
          </w:tcPr>
          <w:p w:rsidR="00BC110B" w:rsidRDefault="00BC110B" w:rsidP="00BC110B">
            <w:pPr>
              <w:jc w:val="center"/>
            </w:pPr>
            <w:r>
              <w:t>21</w:t>
            </w:r>
            <w:r w:rsidR="007079DD">
              <w:rPr>
                <w:lang w:val="sr-Cyrl-RS"/>
              </w:rPr>
              <w:t>.</w:t>
            </w:r>
            <w:r>
              <w:t>150</w:t>
            </w:r>
          </w:p>
        </w:tc>
      </w:tr>
      <w:tr w:rsidR="00BC110B" w:rsidTr="00A11F03">
        <w:trPr>
          <w:trHeight w:val="300"/>
          <w:jc w:val="center"/>
        </w:trPr>
        <w:tc>
          <w:tcPr>
            <w:tcW w:w="4360" w:type="dxa"/>
            <w:tcBorders>
              <w:top w:val="nil"/>
              <w:left w:val="outset" w:sz="6" w:space="0" w:color="auto"/>
              <w:bottom w:val="outset" w:sz="6" w:space="0" w:color="auto"/>
              <w:right w:val="outset" w:sz="6" w:space="0" w:color="auto"/>
            </w:tcBorders>
            <w:vAlign w:val="center"/>
          </w:tcPr>
          <w:p w:rsidR="00BC110B" w:rsidRPr="00ED5881" w:rsidRDefault="007079DD" w:rsidP="00BC110B">
            <w:pPr>
              <w:rPr>
                <w:b/>
                <w:lang w:val="sr-Cyrl-RS"/>
              </w:rPr>
            </w:pPr>
            <w:r w:rsidRPr="00ED5881">
              <w:rPr>
                <w:b/>
                <w:lang w:val="sr-Cyrl-RS"/>
              </w:rPr>
              <w:t>УКУПНО</w:t>
            </w:r>
          </w:p>
        </w:tc>
        <w:tc>
          <w:tcPr>
            <w:tcW w:w="1161" w:type="dxa"/>
            <w:tcBorders>
              <w:top w:val="nil"/>
              <w:left w:val="nil"/>
              <w:bottom w:val="outset" w:sz="6" w:space="0" w:color="auto"/>
              <w:right w:val="outset" w:sz="6" w:space="0" w:color="auto"/>
            </w:tcBorders>
            <w:vAlign w:val="center"/>
            <w:hideMark/>
          </w:tcPr>
          <w:p w:rsidR="00BC110B" w:rsidRPr="00ED5881" w:rsidRDefault="007079DD" w:rsidP="00BC110B">
            <w:pPr>
              <w:jc w:val="center"/>
              <w:rPr>
                <w:b/>
                <w:lang w:val="sr-Cyrl-RS"/>
              </w:rPr>
            </w:pPr>
            <w:r w:rsidRPr="00ED5881">
              <w:rPr>
                <w:b/>
                <w:lang w:val="sr-Cyrl-RS"/>
              </w:rPr>
              <w:t>1.948</w:t>
            </w:r>
          </w:p>
        </w:tc>
        <w:tc>
          <w:tcPr>
            <w:tcW w:w="1631" w:type="dxa"/>
            <w:tcBorders>
              <w:top w:val="nil"/>
              <w:left w:val="nil"/>
              <w:bottom w:val="outset" w:sz="6" w:space="0" w:color="auto"/>
              <w:right w:val="outset" w:sz="6" w:space="0" w:color="auto"/>
            </w:tcBorders>
            <w:vAlign w:val="center"/>
            <w:hideMark/>
          </w:tcPr>
          <w:p w:rsidR="00BC110B" w:rsidRPr="00ED5881" w:rsidRDefault="007079DD" w:rsidP="00BC110B">
            <w:pPr>
              <w:jc w:val="center"/>
              <w:rPr>
                <w:b/>
                <w:lang w:val="sr-Cyrl-RS"/>
              </w:rPr>
            </w:pPr>
            <w:r w:rsidRPr="00ED5881">
              <w:rPr>
                <w:b/>
                <w:lang w:val="sr-Cyrl-RS"/>
              </w:rPr>
              <w:t>34.460</w:t>
            </w:r>
          </w:p>
        </w:tc>
        <w:tc>
          <w:tcPr>
            <w:tcW w:w="2196" w:type="dxa"/>
            <w:tcBorders>
              <w:top w:val="nil"/>
              <w:left w:val="nil"/>
              <w:bottom w:val="outset" w:sz="6" w:space="0" w:color="auto"/>
              <w:right w:val="outset" w:sz="6" w:space="0" w:color="auto"/>
            </w:tcBorders>
            <w:vAlign w:val="center"/>
            <w:hideMark/>
          </w:tcPr>
          <w:p w:rsidR="00BC110B" w:rsidRPr="00ED5881" w:rsidRDefault="007079DD" w:rsidP="00BC110B">
            <w:pPr>
              <w:jc w:val="center"/>
              <w:rPr>
                <w:b/>
                <w:lang w:val="sr-Cyrl-RS"/>
              </w:rPr>
            </w:pPr>
            <w:r w:rsidRPr="00ED5881">
              <w:rPr>
                <w:b/>
                <w:lang w:val="sr-Cyrl-RS"/>
              </w:rPr>
              <w:t>101.736</w:t>
            </w:r>
          </w:p>
        </w:tc>
      </w:tr>
    </w:tbl>
    <w:p w:rsidR="00DA093B" w:rsidRPr="005E321F" w:rsidRDefault="00DA093B" w:rsidP="00DA093B">
      <w:pPr>
        <w:pStyle w:val="BodyText2"/>
        <w:ind w:firstLine="720"/>
        <w:jc w:val="center"/>
        <w:rPr>
          <w:b/>
          <w:bCs/>
        </w:rPr>
      </w:pPr>
    </w:p>
    <w:p w:rsidR="009E4ECC" w:rsidRDefault="009E4ECC" w:rsidP="004358A3">
      <w:pPr>
        <w:pStyle w:val="BodyText2"/>
        <w:spacing w:before="60"/>
        <w:ind w:firstLine="720"/>
        <w:rPr>
          <w:lang w:val="sr-Cyrl-RS"/>
        </w:rPr>
      </w:pPr>
      <w:r>
        <w:t>У оквиру</w:t>
      </w:r>
      <w:r w:rsidRPr="005E321F">
        <w:t xml:space="preserve"> наставн</w:t>
      </w:r>
      <w:r>
        <w:t>их предмета, у складу са могућностима, постижу</w:t>
      </w:r>
      <w:r w:rsidRPr="005E321F">
        <w:t xml:space="preserve"> се исходи који се односе на поштовање родне равноправности, различитости и интеркултурални дијалог. Поштовање демократских процедура, одговорно, хумано и толератно понашање у</w:t>
      </w:r>
      <w:r>
        <w:t xml:space="preserve"> друштву, осетљивост на друштвен</w:t>
      </w:r>
      <w:r w:rsidRPr="005E321F">
        <w:t>у неправду, сарадња и тимски рад су неки од исхода који су повезани</w:t>
      </w:r>
      <w:r w:rsidR="00ED5881">
        <w:t xml:space="preserve"> са људским правима и </w:t>
      </w:r>
      <w:r>
        <w:t>део су наст</w:t>
      </w:r>
      <w:r w:rsidRPr="005E321F">
        <w:t>авних и ваннаставних активности.</w:t>
      </w:r>
      <w:r>
        <w:rPr>
          <w:lang w:val="sr-Cyrl-RS"/>
        </w:rPr>
        <w:t xml:space="preserve"> </w:t>
      </w:r>
    </w:p>
    <w:p w:rsidR="00877EAE" w:rsidRDefault="00877EAE" w:rsidP="004358A3">
      <w:pPr>
        <w:pStyle w:val="BodyText2"/>
        <w:spacing w:before="60"/>
        <w:ind w:firstLine="720"/>
      </w:pPr>
      <w:r>
        <w:t>Политике уписа у основн</w:t>
      </w:r>
      <w:r w:rsidR="00A25E20">
        <w:t>у школу, наставног програма</w:t>
      </w:r>
      <w:r w:rsidR="005E321F" w:rsidRPr="005E321F">
        <w:t xml:space="preserve"> оцењивања, људских ресурса и пружања додатне подршке дефинисане су так</w:t>
      </w:r>
      <w:r>
        <w:rPr>
          <w:lang w:val="sr-Cyrl-RS"/>
        </w:rPr>
        <w:t>о</w:t>
      </w:r>
      <w:r w:rsidR="005E321F" w:rsidRPr="005E321F">
        <w:t xml:space="preserve"> да подразумевају прилагођавање образовно-васпит</w:t>
      </w:r>
      <w:r w:rsidR="005E321F">
        <w:t>ним потребама ученика и једнак п</w:t>
      </w:r>
      <w:r w:rsidR="005E321F" w:rsidRPr="005E321F">
        <w:t xml:space="preserve">риступ без дискриминације. У погледу основног образовања у </w:t>
      </w:r>
      <w:r w:rsidR="005E321F" w:rsidRPr="005E321F">
        <w:rPr>
          <w:lang w:val="en-US"/>
        </w:rPr>
        <w:t>P</w:t>
      </w:r>
      <w:r w:rsidR="00A25E20">
        <w:rPr>
          <w:lang w:val="sr-Cyrl-RS"/>
        </w:rPr>
        <w:t>епублици</w:t>
      </w:r>
      <w:r>
        <w:rPr>
          <w:lang w:val="sr-Cyrl-RS"/>
        </w:rPr>
        <w:t xml:space="preserve"> </w:t>
      </w:r>
      <w:r w:rsidR="005E321F" w:rsidRPr="005E321F">
        <w:rPr>
          <w:lang w:val="en-US"/>
        </w:rPr>
        <w:t>C</w:t>
      </w:r>
      <w:r>
        <w:rPr>
          <w:lang w:val="sr-Cyrl-RS"/>
        </w:rPr>
        <w:t>рбији</w:t>
      </w:r>
      <w:r w:rsidR="005E321F" w:rsidRPr="005E321F">
        <w:rPr>
          <w:lang w:val="ru-RU"/>
        </w:rPr>
        <w:t xml:space="preserve">, </w:t>
      </w:r>
      <w:r w:rsidR="005E321F" w:rsidRPr="005E321F">
        <w:t xml:space="preserve">не постоје значајније разлике између броја дечака и девојчица уписаних у први разред </w:t>
      </w:r>
      <w:r>
        <w:rPr>
          <w:lang w:val="sr-Cyrl-RS"/>
        </w:rPr>
        <w:t xml:space="preserve">основне школе </w:t>
      </w:r>
      <w:r w:rsidRPr="00877EAE">
        <w:rPr>
          <w:lang w:val="sr-Cyrl-RS"/>
        </w:rPr>
        <w:t>јер</w:t>
      </w:r>
      <w:r w:rsidR="005E321F" w:rsidRPr="00877EAE">
        <w:t xml:space="preserve"> 49% </w:t>
      </w:r>
      <w:r w:rsidR="005E321F" w:rsidRPr="00877EAE">
        <w:rPr>
          <w:bCs/>
        </w:rPr>
        <w:t>чине двојчице</w:t>
      </w:r>
      <w:r w:rsidR="00A25E20">
        <w:rPr>
          <w:bCs/>
          <w:lang w:val="sr-Cyrl-RS"/>
        </w:rPr>
        <w:t xml:space="preserve"> и</w:t>
      </w:r>
      <w:r w:rsidR="005E321F" w:rsidRPr="00877EAE">
        <w:rPr>
          <w:bCs/>
        </w:rPr>
        <w:t xml:space="preserve"> 51% дечаци</w:t>
      </w:r>
      <w:r w:rsidR="005E321F" w:rsidRPr="005A3001">
        <w:rPr>
          <w:bCs/>
        </w:rPr>
        <w:t xml:space="preserve">. </w:t>
      </w:r>
      <w:r w:rsidR="005E321F" w:rsidRPr="005E321F">
        <w:t>Међутим, подаци показују да је образовни успех девојчица много већи него образовни успех дечака</w:t>
      </w:r>
      <w:r w:rsidR="00A25E20">
        <w:rPr>
          <w:lang w:val="sr-Cyrl-RS"/>
        </w:rPr>
        <w:t>,</w:t>
      </w:r>
      <w:r w:rsidR="005E321F" w:rsidRPr="005E321F">
        <w:t xml:space="preserve"> и то у току целог основног и средњег образовања. </w:t>
      </w:r>
    </w:p>
    <w:p w:rsidR="005E321F" w:rsidRPr="005E321F" w:rsidRDefault="005E321F" w:rsidP="004358A3">
      <w:pPr>
        <w:pStyle w:val="BodyText2"/>
        <w:spacing w:before="60"/>
        <w:ind w:firstLine="720"/>
      </w:pPr>
      <w:r w:rsidRPr="005E321F">
        <w:lastRenderedPageBreak/>
        <w:t xml:space="preserve">На нивоу </w:t>
      </w:r>
      <w:r w:rsidRPr="006C441E">
        <w:t>средњег образовања</w:t>
      </w:r>
      <w:r w:rsidRPr="005E321F">
        <w:t xml:space="preserve"> </w:t>
      </w:r>
      <w:r w:rsidR="006C441E" w:rsidRPr="00877EAE">
        <w:rPr>
          <w:bCs/>
        </w:rPr>
        <w:t>девојчице чине незнатну већи</w:t>
      </w:r>
      <w:r w:rsidRPr="00877EAE">
        <w:rPr>
          <w:bCs/>
        </w:rPr>
        <w:t>ну,</w:t>
      </w:r>
      <w:r w:rsidRPr="005A3001">
        <w:rPr>
          <w:bCs/>
        </w:rPr>
        <w:t xml:space="preserve"> </w:t>
      </w:r>
      <w:r w:rsidRPr="005E321F">
        <w:t>а родна неједнакост у образовању више се огледа у сегрегацији према образовним профилима, која указује на одржавање патријархалних образаца о женским и мушким занимањима. Трогодишње средње стручне школе завршава дупло више дечака него девојчица. Девојчице су и даље бројније у подручјима образовања: текстилство и кожарство, личне услуге, хемија, неметали</w:t>
      </w:r>
      <w:r w:rsidR="00680594">
        <w:rPr>
          <w:lang w:val="sr-Cyrl-RS"/>
        </w:rPr>
        <w:t>,</w:t>
      </w:r>
      <w:r w:rsidRPr="005E321F">
        <w:t xml:space="preserve"> графич</w:t>
      </w:r>
      <w:r w:rsidR="00680594">
        <w:rPr>
          <w:lang w:val="sr-Cyrl-RS"/>
        </w:rPr>
        <w:t xml:space="preserve">ки дизајн, </w:t>
      </w:r>
      <w:r w:rsidRPr="005E321F">
        <w:t xml:space="preserve"> здравство и социјална заштита. </w:t>
      </w:r>
      <w:r w:rsidR="0042566C">
        <w:rPr>
          <w:lang w:val="sr-Cyrl-RS"/>
        </w:rPr>
        <w:t>С друге стране, м</w:t>
      </w:r>
      <w:r w:rsidRPr="005E321F">
        <w:t>еђу ученицима који завршавају средње четворогодишње опште образовање (гимназије) више је девојчица (58%) него дечака (42%). Такође, девојчице су</w:t>
      </w:r>
      <w:r w:rsidR="00680594">
        <w:rPr>
          <w:lang w:val="sr-Cyrl-RS"/>
        </w:rPr>
        <w:t xml:space="preserve"> заступљеније</w:t>
      </w:r>
      <w:r w:rsidRPr="005E321F">
        <w:t xml:space="preserve"> међу ученицима који завршавају средње стручне четворогодишње школе (52% девојчица и </w:t>
      </w:r>
      <w:r w:rsidR="00680594">
        <w:t xml:space="preserve">48% дечака). Дечаци су заступљенији </w:t>
      </w:r>
      <w:r w:rsidRPr="005E321F">
        <w:t>у областима: електротехника, машинсгво и обрада метала, геодезија и грађевинарство, саобраћај, шумарство и обрада дрвета и геологија и рударство.</w:t>
      </w:r>
    </w:p>
    <w:p w:rsidR="00ED5881" w:rsidRDefault="005B578B" w:rsidP="004358A3">
      <w:pPr>
        <w:pStyle w:val="BodyText2"/>
        <w:spacing w:before="60"/>
        <w:ind w:firstLine="720"/>
        <w:rPr>
          <w:lang w:val="ru-RU"/>
        </w:rPr>
      </w:pPr>
      <w:r>
        <w:t>Према резултатима PISA</w:t>
      </w:r>
      <w:r w:rsidR="005E321F" w:rsidRPr="005E321F">
        <w:t xml:space="preserve"> теста (2012), девојчице показују боље резултате у читалачкој и научној писмености, а дечаци у математичкој писмености. Високе школе и факултете уписују и завршавају</w:t>
      </w:r>
      <w:r w:rsidR="00680594">
        <w:rPr>
          <w:lang w:val="sr-Cyrl-RS"/>
        </w:rPr>
        <w:t xml:space="preserve"> у већем броју</w:t>
      </w:r>
      <w:r w:rsidR="00680594">
        <w:t xml:space="preserve"> жене. Међу уписаним студентима жена је 58%,</w:t>
      </w:r>
      <w:r w:rsidR="005E321F" w:rsidRPr="005E321F">
        <w:t xml:space="preserve"> а међу дипломираним </w:t>
      </w:r>
      <w:r w:rsidR="00680594">
        <w:rPr>
          <w:lang w:val="sr-Cyrl-RS"/>
        </w:rPr>
        <w:t xml:space="preserve">студентима </w:t>
      </w:r>
      <w:r w:rsidR="005E321F" w:rsidRPr="005E321F">
        <w:t xml:space="preserve">59% </w:t>
      </w:r>
      <w:r w:rsidR="00680594">
        <w:rPr>
          <w:lang w:val="sr-Cyrl-RS"/>
        </w:rPr>
        <w:t xml:space="preserve">жена </w:t>
      </w:r>
      <w:r w:rsidR="005E321F" w:rsidRPr="005E321F">
        <w:t>(подаци за 2015. годину). Међу дипломи</w:t>
      </w:r>
      <w:r w:rsidR="00A25E20">
        <w:t>раним студентима у 2015. години</w:t>
      </w:r>
      <w:r w:rsidR="005E321F" w:rsidRPr="005E321F">
        <w:t xml:space="preserve"> жене чине </w:t>
      </w:r>
      <w:r w:rsidR="00680594">
        <w:t>више од половине у областима: образовање (87%); з</w:t>
      </w:r>
      <w:r w:rsidR="005E321F" w:rsidRPr="005E321F">
        <w:t>дра</w:t>
      </w:r>
      <w:r w:rsidR="00680594">
        <w:t>вство и социјална заштита (73%); у</w:t>
      </w:r>
      <w:r w:rsidR="005E321F" w:rsidRPr="005E321F">
        <w:t>метнос</w:t>
      </w:r>
      <w:r w:rsidR="00680594">
        <w:t>т и хуманистичке науке (71%) и д</w:t>
      </w:r>
      <w:r w:rsidR="005E321F" w:rsidRPr="005E321F">
        <w:t>рушгвене науке, пословање и право (61%). Мушкарци ч</w:t>
      </w:r>
      <w:r w:rsidR="00680594">
        <w:t xml:space="preserve">ине већину дипломираних </w:t>
      </w:r>
      <w:r w:rsidR="00680594">
        <w:rPr>
          <w:lang w:val="sr-Cyrl-RS"/>
        </w:rPr>
        <w:t xml:space="preserve">студената </w:t>
      </w:r>
      <w:r w:rsidR="00680594">
        <w:t>у подручјима: т</w:t>
      </w:r>
      <w:r w:rsidR="005E321F" w:rsidRPr="005E321F">
        <w:t>ехника, производња и грађевинарство (65%)</w:t>
      </w:r>
      <w:r w:rsidR="00680594">
        <w:rPr>
          <w:lang w:val="sr-Cyrl-RS"/>
        </w:rPr>
        <w:t>;</w:t>
      </w:r>
      <w:r w:rsidR="00680594">
        <w:t xml:space="preserve"> п</w:t>
      </w:r>
      <w:r w:rsidR="005E321F" w:rsidRPr="005E321F">
        <w:t>риродне науке,</w:t>
      </w:r>
      <w:r w:rsidR="0086124C">
        <w:t xml:space="preserve"> математика и иn</w:t>
      </w:r>
      <w:r w:rsidR="00680594">
        <w:t>форматика (54%); пољопривреда и ветерина (54%) и у</w:t>
      </w:r>
      <w:r w:rsidR="0042566C">
        <w:t>слуге (51%).</w:t>
      </w:r>
      <w:r w:rsidR="0086124C" w:rsidRPr="0086124C">
        <w:rPr>
          <w:lang w:val="ru-RU"/>
        </w:rPr>
        <w:t xml:space="preserve"> </w:t>
      </w:r>
    </w:p>
    <w:p w:rsidR="005E321F" w:rsidRPr="00ED5881" w:rsidRDefault="00680594" w:rsidP="004358A3">
      <w:pPr>
        <w:pStyle w:val="BodyText2"/>
        <w:spacing w:before="60"/>
        <w:ind w:firstLine="720"/>
        <w:rPr>
          <w:lang w:val="sr-Cyrl-RS"/>
        </w:rPr>
      </w:pPr>
      <w:r>
        <w:rPr>
          <w:lang w:val="sr-Cyrl-RS"/>
        </w:rPr>
        <w:t xml:space="preserve">Што се тиче тзв. информатичке писмености, у </w:t>
      </w:r>
      <w:r w:rsidR="005E321F" w:rsidRPr="005E321F">
        <w:t>већини старосних група</w:t>
      </w:r>
      <w:r>
        <w:rPr>
          <w:lang w:val="sr-Cyrl-RS"/>
        </w:rPr>
        <w:t>,</w:t>
      </w:r>
      <w:r w:rsidR="005E321F" w:rsidRPr="005E321F">
        <w:t xml:space="preserve"> писменији </w:t>
      </w:r>
      <w:r>
        <w:rPr>
          <w:lang w:val="sr-Cyrl-RS"/>
        </w:rPr>
        <w:t xml:space="preserve">су </w:t>
      </w:r>
      <w:r w:rsidR="005E321F" w:rsidRPr="005E321F">
        <w:t>мушкарци него жене. Само међу најмлађима (16-24 године) мало више девојака/жена користи рачунар</w:t>
      </w:r>
      <w:r w:rsidR="006C441E">
        <w:t>е. У старијим старосним групама,</w:t>
      </w:r>
      <w:r w:rsidR="005E321F" w:rsidRPr="005E321F">
        <w:t xml:space="preserve"> међу корисницима рачунара, бројнији су мушкарци. Већина корис</w:t>
      </w:r>
      <w:r w:rsidR="006C441E">
        <w:t xml:space="preserve">ника интернета су, такође, </w:t>
      </w:r>
      <w:r w:rsidR="005E321F" w:rsidRPr="005E321F">
        <w:t>мушкарци.</w:t>
      </w:r>
      <w:r w:rsidR="00ED5881">
        <w:rPr>
          <w:lang w:val="sr-Cyrl-RS"/>
        </w:rPr>
        <w:t xml:space="preserve"> Наведени подаци говоре </w:t>
      </w:r>
      <w:r w:rsidR="00A25E20">
        <w:rPr>
          <w:lang w:val="sr-Cyrl-RS"/>
        </w:rPr>
        <w:t>о потреби већег укључивања жен</w:t>
      </w:r>
      <w:r w:rsidR="00AF0F69">
        <w:rPr>
          <w:lang w:val="sr-Cyrl-RS"/>
        </w:rPr>
        <w:t xml:space="preserve">а, </w:t>
      </w:r>
      <w:r w:rsidR="00ED5881">
        <w:rPr>
          <w:lang w:val="sr-Cyrl-RS"/>
        </w:rPr>
        <w:t>свих узраста</w:t>
      </w:r>
      <w:r w:rsidR="00AF0F69">
        <w:rPr>
          <w:lang w:val="sr-Cyrl-RS"/>
        </w:rPr>
        <w:t>,</w:t>
      </w:r>
      <w:r w:rsidR="00ED5881">
        <w:rPr>
          <w:lang w:val="sr-Cyrl-RS"/>
        </w:rPr>
        <w:t xml:space="preserve"> у информатичке обуке.</w:t>
      </w:r>
    </w:p>
    <w:p w:rsidR="0086124C" w:rsidRPr="003174C4" w:rsidRDefault="00017E21" w:rsidP="004358A3">
      <w:pPr>
        <w:pStyle w:val="BodyText2"/>
        <w:spacing w:before="60"/>
        <w:ind w:firstLine="720"/>
        <w:rPr>
          <w:lang w:val="sr-Cyrl-RS"/>
        </w:rPr>
      </w:pPr>
      <w:r>
        <w:rPr>
          <w:lang w:val="sr-Cyrl-RS"/>
        </w:rPr>
        <w:t>На основу</w:t>
      </w:r>
      <w:r>
        <w:t xml:space="preserve"> три истраживања</w:t>
      </w:r>
      <w:r w:rsidR="007033D9">
        <w:rPr>
          <w:lang w:val="sr-Cyrl-RS"/>
        </w:rPr>
        <w:t>,</w:t>
      </w:r>
      <w:r>
        <w:t xml:space="preserve"> </w:t>
      </w:r>
      <w:r>
        <w:rPr>
          <w:lang w:val="sr-Cyrl-RS"/>
        </w:rPr>
        <w:t xml:space="preserve">која су својеврмено </w:t>
      </w:r>
      <w:r>
        <w:t>покренута од стране некадашње Управе за родну равноправност Министарства рада</w:t>
      </w:r>
      <w:r w:rsidR="007033D9">
        <w:t xml:space="preserve"> и социјалне политике Републике,</w:t>
      </w:r>
      <w:r w:rsidR="007033D9">
        <w:rPr>
          <w:lang w:val="sr-Cyrl-RS"/>
        </w:rPr>
        <w:t xml:space="preserve"> </w:t>
      </w:r>
      <w:r>
        <w:rPr>
          <w:lang w:val="sr-Cyrl-RS"/>
        </w:rPr>
        <w:t>која су се</w:t>
      </w:r>
      <w:r>
        <w:t xml:space="preserve"> односила на анализу наставног материјала за основну и средњу школу</w:t>
      </w:r>
      <w:r>
        <w:rPr>
          <w:lang w:val="sr-Cyrl-RS"/>
        </w:rPr>
        <w:t xml:space="preserve"> за</w:t>
      </w:r>
      <w:r>
        <w:t xml:space="preserve"> наставне предмете</w:t>
      </w:r>
      <w:r w:rsidR="007033D9">
        <w:rPr>
          <w:lang w:val="sr-Cyrl-RS"/>
        </w:rPr>
        <w:t>:</w:t>
      </w:r>
      <w:r>
        <w:t xml:space="preserve"> Грађанско васпитање, Свет око нас, Природа и друштво, Биологија, Географија, Социологија и Устав и права грађана (Стјепановић</w:t>
      </w:r>
      <w:r>
        <w:rPr>
          <w:lang w:val="sr-Cyrl-RS"/>
        </w:rPr>
        <w:t xml:space="preserve"> </w:t>
      </w:r>
      <w:r>
        <w:t xml:space="preserve">Захаријевски и др., 2010; Ђорић и др., 2010), </w:t>
      </w:r>
      <w:r>
        <w:rPr>
          <w:lang w:val="sr-Cyrl-RS"/>
        </w:rPr>
        <w:t xml:space="preserve">као и </w:t>
      </w:r>
      <w:r w:rsidR="007033D9">
        <w:rPr>
          <w:lang w:val="sr-Cyrl-RS"/>
        </w:rPr>
        <w:t xml:space="preserve">на </w:t>
      </w:r>
      <w:r>
        <w:t>анализу родне димензије у високошколском образовном материјалу (Баћевић и др., 2010)</w:t>
      </w:r>
      <w:r>
        <w:rPr>
          <w:lang w:val="sr-Cyrl-RS"/>
        </w:rPr>
        <w:t>,</w:t>
      </w:r>
      <w:r w:rsidR="007033D9">
        <w:rPr>
          <w:lang w:val="sr-Cyrl-RS"/>
        </w:rPr>
        <w:t xml:space="preserve"> </w:t>
      </w:r>
      <w:r>
        <w:rPr>
          <w:lang w:val="sr-Cyrl-RS"/>
        </w:rPr>
        <w:t>2018. године је од стране Тима за социјалну инклузију и смањивање сиромаштва Владе Републике Србије подржано</w:t>
      </w:r>
      <w:r>
        <w:t xml:space="preserve"> </w:t>
      </w:r>
      <w:r>
        <w:rPr>
          <w:lang w:val="sr-Cyrl-RS"/>
        </w:rPr>
        <w:t>и</w:t>
      </w:r>
      <w:r>
        <w:t xml:space="preserve">страживање </w:t>
      </w:r>
      <w:r>
        <w:rPr>
          <w:lang w:val="sr-Cyrl-RS"/>
        </w:rPr>
        <w:t>под називом: „</w:t>
      </w:r>
      <w:r>
        <w:t>Родна анализа наставних програма и уџбеника за српски језик од првог до четвртог разреда основне школе</w:t>
      </w:r>
      <w:r>
        <w:rPr>
          <w:lang w:val="sr-Cyrl-RS"/>
        </w:rPr>
        <w:t>“</w:t>
      </w:r>
      <w:r w:rsidR="007033D9">
        <w:rPr>
          <w:lang w:val="sr-Cyrl-RS"/>
        </w:rPr>
        <w:t xml:space="preserve">, а издавање истоимене публикације </w:t>
      </w:r>
      <w:r w:rsidR="00ED5881">
        <w:rPr>
          <w:lang w:val="sr-Cyrl-RS"/>
        </w:rPr>
        <w:t xml:space="preserve">подржано је </w:t>
      </w:r>
      <w:r w:rsidR="007033D9">
        <w:t xml:space="preserve">средствима Швајцарске агенције за развој и сарадњу у оквиру пројекта „Подршка унапређењу социјалног укључивања у Републици Србији”. </w:t>
      </w:r>
      <w:r w:rsidR="0086124C">
        <w:t xml:space="preserve">Предмет анализе чине наставни програми и уџбеници Српског језика три издавача за први, други, трећи и четврти разред основне школе с обзиром на то да је рад на унапређењу родне равноправности у друштву неопходно започети од раног узраста деце. </w:t>
      </w:r>
      <w:r w:rsidR="003174C4">
        <w:rPr>
          <w:lang w:val="sr-Cyrl-RS"/>
        </w:rPr>
        <w:t>Неки од закључака поменуте анализе су: 1. да су аутори читанки код свих издавача много заст</w:t>
      </w:r>
      <w:r w:rsidR="00A25E20">
        <w:rPr>
          <w:lang w:val="sr-Cyrl-RS"/>
        </w:rPr>
        <w:t>у</w:t>
      </w:r>
      <w:r w:rsidR="003174C4">
        <w:rPr>
          <w:lang w:val="sr-Cyrl-RS"/>
        </w:rPr>
        <w:t xml:space="preserve">пљенији него ауторке; </w:t>
      </w:r>
      <w:r w:rsidR="003174C4">
        <w:t xml:space="preserve">2. </w:t>
      </w:r>
      <w:r w:rsidR="003174C4">
        <w:rPr>
          <w:lang w:val="sr-Cyrl-RS"/>
        </w:rPr>
        <w:t>м</w:t>
      </w:r>
      <w:r w:rsidR="003174C4">
        <w:t>ушки ликови су заступљенији у текстовима и на сликовним прилозима (</w:t>
      </w:r>
      <w:r w:rsidR="00A25E20">
        <w:rPr>
          <w:lang w:val="sr-Cyrl-RS"/>
        </w:rPr>
        <w:t>осим</w:t>
      </w:r>
      <w:r w:rsidR="003174C4">
        <w:t xml:space="preserve"> у илустрацијама Klett-ове читанке за други разред) у поређењу са женским ликовима</w:t>
      </w:r>
      <w:r w:rsidR="003174C4">
        <w:rPr>
          <w:lang w:val="sr-Cyrl-RS"/>
        </w:rPr>
        <w:t xml:space="preserve">; 3. </w:t>
      </w:r>
      <w:r w:rsidR="003174C4">
        <w:t>неупоредиво је шири дијапазон мушких професија, особина, вредности и интересовања, а један од разлога је и мала заступљеност жeнских ликова</w:t>
      </w:r>
      <w:r w:rsidR="007033D9">
        <w:rPr>
          <w:lang w:val="sr-Cyrl-RS"/>
        </w:rPr>
        <w:t xml:space="preserve"> у чита</w:t>
      </w:r>
      <w:r w:rsidR="003174C4">
        <w:rPr>
          <w:lang w:val="sr-Cyrl-RS"/>
        </w:rPr>
        <w:t>нкама</w:t>
      </w:r>
      <w:r w:rsidR="003174C4">
        <w:t xml:space="preserve">; </w:t>
      </w:r>
      <w:r w:rsidR="007033D9">
        <w:rPr>
          <w:lang w:val="sr-Cyrl-RS"/>
        </w:rPr>
        <w:t>4.</w:t>
      </w:r>
      <w:r w:rsidR="003174C4">
        <w:rPr>
          <w:lang w:val="sr-Cyrl-RS"/>
        </w:rPr>
        <w:t xml:space="preserve"> о</w:t>
      </w:r>
      <w:r w:rsidR="003174C4">
        <w:t xml:space="preserve">собине женских и мушких ликова су углавном родно стереотипне – женски ликови су најчешће пасивни, послушни и понизни, незналице, а мушки паметни, предузимљиви и храбри; 5. </w:t>
      </w:r>
      <w:r w:rsidR="007033D9">
        <w:t>у</w:t>
      </w:r>
      <w:r w:rsidR="003174C4">
        <w:t xml:space="preserve"> текстовима већине читанки је присутна родно стереотипна подела простора између женских и мушких ликова – мушки ликови се чешће појављују у јавном простору и на отвореном, чиме се упућује одређена порука дечацима и девојчицама о томе шта је за њих прикладно понашање и деловање, односно да је сфера </w:t>
      </w:r>
      <w:r w:rsidR="003174C4">
        <w:lastRenderedPageBreak/>
        <w:t xml:space="preserve">домаћинства оквир деловања жена, а да је деловање у јавној сфери намењено мушкарцима итд. Општи је закључак </w:t>
      </w:r>
      <w:r w:rsidR="007033D9">
        <w:rPr>
          <w:lang w:val="sr-Cyrl-RS"/>
        </w:rPr>
        <w:t xml:space="preserve">аутора </w:t>
      </w:r>
      <w:r w:rsidR="003174C4">
        <w:rPr>
          <w:lang w:val="sr-Cyrl-RS"/>
        </w:rPr>
        <w:t xml:space="preserve">ове анализе </w:t>
      </w:r>
      <w:r w:rsidR="003174C4">
        <w:t>да уџбеници из Српског језика као дидакти</w:t>
      </w:r>
      <w:r w:rsidR="00A25E20">
        <w:t>чко-методички апарат не подстичу</w:t>
      </w:r>
      <w:r w:rsidR="003174C4">
        <w:t xml:space="preserve"> довољно сазнање, интересовање и ангажовање ученика и ученица за родну равноправност, нити њихов самостални истраживачки рад и развој мишљења у правцу критичког </w:t>
      </w:r>
      <w:r w:rsidR="00A25E20">
        <w:rPr>
          <w:lang w:val="sr-Cyrl-RS"/>
        </w:rPr>
        <w:t>сагледавања</w:t>
      </w:r>
      <w:r w:rsidR="003174C4">
        <w:t xml:space="preserve"> родне неравноправности у породици или друштву.</w:t>
      </w:r>
    </w:p>
    <w:p w:rsidR="006C441E" w:rsidRDefault="006C441E" w:rsidP="004358A3">
      <w:pPr>
        <w:pStyle w:val="BodyText2"/>
        <w:spacing w:before="60"/>
        <w:ind w:firstLine="720"/>
        <w:rPr>
          <w:lang w:val="ru-RU"/>
        </w:rPr>
      </w:pPr>
      <w:r w:rsidRPr="007033D9">
        <w:rPr>
          <w:lang w:val="ru-RU"/>
        </w:rPr>
        <w:t>Због</w:t>
      </w:r>
      <w:r w:rsidR="007033D9" w:rsidRPr="007033D9">
        <w:rPr>
          <w:lang w:val="ru-RU"/>
        </w:rPr>
        <w:t xml:space="preserve"> евидентног</w:t>
      </w:r>
      <w:r w:rsidRPr="007033D9">
        <w:rPr>
          <w:lang w:val="ru-RU"/>
        </w:rPr>
        <w:t xml:space="preserve"> постојања родних стереотипа у наставним материјалима и уџбеницима за</w:t>
      </w:r>
      <w:r w:rsidR="00680594" w:rsidRPr="007033D9">
        <w:rPr>
          <w:lang w:val="ru-RU"/>
        </w:rPr>
        <w:t xml:space="preserve"> основну и средњу школу који су садржани </w:t>
      </w:r>
      <w:r w:rsidRPr="007033D9">
        <w:rPr>
          <w:lang w:val="ru-RU"/>
        </w:rPr>
        <w:t>у старим уџбеницима</w:t>
      </w:r>
      <w:r w:rsidR="00680594" w:rsidRPr="007033D9">
        <w:rPr>
          <w:lang w:val="ru-RU"/>
        </w:rPr>
        <w:t>,</w:t>
      </w:r>
      <w:r w:rsidRPr="007033D9">
        <w:rPr>
          <w:lang w:val="ru-RU"/>
        </w:rPr>
        <w:t xml:space="preserve"> одобр</w:t>
      </w:r>
      <w:r w:rsidR="00680594" w:rsidRPr="007033D9">
        <w:rPr>
          <w:lang w:val="ru-RU"/>
        </w:rPr>
        <w:t xml:space="preserve">еним пре 2009. године, у </w:t>
      </w:r>
      <w:r w:rsidR="007033D9" w:rsidRPr="007033D9">
        <w:rPr>
          <w:lang w:val="sr-Cyrl-RS"/>
        </w:rPr>
        <w:t xml:space="preserve">Министарству просвете, науке и технолошког развоја </w:t>
      </w:r>
      <w:r w:rsidR="00680594">
        <w:rPr>
          <w:lang w:val="ru-RU"/>
        </w:rPr>
        <w:t>су предвиђене</w:t>
      </w:r>
      <w:r w:rsidR="00A25E20">
        <w:rPr>
          <w:lang w:val="ru-RU"/>
        </w:rPr>
        <w:t xml:space="preserve"> су</w:t>
      </w:r>
      <w:r w:rsidR="007033D9">
        <w:rPr>
          <w:lang w:val="ru-RU"/>
        </w:rPr>
        <w:t xml:space="preserve"> и у настави се примењују</w:t>
      </w:r>
      <w:r w:rsidRPr="00EC2E2A">
        <w:rPr>
          <w:lang w:val="ru-RU"/>
        </w:rPr>
        <w:t xml:space="preserve"> </w:t>
      </w:r>
      <w:r w:rsidR="00EE4994">
        <w:rPr>
          <w:lang w:val="ru-RU"/>
        </w:rPr>
        <w:t xml:space="preserve">следеће </w:t>
      </w:r>
      <w:r w:rsidRPr="00EC2E2A">
        <w:rPr>
          <w:lang w:val="ru-RU"/>
        </w:rPr>
        <w:t>мере:</w:t>
      </w:r>
      <w:r w:rsidR="0042566C" w:rsidRPr="0042566C">
        <w:rPr>
          <w:lang w:val="ru-RU"/>
        </w:rPr>
        <w:t xml:space="preserve"> </w:t>
      </w:r>
      <w:r w:rsidRPr="00EC2E2A">
        <w:rPr>
          <w:lang w:val="ru-RU"/>
        </w:rPr>
        <w:t>уклањање стереотипних приказа родних улога/професија;</w:t>
      </w:r>
      <w:r w:rsidR="0042566C" w:rsidRPr="0042566C">
        <w:rPr>
          <w:lang w:val="ru-RU"/>
        </w:rPr>
        <w:t xml:space="preserve"> </w:t>
      </w:r>
      <w:r w:rsidR="00EE4994">
        <w:rPr>
          <w:lang w:val="ru-RU"/>
        </w:rPr>
        <w:t>н</w:t>
      </w:r>
      <w:r w:rsidRPr="00EC2E2A">
        <w:rPr>
          <w:lang w:val="ru-RU"/>
        </w:rPr>
        <w:t>еговање свести о различитостима, промовисање ненасилне културе, равноправиости и недискриминаторне праксе;</w:t>
      </w:r>
      <w:r w:rsidR="0042566C" w:rsidRPr="0042566C">
        <w:rPr>
          <w:lang w:val="ru-RU"/>
        </w:rPr>
        <w:t xml:space="preserve"> </w:t>
      </w:r>
      <w:r w:rsidR="00ED5881">
        <w:rPr>
          <w:lang w:val="ru-RU"/>
        </w:rPr>
        <w:t>развијање свести о различитости,</w:t>
      </w:r>
      <w:r w:rsidRPr="00EC2E2A">
        <w:rPr>
          <w:lang w:val="ru-RU"/>
        </w:rPr>
        <w:t xml:space="preserve"> интеркултуралности и заједничким вредностима кроз представљање знаменитих личности различитих етничких, верских група и култура;</w:t>
      </w:r>
      <w:r w:rsidR="0042566C" w:rsidRPr="0042566C">
        <w:rPr>
          <w:lang w:val="ru-RU"/>
        </w:rPr>
        <w:t xml:space="preserve"> </w:t>
      </w:r>
      <w:r w:rsidRPr="00EC2E2A">
        <w:rPr>
          <w:lang w:val="ru-RU"/>
        </w:rPr>
        <w:t>промовисање жена које су постигле</w:t>
      </w:r>
      <w:r w:rsidR="0042566C" w:rsidRPr="0042566C">
        <w:rPr>
          <w:lang w:val="ru-RU"/>
        </w:rPr>
        <w:t xml:space="preserve"> </w:t>
      </w:r>
      <w:r w:rsidRPr="00EC2E2A">
        <w:rPr>
          <w:lang w:val="ru-RU"/>
        </w:rPr>
        <w:t>успех у различитим областима;</w:t>
      </w:r>
      <w:r w:rsidR="0042566C" w:rsidRPr="0042566C">
        <w:rPr>
          <w:lang w:val="ru-RU"/>
        </w:rPr>
        <w:t xml:space="preserve"> </w:t>
      </w:r>
      <w:r w:rsidRPr="00EC2E2A">
        <w:rPr>
          <w:lang w:val="ru-RU"/>
        </w:rPr>
        <w:t>представљање различитих модела породице у уџбеницима (самохрани р</w:t>
      </w:r>
      <w:r w:rsidR="00EE4994">
        <w:rPr>
          <w:lang w:val="ru-RU"/>
        </w:rPr>
        <w:t>одитељи, старатељске породице, п</w:t>
      </w:r>
      <w:r w:rsidR="007033D9">
        <w:rPr>
          <w:lang w:val="ru-RU"/>
        </w:rPr>
        <w:t>ородице без деце,</w:t>
      </w:r>
      <w:r w:rsidRPr="00EC2E2A">
        <w:rPr>
          <w:lang w:val="ru-RU"/>
        </w:rPr>
        <w:t xml:space="preserve"> право истополних партнера на породицу и сл</w:t>
      </w:r>
      <w:r w:rsidR="00AF0F69">
        <w:rPr>
          <w:lang w:val="ru-RU"/>
        </w:rPr>
        <w:t>.</w:t>
      </w:r>
      <w:r w:rsidRPr="00EC2E2A">
        <w:rPr>
          <w:lang w:val="ru-RU"/>
        </w:rPr>
        <w:t>) кроз наставне садржаје и наставне материјале;</w:t>
      </w:r>
      <w:r w:rsidR="0042566C" w:rsidRPr="0042566C">
        <w:rPr>
          <w:lang w:val="ru-RU"/>
        </w:rPr>
        <w:t xml:space="preserve"> </w:t>
      </w:r>
      <w:r w:rsidRPr="00EC2E2A">
        <w:rPr>
          <w:lang w:val="ru-RU"/>
        </w:rPr>
        <w:t>допуна плана наставе и</w:t>
      </w:r>
      <w:r w:rsidR="00EE4994">
        <w:rPr>
          <w:lang w:val="ru-RU"/>
        </w:rPr>
        <w:t>з предмета</w:t>
      </w:r>
      <w:r w:rsidRPr="00EC2E2A">
        <w:rPr>
          <w:lang w:val="ru-RU"/>
        </w:rPr>
        <w:t xml:space="preserve"> Грађанско васпитањ</w:t>
      </w:r>
      <w:r w:rsidR="00EE4994">
        <w:rPr>
          <w:lang w:val="ru-RU"/>
        </w:rPr>
        <w:t>е,</w:t>
      </w:r>
      <w:r w:rsidRPr="00EC2E2A">
        <w:rPr>
          <w:lang w:val="ru-RU"/>
        </w:rPr>
        <w:t xml:space="preserve"> тако да укључује конкре</w:t>
      </w:r>
      <w:r w:rsidR="00EE4994">
        <w:rPr>
          <w:lang w:val="ru-RU"/>
        </w:rPr>
        <w:t>т</w:t>
      </w:r>
      <w:r w:rsidRPr="00EC2E2A">
        <w:rPr>
          <w:lang w:val="ru-RU"/>
        </w:rPr>
        <w:t>не радионице о спречавању дискриминације и ублажавању предрасуда према деци из осетљи</w:t>
      </w:r>
      <w:r w:rsidR="00EE4994">
        <w:rPr>
          <w:lang w:val="ru-RU"/>
        </w:rPr>
        <w:t>вих и маргинализованих група (де</w:t>
      </w:r>
      <w:r w:rsidRPr="00EC2E2A">
        <w:rPr>
          <w:lang w:val="ru-RU"/>
        </w:rPr>
        <w:t>ца са сметњама у развоју, тешкоћама у учењу, деца која су социјално у</w:t>
      </w:r>
      <w:r w:rsidR="00EE4994">
        <w:rPr>
          <w:lang w:val="ru-RU"/>
        </w:rPr>
        <w:t>скраћена) у свим разредима,</w:t>
      </w:r>
      <w:r w:rsidR="00EE4994" w:rsidRPr="00EE4994">
        <w:rPr>
          <w:lang w:val="ru-RU"/>
        </w:rPr>
        <w:t xml:space="preserve"> </w:t>
      </w:r>
      <w:r w:rsidR="00EE4994">
        <w:rPr>
          <w:lang w:val="ru-RU"/>
        </w:rPr>
        <w:t>према</w:t>
      </w:r>
      <w:r w:rsidR="00EE4994" w:rsidRPr="00EC2E2A">
        <w:rPr>
          <w:lang w:val="ru-RU"/>
        </w:rPr>
        <w:t xml:space="preserve"> принципима инклузивног образовања</w:t>
      </w:r>
      <w:r w:rsidR="00EE4994">
        <w:rPr>
          <w:lang w:val="ru-RU"/>
        </w:rPr>
        <w:t>;</w:t>
      </w:r>
      <w:r w:rsidR="0042566C" w:rsidRPr="0042566C">
        <w:rPr>
          <w:lang w:val="ru-RU"/>
        </w:rPr>
        <w:t xml:space="preserve"> </w:t>
      </w:r>
      <w:r w:rsidRPr="00EC2E2A">
        <w:rPr>
          <w:lang w:val="ru-RU"/>
        </w:rPr>
        <w:t>већа видљивост деце из маргинализованих група у уџбеницима, плановима и програмима (текстови, ра</w:t>
      </w:r>
      <w:r w:rsidR="00EE4994">
        <w:rPr>
          <w:lang w:val="ru-RU"/>
        </w:rPr>
        <w:t>дионице, фотографије).</w:t>
      </w:r>
    </w:p>
    <w:p w:rsidR="000A06B5" w:rsidRPr="008E00F2" w:rsidRDefault="007033D9" w:rsidP="004358A3">
      <w:pPr>
        <w:pStyle w:val="BodyText2"/>
        <w:spacing w:before="60"/>
        <w:ind w:firstLine="720"/>
        <w:rPr>
          <w:lang w:val="sr-Cyrl-RS"/>
        </w:rPr>
      </w:pPr>
      <w:r w:rsidRPr="007033D9">
        <w:rPr>
          <w:lang w:val="sr-Cyrl-RS"/>
        </w:rPr>
        <w:t>Вршњачко насиље, које може бити и родно засновано, такође било премет извештавања Министарства</w:t>
      </w:r>
      <w:r w:rsidR="000A06B5" w:rsidRPr="007033D9">
        <w:rPr>
          <w:lang w:val="sr-Cyrl-RS"/>
        </w:rPr>
        <w:t xml:space="preserve"> просвете, науке и технолошког развоја </w:t>
      </w:r>
      <w:r w:rsidRPr="007033D9">
        <w:rPr>
          <w:lang w:val="sr-Cyrl-RS"/>
        </w:rPr>
        <w:t xml:space="preserve">које је </w:t>
      </w:r>
      <w:r w:rsidR="000A06B5" w:rsidRPr="007033D9">
        <w:rPr>
          <w:lang w:val="sr-Cyrl-RS"/>
        </w:rPr>
        <w:t>доставило податке да је реализовало истраживање о учесталости родно заснованог насиља у образовно васпитним установама у Републици Србији. Истраживање је спроведено као део два програма: заједничког пројекта Уједињених нација „Интегрисани одговор на насиље над женама“ који заједно спроводе Дечји фонд Уједињених нација (</w:t>
      </w:r>
      <w:r w:rsidR="005B578B">
        <w:rPr>
          <w:lang w:val="en-US"/>
        </w:rPr>
        <w:t>UNICEF</w:t>
      </w:r>
      <w:r w:rsidR="000A06B5" w:rsidRPr="007033D9">
        <w:rPr>
          <w:lang w:val="sr-Cyrl-RS"/>
        </w:rPr>
        <w:t xml:space="preserve">), Програм Уједињених нација за развој (UNDP) и Агенција УН посвећена родној равноправности (UN Women) и друго, програма „Школа без насиља“, који спроводи Министарство просвете, науке и технолошког развоја уз стручну и финансијску подршку </w:t>
      </w:r>
      <w:r w:rsidR="005B578B">
        <w:rPr>
          <w:lang w:val="en-US"/>
        </w:rPr>
        <w:t>UNICEF</w:t>
      </w:r>
      <w:r w:rsidR="000A06B5" w:rsidRPr="007033D9">
        <w:rPr>
          <w:lang w:val="sr-Cyrl-RS"/>
        </w:rPr>
        <w:t xml:space="preserve">-а. У истраживању су учествовале 24.982 особе, од тога 13.609 деце основношколског и </w:t>
      </w:r>
      <w:r w:rsidR="000A06B5" w:rsidRPr="00561677">
        <w:rPr>
          <w:lang w:val="sr-Cyrl-RS"/>
        </w:rPr>
        <w:t>8.755 средњошколског узраста</w:t>
      </w:r>
      <w:r w:rsidR="00A25E20">
        <w:rPr>
          <w:lang w:val="sr-Cyrl-RS"/>
        </w:rPr>
        <w:t>,</w:t>
      </w:r>
      <w:r w:rsidR="000A06B5" w:rsidRPr="00561677">
        <w:rPr>
          <w:lang w:val="sr-Cyrl-RS"/>
        </w:rPr>
        <w:t xml:space="preserve"> као и 2.618</w:t>
      </w:r>
      <w:r w:rsidR="00A25E20">
        <w:rPr>
          <w:lang w:val="sr-Cyrl-RS"/>
        </w:rPr>
        <w:t xml:space="preserve"> особа</w:t>
      </w:r>
      <w:r w:rsidR="000A06B5" w:rsidRPr="00561677">
        <w:rPr>
          <w:lang w:val="sr-Cyrl-RS"/>
        </w:rPr>
        <w:t xml:space="preserve"> запослених у школама. Осим квантитативног истраживања, спроведено је и квалитативно истраживање у виду фокус група са циљем испитивања ставова, искуства </w:t>
      </w:r>
      <w:r w:rsidRPr="00561677">
        <w:rPr>
          <w:lang w:val="sr-Cyrl-RS"/>
        </w:rPr>
        <w:t>и знања у вези затупљености</w:t>
      </w:r>
      <w:r w:rsidR="000A06B5" w:rsidRPr="00561677">
        <w:rPr>
          <w:lang w:val="sr-Cyrl-RS"/>
        </w:rPr>
        <w:t xml:space="preserve"> родно заснованог насиља. Резултати с</w:t>
      </w:r>
      <w:r w:rsidR="00A25E20">
        <w:rPr>
          <w:lang w:val="sr-Cyrl-RS"/>
        </w:rPr>
        <w:t>у показали да је укупно 69% учен</w:t>
      </w:r>
      <w:r w:rsidR="000A06B5" w:rsidRPr="00561677">
        <w:rPr>
          <w:lang w:val="sr-Cyrl-RS"/>
        </w:rPr>
        <w:t>ика и ученица основних школа и чак 74% ученика</w:t>
      </w:r>
      <w:r w:rsidR="00A25E20">
        <w:rPr>
          <w:lang w:val="sr-Cyrl-RS"/>
        </w:rPr>
        <w:t xml:space="preserve"> и</w:t>
      </w:r>
      <w:r w:rsidR="000A06B5" w:rsidRPr="00561677">
        <w:rPr>
          <w:lang w:val="sr-Cyrl-RS"/>
        </w:rPr>
        <w:t xml:space="preserve"> ученица средњих школа одговорило да је најмање једном доживело бар један облик родно заснованог насиља. </w:t>
      </w:r>
      <w:r w:rsidR="000A06B5" w:rsidRPr="008E00F2">
        <w:rPr>
          <w:lang w:val="sr-Cyrl-RS"/>
        </w:rPr>
        <w:t xml:space="preserve">У основној школи, девојчице су изложене следећим врстама и облицима родно заснованог насиља: визуелно (излагање вулгарним покретима - 40% и угрожавање приватности у виду вирења у тоалет или свлачионицу док су оне унутра - 34%) и физичко сексуално узнемиравање (у виду </w:t>
      </w:r>
      <w:r w:rsidR="00561677" w:rsidRPr="008E00F2">
        <w:rPr>
          <w:lang w:val="sr-Cyrl-RS"/>
        </w:rPr>
        <w:t>повреде</w:t>
      </w:r>
      <w:r w:rsidR="000A06B5" w:rsidRPr="008E00F2">
        <w:rPr>
          <w:lang w:val="sr-Cyrl-RS"/>
        </w:rPr>
        <w:t xml:space="preserve"> интимн</w:t>
      </w:r>
      <w:r w:rsidR="00561677" w:rsidRPr="008E00F2">
        <w:rPr>
          <w:lang w:val="sr-Cyrl-RS"/>
        </w:rPr>
        <w:t xml:space="preserve">ости </w:t>
      </w:r>
      <w:r w:rsidR="008E00F2" w:rsidRPr="008E00F2">
        <w:rPr>
          <w:lang w:val="sr-Cyrl-RS"/>
        </w:rPr>
        <w:t xml:space="preserve">и додиривања </w:t>
      </w:r>
      <w:r w:rsidR="000A06B5" w:rsidRPr="008E00F2">
        <w:rPr>
          <w:lang w:val="sr-Cyrl-RS"/>
        </w:rPr>
        <w:t>делов</w:t>
      </w:r>
      <w:r w:rsidR="00561677" w:rsidRPr="008E00F2">
        <w:rPr>
          <w:lang w:val="sr-Cyrl-RS"/>
        </w:rPr>
        <w:t>а</w:t>
      </w:r>
      <w:r w:rsidR="000A06B5" w:rsidRPr="008E00F2">
        <w:rPr>
          <w:lang w:val="sr-Cyrl-RS"/>
        </w:rPr>
        <w:t xml:space="preserve"> тела - 23%). Дечаци су у основној школи најчешће изложени следећим об</w:t>
      </w:r>
      <w:r w:rsidR="008E00F2" w:rsidRPr="008E00F2">
        <w:rPr>
          <w:lang w:val="sr-Cyrl-RS"/>
        </w:rPr>
        <w:t xml:space="preserve">лицима родно заснованог насиља: </w:t>
      </w:r>
      <w:r w:rsidR="000A06B5" w:rsidRPr="008E00F2">
        <w:rPr>
          <w:lang w:val="sr-Cyrl-RS"/>
        </w:rPr>
        <w:t xml:space="preserve">визуелном (у виду изложености вулгарним покретима - 44%) и физичком сексуалном узнемиравању (тј. </w:t>
      </w:r>
      <w:r w:rsidR="008E00F2" w:rsidRPr="008E00F2">
        <w:rPr>
          <w:lang w:val="sr-Cyrl-RS"/>
        </w:rPr>
        <w:t xml:space="preserve">једном </w:t>
      </w:r>
      <w:r w:rsidR="000A06B5" w:rsidRPr="008E00F2">
        <w:rPr>
          <w:lang w:val="sr-Cyrl-RS"/>
        </w:rPr>
        <w:t>његовом облику - насилном скидању одеће - 11%). Што се тиче средњих школа, подаци показују да су девојке најчешће изложене сексуалној објекти</w:t>
      </w:r>
      <w:r w:rsidR="008E00F2" w:rsidRPr="008E00F2">
        <w:rPr>
          <w:lang w:val="sr-Cyrl-RS"/>
        </w:rPr>
        <w:t xml:space="preserve">визацији </w:t>
      </w:r>
      <w:r w:rsidR="000A06B5" w:rsidRPr="008E00F2">
        <w:rPr>
          <w:lang w:val="sr-Cyrl-RS"/>
        </w:rPr>
        <w:t xml:space="preserve">(51%) и визуелном родно заснованом насиљу (у виду вирења у тоалет или свлачиоиицу док су </w:t>
      </w:r>
      <w:r w:rsidR="008E00F2" w:rsidRPr="008E00F2">
        <w:rPr>
          <w:lang w:val="sr-Cyrl-RS"/>
        </w:rPr>
        <w:t>девојке</w:t>
      </w:r>
      <w:r w:rsidR="000A06B5" w:rsidRPr="008E00F2">
        <w:rPr>
          <w:lang w:val="sr-Cyrl-RS"/>
        </w:rPr>
        <w:t xml:space="preserve"> унутра - 21%), док су младићи најчешће изложени: визуелном родно заснованом насиљу (у виду изложености порнографији и вулгарним покретима - 43%) и физичком сексуалном узнемиравању (у виду насилног скидања одеће - 16%). </w:t>
      </w:r>
    </w:p>
    <w:p w:rsidR="000A06B5" w:rsidRPr="008E00F2" w:rsidRDefault="000A06B5" w:rsidP="004358A3">
      <w:pPr>
        <w:pStyle w:val="BodyText2"/>
        <w:spacing w:before="60"/>
        <w:ind w:firstLine="720"/>
        <w:rPr>
          <w:lang w:val="sr-Cyrl-RS"/>
        </w:rPr>
      </w:pPr>
      <w:r w:rsidRPr="008E00F2">
        <w:rPr>
          <w:lang w:val="sr-Cyrl-RS"/>
        </w:rPr>
        <w:t xml:space="preserve">На основу резултата </w:t>
      </w:r>
      <w:r w:rsidR="009E4ECC">
        <w:rPr>
          <w:lang w:val="sr-Cyrl-RS"/>
        </w:rPr>
        <w:t xml:space="preserve">поменутог </w:t>
      </w:r>
      <w:r w:rsidRPr="008E00F2">
        <w:rPr>
          <w:lang w:val="sr-Cyrl-RS"/>
        </w:rPr>
        <w:t>истраживања</w:t>
      </w:r>
      <w:r w:rsidR="009E4ECC">
        <w:rPr>
          <w:lang w:val="sr-Cyrl-RS"/>
        </w:rPr>
        <w:t>,</w:t>
      </w:r>
      <w:r w:rsidRPr="008E00F2">
        <w:rPr>
          <w:lang w:val="sr-Cyrl-RS"/>
        </w:rPr>
        <w:t xml:space="preserve"> реализоване су обуке на тему родно заснованог насиља и реаговања у ситуацијама родно заснованог насиља</w:t>
      </w:r>
      <w:r w:rsidR="009E4ECC">
        <w:rPr>
          <w:lang w:val="sr-Cyrl-RS"/>
        </w:rPr>
        <w:t>, на којима је</w:t>
      </w:r>
      <w:r w:rsidR="008E00F2" w:rsidRPr="008E00F2">
        <w:rPr>
          <w:lang w:val="sr-Cyrl-RS"/>
        </w:rPr>
        <w:t xml:space="preserve"> </w:t>
      </w:r>
      <w:r w:rsidRPr="008E00F2">
        <w:rPr>
          <w:lang w:val="sr-Cyrl-RS"/>
        </w:rPr>
        <w:t xml:space="preserve">обучено </w:t>
      </w:r>
      <w:r w:rsidRPr="008E00F2">
        <w:rPr>
          <w:lang w:val="sr-Cyrl-RS"/>
        </w:rPr>
        <w:lastRenderedPageBreak/>
        <w:t>преко 1</w:t>
      </w:r>
      <w:r w:rsidR="008E00F2" w:rsidRPr="008E00F2">
        <w:rPr>
          <w:lang w:val="sr-Cyrl-RS"/>
        </w:rPr>
        <w:t>.</w:t>
      </w:r>
      <w:r w:rsidRPr="008E00F2">
        <w:rPr>
          <w:lang w:val="sr-Cyrl-RS"/>
        </w:rPr>
        <w:t xml:space="preserve">800 </w:t>
      </w:r>
      <w:r w:rsidR="009E4ECC">
        <w:rPr>
          <w:lang w:val="sr-Cyrl-RS"/>
        </w:rPr>
        <w:t>лица</w:t>
      </w:r>
      <w:r w:rsidR="008E00F2" w:rsidRPr="008E00F2">
        <w:rPr>
          <w:lang w:val="sr-Cyrl-RS"/>
        </w:rPr>
        <w:t xml:space="preserve"> у образовно</w:t>
      </w:r>
      <w:r w:rsidR="009E4ECC">
        <w:rPr>
          <w:lang w:val="sr-Cyrl-RS"/>
        </w:rPr>
        <w:t>-</w:t>
      </w:r>
      <w:r w:rsidR="008E00F2" w:rsidRPr="008E00F2">
        <w:rPr>
          <w:lang w:val="sr-Cyrl-RS"/>
        </w:rPr>
        <w:t xml:space="preserve">васпитним установама и то: </w:t>
      </w:r>
      <w:r w:rsidRPr="008E00F2">
        <w:rPr>
          <w:lang w:val="sr-Cyrl-RS"/>
        </w:rPr>
        <w:t>5</w:t>
      </w:r>
      <w:r w:rsidR="008E00F2" w:rsidRPr="008E00F2">
        <w:rPr>
          <w:lang w:val="sr-Cyrl-RS"/>
        </w:rPr>
        <w:t>.</w:t>
      </w:r>
      <w:r w:rsidRPr="008E00F2">
        <w:rPr>
          <w:lang w:val="sr-Cyrl-RS"/>
        </w:rPr>
        <w:t>800 девојчица и 4</w:t>
      </w:r>
      <w:r w:rsidR="008E00F2" w:rsidRPr="008E00F2">
        <w:rPr>
          <w:lang w:val="sr-Cyrl-RS"/>
        </w:rPr>
        <w:t>.</w:t>
      </w:r>
      <w:r w:rsidRPr="008E00F2">
        <w:rPr>
          <w:lang w:val="sr-Cyrl-RS"/>
        </w:rPr>
        <w:t>900 дечака. Свака школа је пратећи потребе и св</w:t>
      </w:r>
      <w:r w:rsidR="008E00F2" w:rsidRPr="008E00F2">
        <w:rPr>
          <w:lang w:val="sr-Cyrl-RS"/>
        </w:rPr>
        <w:t>ој контекст, а у складу основно</w:t>
      </w:r>
      <w:r w:rsidRPr="008E00F2">
        <w:rPr>
          <w:lang w:val="sr-Cyrl-RS"/>
        </w:rPr>
        <w:t>м матрицом и сетом датих радионица организовала обуку запослених, роди</w:t>
      </w:r>
      <w:r w:rsidR="008E00F2" w:rsidRPr="008E00F2">
        <w:rPr>
          <w:lang w:val="sr-Cyrl-RS"/>
        </w:rPr>
        <w:t>т</w:t>
      </w:r>
      <w:r w:rsidRPr="008E00F2">
        <w:rPr>
          <w:lang w:val="sr-Cyrl-RS"/>
        </w:rPr>
        <w:t>еља и ученика</w:t>
      </w:r>
      <w:r w:rsidR="008E00F2" w:rsidRPr="008E00F2">
        <w:rPr>
          <w:lang w:val="sr-Cyrl-RS"/>
        </w:rPr>
        <w:t>, уз подршку ментора програма</w:t>
      </w:r>
      <w:r w:rsidR="00A25E20">
        <w:rPr>
          <w:lang w:val="sr-Cyrl-RS"/>
        </w:rPr>
        <w:t>:</w:t>
      </w:r>
      <w:r w:rsidR="008E00F2" w:rsidRPr="008E00F2">
        <w:rPr>
          <w:lang w:val="sr-Cyrl-RS"/>
        </w:rPr>
        <w:t xml:space="preserve"> „</w:t>
      </w:r>
      <w:r w:rsidRPr="008E00F2">
        <w:rPr>
          <w:lang w:val="sr-Cyrl-RS"/>
        </w:rPr>
        <w:t>Школа без насиљ</w:t>
      </w:r>
      <w:r w:rsidR="008E00F2" w:rsidRPr="008E00F2">
        <w:rPr>
          <w:lang w:val="sr-Cyrl-RS"/>
        </w:rPr>
        <w:t>а“</w:t>
      </w:r>
      <w:r w:rsidRPr="008E00F2">
        <w:rPr>
          <w:lang w:val="sr-Cyrl-RS"/>
        </w:rPr>
        <w:t xml:space="preserve"> који су претходно прошли посебну обуку </w:t>
      </w:r>
      <w:r w:rsidR="008E00F2" w:rsidRPr="008E00F2">
        <w:rPr>
          <w:lang w:val="sr-Cyrl-RS"/>
        </w:rPr>
        <w:t xml:space="preserve">у </w:t>
      </w:r>
      <w:r w:rsidRPr="008E00F2">
        <w:rPr>
          <w:lang w:val="sr-Cyrl-RS"/>
        </w:rPr>
        <w:t>органи</w:t>
      </w:r>
      <w:r w:rsidR="008E00F2" w:rsidRPr="008E00F2">
        <w:rPr>
          <w:lang w:val="sr-Cyrl-RS"/>
        </w:rPr>
        <w:t>зцији</w:t>
      </w:r>
      <w:r w:rsidRPr="008E00F2">
        <w:rPr>
          <w:lang w:val="sr-Cyrl-RS"/>
        </w:rPr>
        <w:t xml:space="preserve"> </w:t>
      </w:r>
      <w:r w:rsidR="008E00F2" w:rsidRPr="008E00F2">
        <w:rPr>
          <w:lang w:val="sr-Cyrl-RS"/>
        </w:rPr>
        <w:t>ресорног м</w:t>
      </w:r>
      <w:r w:rsidRPr="008E00F2">
        <w:rPr>
          <w:lang w:val="sr-Cyrl-RS"/>
        </w:rPr>
        <w:t>инистарств</w:t>
      </w:r>
      <w:r w:rsidR="008E00F2" w:rsidRPr="008E00F2">
        <w:rPr>
          <w:lang w:val="sr-Cyrl-RS"/>
        </w:rPr>
        <w:t>а. Осим наведеног, публикован је и</w:t>
      </w:r>
      <w:r w:rsidRPr="008E00F2">
        <w:rPr>
          <w:lang w:val="sr-Cyrl-RS"/>
        </w:rPr>
        <w:t xml:space="preserve"> </w:t>
      </w:r>
      <w:r w:rsidRPr="00BE58A2">
        <w:rPr>
          <w:i/>
          <w:lang w:val="sr-Cyrl-RS"/>
        </w:rPr>
        <w:t>Приручник за превенцију родно заснованог насиља у школам</w:t>
      </w:r>
      <w:r w:rsidR="008E00F2" w:rsidRPr="00BE58A2">
        <w:rPr>
          <w:i/>
          <w:lang w:val="sr-Cyrl-RS"/>
        </w:rPr>
        <w:t>а</w:t>
      </w:r>
      <w:r w:rsidRPr="008E00F2">
        <w:rPr>
          <w:lang w:val="sr-Cyrl-RS"/>
        </w:rPr>
        <w:t>. У оквиру приручника</w:t>
      </w:r>
      <w:r w:rsidR="00A25E20">
        <w:rPr>
          <w:lang w:val="sr-Cyrl-RS"/>
        </w:rPr>
        <w:t>:</w:t>
      </w:r>
      <w:r w:rsidRPr="008E00F2">
        <w:rPr>
          <w:lang w:val="sr-Cyrl-RS"/>
        </w:rPr>
        <w:t xml:space="preserve"> </w:t>
      </w:r>
      <w:r w:rsidR="008E00F2" w:rsidRPr="008E00F2">
        <w:rPr>
          <w:lang w:val="sr-Cyrl-RS"/>
        </w:rPr>
        <w:t>„</w:t>
      </w:r>
      <w:r w:rsidRPr="008E00F2">
        <w:rPr>
          <w:lang w:val="sr-Cyrl-RS"/>
        </w:rPr>
        <w:t>Заштига жена</w:t>
      </w:r>
      <w:r w:rsidR="008E00F2" w:rsidRPr="008E00F2">
        <w:rPr>
          <w:lang w:val="sr-Cyrl-RS"/>
        </w:rPr>
        <w:t xml:space="preserve"> и девојчица од насиља у Србији“</w:t>
      </w:r>
      <w:r w:rsidRPr="008E00F2">
        <w:rPr>
          <w:lang w:val="sr-Cyrl-RS"/>
        </w:rPr>
        <w:t xml:space="preserve"> које је издао UNDP</w:t>
      </w:r>
      <w:r w:rsidR="008E00F2" w:rsidRPr="008E00F2">
        <w:rPr>
          <w:lang w:val="sr-Cyrl-RS"/>
        </w:rPr>
        <w:t xml:space="preserve"> и </w:t>
      </w:r>
      <w:r w:rsidR="008E00F2" w:rsidRPr="008E00F2">
        <w:rPr>
          <w:lang w:val="en-US"/>
        </w:rPr>
        <w:t>UNICEF</w:t>
      </w:r>
      <w:r w:rsidRPr="008E00F2">
        <w:rPr>
          <w:lang w:val="sr-Cyrl-RS"/>
        </w:rPr>
        <w:t xml:space="preserve"> објављен</w:t>
      </w:r>
      <w:r w:rsidR="008E00F2" w:rsidRPr="008E00F2">
        <w:rPr>
          <w:lang w:val="en-US"/>
        </w:rPr>
        <w:t>a</w:t>
      </w:r>
      <w:r w:rsidR="008E00F2" w:rsidRPr="008E00F2">
        <w:rPr>
          <w:lang w:val="ru-RU"/>
        </w:rPr>
        <w:t xml:space="preserve"> </w:t>
      </w:r>
      <w:r w:rsidR="008E00F2" w:rsidRPr="008E00F2">
        <w:rPr>
          <w:lang w:val="en-US"/>
        </w:rPr>
        <w:t>je</w:t>
      </w:r>
      <w:r w:rsidR="008E00F2" w:rsidRPr="008E00F2">
        <w:rPr>
          <w:lang w:val="ru-RU"/>
        </w:rPr>
        <w:t xml:space="preserve"> јединица која се односи на п</w:t>
      </w:r>
      <w:r w:rsidRPr="008E00F2">
        <w:rPr>
          <w:lang w:val="sr-Cyrl-RS"/>
        </w:rPr>
        <w:t>оступање образовно-васпитних установа у случајевима насиља над девојчицама и женама.</w:t>
      </w:r>
    </w:p>
    <w:p w:rsidR="000A06B5" w:rsidRPr="009768C1" w:rsidRDefault="00ED5881" w:rsidP="004358A3">
      <w:pPr>
        <w:pStyle w:val="BodyText2"/>
        <w:spacing w:before="60"/>
        <w:ind w:firstLine="720"/>
        <w:rPr>
          <w:lang w:val="sr-Cyrl-RS"/>
        </w:rPr>
      </w:pPr>
      <w:r>
        <w:rPr>
          <w:lang w:val="sr-Cyrl-RS"/>
        </w:rPr>
        <w:t>Израђена</w:t>
      </w:r>
      <w:r w:rsidR="000A06B5" w:rsidRPr="009768C1">
        <w:rPr>
          <w:lang w:val="sr-Cyrl-RS"/>
        </w:rPr>
        <w:t xml:space="preserve"> је </w:t>
      </w:r>
      <w:r w:rsidR="000A06B5" w:rsidRPr="00ED5881">
        <w:rPr>
          <w:i/>
          <w:lang w:val="sr-Cyrl-RS"/>
        </w:rPr>
        <w:t>Национална студија о друштвеном проблему сексуалног злостављања деце у Републици Србији</w:t>
      </w:r>
      <w:r w:rsidR="000A06B5" w:rsidRPr="009768C1">
        <w:rPr>
          <w:lang w:val="sr-Cyrl-RS"/>
        </w:rPr>
        <w:t xml:space="preserve"> са циљем процене степена присутности сексуалног насиља над децом и преваленце сексуалног насиља над децом. Национална студија је урађена на репрезентативно</w:t>
      </w:r>
      <w:r w:rsidR="008E00F2" w:rsidRPr="009768C1">
        <w:rPr>
          <w:lang w:val="sr-Cyrl-RS"/>
        </w:rPr>
        <w:t>м</w:t>
      </w:r>
      <w:r w:rsidR="000A06B5" w:rsidRPr="009768C1">
        <w:rPr>
          <w:lang w:val="sr-Cyrl-RS"/>
        </w:rPr>
        <w:t xml:space="preserve"> узорку од 2</w:t>
      </w:r>
      <w:r w:rsidR="008E00F2" w:rsidRPr="009768C1">
        <w:rPr>
          <w:lang w:val="sr-Cyrl-RS"/>
        </w:rPr>
        <w:t>.</w:t>
      </w:r>
      <w:r w:rsidR="000A06B5" w:rsidRPr="009768C1">
        <w:rPr>
          <w:lang w:val="sr-Cyrl-RS"/>
        </w:rPr>
        <w:t>053 деце</w:t>
      </w:r>
      <w:r w:rsidR="008E00F2" w:rsidRPr="009768C1">
        <w:rPr>
          <w:lang w:val="sr-Cyrl-RS"/>
        </w:rPr>
        <w:t>,</w:t>
      </w:r>
      <w:r w:rsidR="000A06B5" w:rsidRPr="009768C1">
        <w:rPr>
          <w:lang w:val="sr-Cyrl-RS"/>
        </w:rPr>
        <w:t xml:space="preserve"> узраста од 10-18 година из </w:t>
      </w:r>
      <w:r w:rsidR="008E00F2" w:rsidRPr="009768C1">
        <w:rPr>
          <w:lang w:val="sr-Cyrl-RS"/>
        </w:rPr>
        <w:t>укупно 97 школа (</w:t>
      </w:r>
      <w:r w:rsidR="000A06B5" w:rsidRPr="009768C1">
        <w:rPr>
          <w:lang w:val="sr-Cyrl-RS"/>
        </w:rPr>
        <w:t>61 основн</w:t>
      </w:r>
      <w:r w:rsidR="003E1193" w:rsidRPr="009768C1">
        <w:rPr>
          <w:lang w:val="sr-Cyrl-RS"/>
        </w:rPr>
        <w:t>их</w:t>
      </w:r>
      <w:r w:rsidR="000A06B5" w:rsidRPr="009768C1">
        <w:rPr>
          <w:lang w:val="sr-Cyrl-RS"/>
        </w:rPr>
        <w:t xml:space="preserve"> и 36 средњих школа</w:t>
      </w:r>
      <w:r w:rsidR="003E1193" w:rsidRPr="009768C1">
        <w:rPr>
          <w:lang w:val="sr-Cyrl-RS"/>
        </w:rPr>
        <w:t>) у</w:t>
      </w:r>
      <w:r w:rsidR="000A06B5" w:rsidRPr="009768C1">
        <w:rPr>
          <w:lang w:val="sr-Cyrl-RS"/>
        </w:rPr>
        <w:t xml:space="preserve"> 51 </w:t>
      </w:r>
      <w:r w:rsidR="007E0A05">
        <w:rPr>
          <w:lang w:val="sr-Cyrl-RS"/>
        </w:rPr>
        <w:t>месту</w:t>
      </w:r>
      <w:r w:rsidR="000A06B5" w:rsidRPr="009768C1">
        <w:rPr>
          <w:lang w:val="sr-Cyrl-RS"/>
        </w:rPr>
        <w:t xml:space="preserve"> у Србији. Током спровођења студије, коришћено је </w:t>
      </w:r>
      <w:r w:rsidR="009768C1" w:rsidRPr="009768C1">
        <w:rPr>
          <w:lang w:val="sr-Cyrl-RS"/>
        </w:rPr>
        <w:t>укупно 11 инструмената рада у ци</w:t>
      </w:r>
      <w:r w:rsidR="000A06B5" w:rsidRPr="009768C1">
        <w:rPr>
          <w:lang w:val="sr-Cyrl-RS"/>
        </w:rPr>
        <w:t>љу интервјуисања деце од 4. разреда основне школе до 3. разреда средње школе.</w:t>
      </w:r>
      <w:r w:rsidR="003E1193" w:rsidRPr="009768C1">
        <w:rPr>
          <w:lang w:val="sr-Cyrl-RS"/>
        </w:rPr>
        <w:t xml:space="preserve"> </w:t>
      </w:r>
      <w:r w:rsidR="000A06B5" w:rsidRPr="009768C1">
        <w:rPr>
          <w:lang w:val="sr-Cyrl-RS"/>
        </w:rPr>
        <w:t>Резултати показују да</w:t>
      </w:r>
      <w:r w:rsidR="003E1193" w:rsidRPr="009768C1">
        <w:rPr>
          <w:lang w:val="sr-Cyrl-RS"/>
        </w:rPr>
        <w:t xml:space="preserve"> међу испитиваном децом у узрасту од 10-18 година,</w:t>
      </w:r>
      <w:r w:rsidR="000A06B5" w:rsidRPr="009768C1">
        <w:rPr>
          <w:lang w:val="sr-Cyrl-RS"/>
        </w:rPr>
        <w:t xml:space="preserve"> у сваком школском одељењу у Србији</w:t>
      </w:r>
      <w:r w:rsidR="003E1193" w:rsidRPr="009768C1">
        <w:rPr>
          <w:lang w:val="sr-Cyrl-RS"/>
        </w:rPr>
        <w:t>,</w:t>
      </w:r>
      <w:r w:rsidR="000A06B5" w:rsidRPr="009768C1">
        <w:rPr>
          <w:lang w:val="sr-Cyrl-RS"/>
        </w:rPr>
        <w:t xml:space="preserve"> постоје 4 детета која су преживела одређени вид сексуалног насиља и још 4 детета која познају некога коме се то догодило. Двоје деце из сваког школског одељења изложено је секс</w:t>
      </w:r>
      <w:r w:rsidR="003E1193" w:rsidRPr="009768C1">
        <w:rPr>
          <w:lang w:val="sr-Cyrl-RS"/>
        </w:rPr>
        <w:t>уалном насиљу. У основној школи, деца се поверавају најп</w:t>
      </w:r>
      <w:r w:rsidR="000A06B5" w:rsidRPr="009768C1">
        <w:rPr>
          <w:lang w:val="sr-Cyrl-RS"/>
        </w:rPr>
        <w:t xml:space="preserve">ре </w:t>
      </w:r>
      <w:r w:rsidR="003E1193" w:rsidRPr="009768C1">
        <w:rPr>
          <w:lang w:val="sr-Cyrl-RS"/>
        </w:rPr>
        <w:t>породици да су доживела насиље,</w:t>
      </w:r>
      <w:r w:rsidR="000A06B5" w:rsidRPr="009768C1">
        <w:rPr>
          <w:lang w:val="sr-Cyrl-RS"/>
        </w:rPr>
        <w:t xml:space="preserve"> која им</w:t>
      </w:r>
      <w:r w:rsidR="003E1193" w:rsidRPr="009768C1">
        <w:rPr>
          <w:lang w:val="sr-Cyrl-RS"/>
        </w:rPr>
        <w:t>,</w:t>
      </w:r>
      <w:r w:rsidR="000A06B5" w:rsidRPr="009768C1">
        <w:rPr>
          <w:lang w:val="sr-Cyrl-RS"/>
        </w:rPr>
        <w:t xml:space="preserve"> у</w:t>
      </w:r>
      <w:r w:rsidR="007E0A05">
        <w:rPr>
          <w:lang w:val="sr-Cyrl-RS"/>
        </w:rPr>
        <w:t>главном</w:t>
      </w:r>
      <w:r w:rsidR="003E1193" w:rsidRPr="009768C1">
        <w:rPr>
          <w:lang w:val="sr-Cyrl-RS"/>
        </w:rPr>
        <w:t>,</w:t>
      </w:r>
      <w:r w:rsidR="000A06B5" w:rsidRPr="009768C1">
        <w:rPr>
          <w:lang w:val="sr-Cyrl-RS"/>
        </w:rPr>
        <w:t xml:space="preserve"> не поверује. Млади у средњим школама најчешће кажу другарици или другу, који су склонији да им поверују. </w:t>
      </w:r>
      <w:r w:rsidR="003E1193" w:rsidRPr="009768C1">
        <w:rPr>
          <w:lang w:val="sr-Cyrl-RS"/>
        </w:rPr>
        <w:t>Око две трећине</w:t>
      </w:r>
      <w:r w:rsidR="000A06B5" w:rsidRPr="009768C1">
        <w:rPr>
          <w:lang w:val="sr-Cyrl-RS"/>
        </w:rPr>
        <w:t xml:space="preserve"> деце која испричају шта им се догодило, </w:t>
      </w:r>
      <w:r w:rsidR="009768C1" w:rsidRPr="009768C1">
        <w:rPr>
          <w:lang w:val="sr-Cyrl-RS"/>
        </w:rPr>
        <w:t>више од половине особа који</w:t>
      </w:r>
      <w:r w:rsidR="000A06B5" w:rsidRPr="009768C1">
        <w:rPr>
          <w:lang w:val="sr-Cyrl-RS"/>
        </w:rPr>
        <w:t>ма су се поверили не предузима ништа. Само 7% њих пријави случај надлежним службама. Национална студија је кроз читав низ резултата јасно показала родну компоненту, односно на који начин сексуално насиље погађа девојчице, а на к</w:t>
      </w:r>
      <w:r w:rsidR="007E0A05">
        <w:rPr>
          <w:lang w:val="sr-Cyrl-RS"/>
        </w:rPr>
        <w:t>оји дечаке, и она је</w:t>
      </w:r>
      <w:r w:rsidR="000A06B5" w:rsidRPr="009768C1">
        <w:rPr>
          <w:lang w:val="sr-Cyrl-RS"/>
        </w:rPr>
        <w:t xml:space="preserve"> потвр</w:t>
      </w:r>
      <w:r w:rsidR="007E0A05">
        <w:rPr>
          <w:lang w:val="sr-Cyrl-RS"/>
        </w:rPr>
        <w:t>дила раније налазе других истраживања да је сексуално насиље</w:t>
      </w:r>
      <w:r w:rsidR="000A06B5" w:rsidRPr="009768C1">
        <w:rPr>
          <w:lang w:val="sr-Cyrl-RS"/>
        </w:rPr>
        <w:t xml:space="preserve"> јед</w:t>
      </w:r>
      <w:r w:rsidR="007E0A05">
        <w:rPr>
          <w:lang w:val="sr-Cyrl-RS"/>
        </w:rPr>
        <w:t>а</w:t>
      </w:r>
      <w:r w:rsidR="000A06B5" w:rsidRPr="009768C1">
        <w:rPr>
          <w:lang w:val="sr-Cyrl-RS"/>
        </w:rPr>
        <w:t>н од видова родно за</w:t>
      </w:r>
      <w:r w:rsidR="00BE58A2">
        <w:rPr>
          <w:lang w:val="sr-Cyrl-RS"/>
        </w:rPr>
        <w:t>снованог насиља, којем</w:t>
      </w:r>
      <w:r w:rsidR="007E0A05">
        <w:rPr>
          <w:lang w:val="sr-Cyrl-RS"/>
        </w:rPr>
        <w:t xml:space="preserve"> су </w:t>
      </w:r>
      <w:r>
        <w:rPr>
          <w:lang w:val="sr-Cyrl-RS"/>
        </w:rPr>
        <w:t>четири пута</w:t>
      </w:r>
      <w:r w:rsidRPr="009768C1">
        <w:rPr>
          <w:lang w:val="sr-Cyrl-RS"/>
        </w:rPr>
        <w:t xml:space="preserve"> чешће</w:t>
      </w:r>
      <w:r>
        <w:rPr>
          <w:lang w:val="sr-Cyrl-RS"/>
        </w:rPr>
        <w:t xml:space="preserve"> изложене </w:t>
      </w:r>
      <w:r w:rsidR="009768C1" w:rsidRPr="009768C1">
        <w:rPr>
          <w:lang w:val="sr-Cyrl-RS"/>
        </w:rPr>
        <w:t>девојчице</w:t>
      </w:r>
      <w:r w:rsidR="00BE58A2">
        <w:rPr>
          <w:lang w:val="sr-Cyrl-RS"/>
        </w:rPr>
        <w:t xml:space="preserve"> него дечаци</w:t>
      </w:r>
      <w:r w:rsidR="000A06B5" w:rsidRPr="009768C1">
        <w:rPr>
          <w:lang w:val="sr-Cyrl-RS"/>
        </w:rPr>
        <w:t>.</w:t>
      </w:r>
    </w:p>
    <w:p w:rsidR="000A06B5" w:rsidRPr="004E34D3" w:rsidRDefault="000A06B5" w:rsidP="004358A3">
      <w:pPr>
        <w:pStyle w:val="BodyText2"/>
        <w:spacing w:before="60"/>
        <w:ind w:firstLine="720"/>
        <w:rPr>
          <w:lang w:val="sr-Cyrl-RS"/>
        </w:rPr>
      </w:pPr>
      <w:r w:rsidRPr="004E34D3">
        <w:rPr>
          <w:lang w:val="sr-Cyrl-RS"/>
        </w:rPr>
        <w:t xml:space="preserve">У оквиру рада на превенцији дигиталног насиља, спроведено </w:t>
      </w:r>
      <w:r w:rsidR="004E34D3" w:rsidRPr="004E34D3">
        <w:rPr>
          <w:lang w:val="sr-Cyrl-RS"/>
        </w:rPr>
        <w:t>је и прво истраживање учесталост</w:t>
      </w:r>
      <w:r w:rsidRPr="004E34D3">
        <w:rPr>
          <w:lang w:val="sr-Cyrl-RS"/>
        </w:rPr>
        <w:t>и дигиталног насиља међ</w:t>
      </w:r>
      <w:r w:rsidR="004E34D3" w:rsidRPr="004E34D3">
        <w:rPr>
          <w:lang w:val="sr-Cyrl-RS"/>
        </w:rPr>
        <w:t>у децом и ученицима у оквиру којег с</w:t>
      </w:r>
      <w:r w:rsidRPr="004E34D3">
        <w:rPr>
          <w:lang w:val="sr-Cyrl-RS"/>
        </w:rPr>
        <w:t>у прикупљени свеобухватни подаци о степену присутности, начинима манифестовања и решавањ</w:t>
      </w:r>
      <w:r w:rsidR="004E34D3" w:rsidRPr="004E34D3">
        <w:rPr>
          <w:lang w:val="sr-Cyrl-RS"/>
        </w:rPr>
        <w:t>а</w:t>
      </w:r>
      <w:r w:rsidRPr="004E34D3">
        <w:rPr>
          <w:lang w:val="sr-Cyrl-RS"/>
        </w:rPr>
        <w:t xml:space="preserve"> пробле</w:t>
      </w:r>
      <w:r w:rsidR="004E34D3" w:rsidRPr="004E34D3">
        <w:rPr>
          <w:lang w:val="sr-Cyrl-RS"/>
        </w:rPr>
        <w:t xml:space="preserve">ма дигиталног насиља међу </w:t>
      </w:r>
      <w:r w:rsidRPr="004E34D3">
        <w:rPr>
          <w:lang w:val="sr-Cyrl-RS"/>
        </w:rPr>
        <w:t>ученицима основних и ср</w:t>
      </w:r>
      <w:r w:rsidR="004E34D3" w:rsidRPr="004E34D3">
        <w:rPr>
          <w:lang w:val="sr-Cyrl-RS"/>
        </w:rPr>
        <w:t>едњих школа. Узорак је чинило 3.</w:t>
      </w:r>
      <w:r w:rsidRPr="004E34D3">
        <w:rPr>
          <w:lang w:val="sr-Cyrl-RS"/>
        </w:rPr>
        <w:t xml:space="preserve">786 ученика </w:t>
      </w:r>
      <w:r w:rsidR="004E34D3" w:rsidRPr="004E34D3">
        <w:rPr>
          <w:lang w:val="sr-Cyrl-RS"/>
        </w:rPr>
        <w:t>(тј. 60%, односно 2.</w:t>
      </w:r>
      <w:r w:rsidRPr="004E34D3">
        <w:rPr>
          <w:lang w:val="sr-Cyrl-RS"/>
        </w:rPr>
        <w:t>272 ученика из основних и 40% односно 1</w:t>
      </w:r>
      <w:r w:rsidR="004E34D3" w:rsidRPr="004E34D3">
        <w:rPr>
          <w:lang w:val="sr-Cyrl-RS"/>
        </w:rPr>
        <w:t>.</w:t>
      </w:r>
      <w:r w:rsidRPr="004E34D3">
        <w:rPr>
          <w:lang w:val="sr-Cyrl-RS"/>
        </w:rPr>
        <w:t>5</w:t>
      </w:r>
      <w:r w:rsidR="004E34D3" w:rsidRPr="004E34D3">
        <w:rPr>
          <w:lang w:val="sr-Cyrl-RS"/>
        </w:rPr>
        <w:t>14 учеиика из средњих школа), 3.078 родитеља (62% односн</w:t>
      </w:r>
      <w:r w:rsidRPr="004E34D3">
        <w:rPr>
          <w:lang w:val="sr-Cyrl-RS"/>
        </w:rPr>
        <w:t>о 1</w:t>
      </w:r>
      <w:r w:rsidR="004E34D3" w:rsidRPr="004E34D3">
        <w:rPr>
          <w:lang w:val="sr-Cyrl-RS"/>
        </w:rPr>
        <w:t>.</w:t>
      </w:r>
      <w:r w:rsidRPr="004E34D3">
        <w:rPr>
          <w:lang w:val="sr-Cyrl-RS"/>
        </w:rPr>
        <w:t>916 родитеља из основних и 38% односно 1</w:t>
      </w:r>
      <w:r w:rsidR="004E34D3" w:rsidRPr="004E34D3">
        <w:rPr>
          <w:lang w:val="sr-Cyrl-RS"/>
        </w:rPr>
        <w:t>.</w:t>
      </w:r>
      <w:r w:rsidRPr="004E34D3">
        <w:rPr>
          <w:lang w:val="sr-Cyrl-RS"/>
        </w:rPr>
        <w:t>156</w:t>
      </w:r>
      <w:r w:rsidR="004E34D3" w:rsidRPr="004E34D3">
        <w:rPr>
          <w:lang w:val="sr-Cyrl-RS"/>
        </w:rPr>
        <w:t xml:space="preserve"> родитеља из средњих школа) и 1.</w:t>
      </w:r>
      <w:r w:rsidRPr="004E34D3">
        <w:rPr>
          <w:lang w:val="sr-Cyrl-RS"/>
        </w:rPr>
        <w:t>379 наставника (53% односно 735 наставника из основних и 47% односно 644 наставника из средњих школа).</w:t>
      </w:r>
    </w:p>
    <w:p w:rsidR="001B06FF" w:rsidRDefault="001B06FF" w:rsidP="004358A3">
      <w:pPr>
        <w:pStyle w:val="BodyText2"/>
        <w:spacing w:before="60"/>
        <w:ind w:firstLine="720"/>
        <w:rPr>
          <w:lang w:val="sr-Cyrl-RS"/>
        </w:rPr>
      </w:pPr>
    </w:p>
    <w:p w:rsidR="00DA093B" w:rsidRDefault="00D7455F" w:rsidP="006168D2">
      <w:pPr>
        <w:pStyle w:val="BodyText2"/>
        <w:numPr>
          <w:ilvl w:val="0"/>
          <w:numId w:val="6"/>
        </w:numPr>
        <w:spacing w:before="60"/>
        <w:ind w:left="720"/>
        <w:rPr>
          <w:b/>
          <w:lang w:val="sr-Cyrl-RS"/>
        </w:rPr>
      </w:pPr>
      <w:r w:rsidRPr="00D7455F">
        <w:rPr>
          <w:b/>
          <w:lang w:val="sr-Cyrl-RS"/>
        </w:rPr>
        <w:t xml:space="preserve">Остваривање једнаких могућности и равноправности полова у области </w:t>
      </w:r>
      <w:r>
        <w:rPr>
          <w:b/>
          <w:lang w:val="sr-Cyrl-RS"/>
        </w:rPr>
        <w:t>културе и информисања</w:t>
      </w:r>
    </w:p>
    <w:p w:rsidR="008D1A9C" w:rsidRPr="00D7455F" w:rsidRDefault="008D1A9C" w:rsidP="008D1A9C">
      <w:pPr>
        <w:pStyle w:val="BodyText2"/>
        <w:spacing w:before="60"/>
        <w:ind w:left="720"/>
        <w:rPr>
          <w:b/>
          <w:lang w:val="sr-Cyrl-RS"/>
        </w:rPr>
      </w:pPr>
    </w:p>
    <w:p w:rsidR="00C303AD" w:rsidRDefault="009C3220" w:rsidP="00136027">
      <w:pPr>
        <w:pStyle w:val="BodyText2"/>
        <w:spacing w:before="60"/>
        <w:ind w:firstLine="720"/>
        <w:rPr>
          <w:lang w:val="sr-Cyrl-RS"/>
        </w:rPr>
      </w:pPr>
      <w:r>
        <w:rPr>
          <w:lang w:val="sr-Cyrl-RS"/>
        </w:rPr>
        <w:t>Обла</w:t>
      </w:r>
      <w:r w:rsidR="004763A1">
        <w:rPr>
          <w:lang w:val="sr-Cyrl-RS"/>
        </w:rPr>
        <w:t>с</w:t>
      </w:r>
      <w:r w:rsidR="008D1A9C">
        <w:rPr>
          <w:lang w:val="sr-Cyrl-RS"/>
        </w:rPr>
        <w:t xml:space="preserve">т културе и јавног информисања у </w:t>
      </w:r>
      <w:r w:rsidR="008D1A9C">
        <w:rPr>
          <w:i/>
          <w:lang w:val="sr-Cyrl-RS"/>
        </w:rPr>
        <w:t>Закону</w:t>
      </w:r>
      <w:r w:rsidR="0069026A" w:rsidRPr="00C303AD">
        <w:rPr>
          <w:i/>
          <w:lang w:val="sr-Cyrl-RS"/>
        </w:rPr>
        <w:t xml:space="preserve"> о равноправности полова</w:t>
      </w:r>
      <w:r w:rsidR="00ED5881">
        <w:rPr>
          <w:lang w:val="sr-Cyrl-RS"/>
        </w:rPr>
        <w:t>, обухваћена је</w:t>
      </w:r>
      <w:r w:rsidR="0069026A">
        <w:rPr>
          <w:lang w:val="sr-Cyrl-RS"/>
        </w:rPr>
        <w:t xml:space="preserve"> ч</w:t>
      </w:r>
      <w:r w:rsidR="0071374A">
        <w:rPr>
          <w:lang w:val="sr-Cyrl-RS"/>
        </w:rPr>
        <w:t>ланом</w:t>
      </w:r>
      <w:r w:rsidR="008D1A9C">
        <w:rPr>
          <w:lang w:val="sr-Cyrl-RS"/>
        </w:rPr>
        <w:t xml:space="preserve"> 41.</w:t>
      </w:r>
      <w:r w:rsidR="0071374A">
        <w:rPr>
          <w:lang w:val="sr-Cyrl-RS"/>
        </w:rPr>
        <w:t xml:space="preserve"> </w:t>
      </w:r>
      <w:r w:rsidR="0069026A">
        <w:rPr>
          <w:lang w:val="sr-Cyrl-RS"/>
        </w:rPr>
        <w:t xml:space="preserve">поменутог закона, </w:t>
      </w:r>
      <w:r w:rsidR="008D1A9C">
        <w:rPr>
          <w:lang w:val="sr-Cyrl-RS"/>
        </w:rPr>
        <w:t xml:space="preserve">будући да </w:t>
      </w:r>
      <w:r w:rsidR="0069026A">
        <w:rPr>
          <w:lang w:val="sr-Cyrl-RS"/>
        </w:rPr>
        <w:t>је улога</w:t>
      </w:r>
      <w:r w:rsidR="00C4345B">
        <w:rPr>
          <w:lang w:val="sr-Cyrl-RS"/>
        </w:rPr>
        <w:t xml:space="preserve"> медија у погледу могућности за </w:t>
      </w:r>
      <w:r>
        <w:rPr>
          <w:lang w:val="sr-Cyrl-RS"/>
        </w:rPr>
        <w:t xml:space="preserve">промовисање </w:t>
      </w:r>
      <w:r w:rsidR="00C4345B">
        <w:rPr>
          <w:lang w:val="sr-Cyrl-RS"/>
        </w:rPr>
        <w:t xml:space="preserve">равноправности полова </w:t>
      </w:r>
      <w:r w:rsidR="0069026A">
        <w:rPr>
          <w:lang w:val="sr-Cyrl-RS"/>
        </w:rPr>
        <w:t xml:space="preserve">неспорна, </w:t>
      </w:r>
      <w:r w:rsidR="00C4345B">
        <w:rPr>
          <w:lang w:val="sr-Cyrl-RS"/>
        </w:rPr>
        <w:t>као и њихов</w:t>
      </w:r>
      <w:r w:rsidR="0069026A">
        <w:rPr>
          <w:lang w:val="sr-Cyrl-RS"/>
        </w:rPr>
        <w:t xml:space="preserve"> значај</w:t>
      </w:r>
      <w:r w:rsidR="00C4345B">
        <w:rPr>
          <w:lang w:val="sr-Cyrl-RS"/>
        </w:rPr>
        <w:t xml:space="preserve"> у подизању</w:t>
      </w:r>
      <w:r>
        <w:rPr>
          <w:lang w:val="sr-Cyrl-RS"/>
        </w:rPr>
        <w:t xml:space="preserve"> свести људи о значају ове теме. </w:t>
      </w:r>
      <w:r w:rsidR="007C6CE3">
        <w:rPr>
          <w:lang w:val="sr-Cyrl-RS"/>
        </w:rPr>
        <w:t>Чињеница је да медији путем с</w:t>
      </w:r>
      <w:r>
        <w:rPr>
          <w:lang w:val="sr-Cyrl-RS"/>
        </w:rPr>
        <w:t>редс</w:t>
      </w:r>
      <w:r w:rsidR="00C4345B">
        <w:rPr>
          <w:lang w:val="sr-Cyrl-RS"/>
        </w:rPr>
        <w:t>та</w:t>
      </w:r>
      <w:r>
        <w:rPr>
          <w:lang w:val="sr-Cyrl-RS"/>
        </w:rPr>
        <w:t>ва јавног информисања</w:t>
      </w:r>
      <w:r w:rsidR="00C4345B">
        <w:rPr>
          <w:lang w:val="sr-Cyrl-RS"/>
        </w:rPr>
        <w:t xml:space="preserve"> у значајној</w:t>
      </w:r>
      <w:r w:rsidR="00DA093B">
        <w:rPr>
          <w:lang w:val="sr-Cyrl-RS"/>
        </w:rPr>
        <w:t xml:space="preserve"> мери</w:t>
      </w:r>
      <w:r>
        <w:rPr>
          <w:lang w:val="sr-Cyrl-RS"/>
        </w:rPr>
        <w:t xml:space="preserve"> утичу</w:t>
      </w:r>
      <w:r w:rsidR="007C6CE3">
        <w:rPr>
          <w:lang w:val="sr-Cyrl-RS"/>
        </w:rPr>
        <w:t xml:space="preserve"> </w:t>
      </w:r>
      <w:r w:rsidR="00136027">
        <w:rPr>
          <w:lang w:val="sr-Cyrl-RS"/>
        </w:rPr>
        <w:t xml:space="preserve">и </w:t>
      </w:r>
      <w:r w:rsidR="007C6CE3">
        <w:rPr>
          <w:lang w:val="sr-Cyrl-RS"/>
        </w:rPr>
        <w:t>на</w:t>
      </w:r>
      <w:r>
        <w:rPr>
          <w:lang w:val="sr-Cyrl-RS"/>
        </w:rPr>
        <w:t xml:space="preserve"> културу и друштвену кл</w:t>
      </w:r>
      <w:r w:rsidR="007C6CE3">
        <w:rPr>
          <w:lang w:val="sr-Cyrl-RS"/>
        </w:rPr>
        <w:t>иму</w:t>
      </w:r>
      <w:r w:rsidR="00DA093B">
        <w:rPr>
          <w:lang w:val="sr-Cyrl-RS"/>
        </w:rPr>
        <w:t>,</w:t>
      </w:r>
      <w:r w:rsidR="007C6CE3">
        <w:rPr>
          <w:lang w:val="sr-Cyrl-RS"/>
        </w:rPr>
        <w:t xml:space="preserve"> а</w:t>
      </w:r>
      <w:r>
        <w:rPr>
          <w:lang w:val="sr-Cyrl-RS"/>
        </w:rPr>
        <w:t xml:space="preserve"> самим тим могу бити </w:t>
      </w:r>
      <w:r w:rsidR="007C6CE3">
        <w:rPr>
          <w:lang w:val="sr-Cyrl-RS"/>
        </w:rPr>
        <w:t xml:space="preserve">кључни фактор </w:t>
      </w:r>
      <w:r w:rsidR="00C4345B">
        <w:rPr>
          <w:lang w:val="sr-Cyrl-RS"/>
        </w:rPr>
        <w:t xml:space="preserve">када је у питању развијање </w:t>
      </w:r>
      <w:r w:rsidR="00C4345B" w:rsidRPr="00C4345B">
        <w:rPr>
          <w:lang w:val="sr-Cyrl-RS"/>
        </w:rPr>
        <w:t>политике једнаких могућности</w:t>
      </w:r>
      <w:r w:rsidR="00540565">
        <w:rPr>
          <w:lang w:val="sr-Cyrl-RS"/>
        </w:rPr>
        <w:t>,</w:t>
      </w:r>
      <w:r w:rsidR="00C4345B">
        <w:rPr>
          <w:lang w:val="sr-Cyrl-RS"/>
        </w:rPr>
        <w:t xml:space="preserve"> али и деконструкција стереотипа који су врло изражени у нашем друштву. </w:t>
      </w:r>
    </w:p>
    <w:p w:rsidR="004763A1" w:rsidRPr="004763A1" w:rsidRDefault="00C303AD" w:rsidP="00C303AD">
      <w:pPr>
        <w:pStyle w:val="BodyText2"/>
        <w:spacing w:before="60"/>
        <w:ind w:firstLine="720"/>
      </w:pPr>
      <w:r>
        <w:rPr>
          <w:lang w:val="sr-Cyrl-RS"/>
        </w:rPr>
        <w:t>У вези са наведеним, Министарство</w:t>
      </w:r>
      <w:r w:rsidRPr="009E4ECC">
        <w:rPr>
          <w:lang w:val="sr-Cyrl-RS"/>
        </w:rPr>
        <w:t xml:space="preserve"> културе и информисања</w:t>
      </w:r>
      <w:r>
        <w:rPr>
          <w:lang w:val="sr-Cyrl-RS"/>
        </w:rPr>
        <w:t xml:space="preserve"> у</w:t>
      </w:r>
      <w:r w:rsidR="001B06FF">
        <w:rPr>
          <w:lang w:val="sr-Cyrl-RS"/>
        </w:rPr>
        <w:t xml:space="preserve"> извештају</w:t>
      </w:r>
      <w:r w:rsidR="00AB13D0" w:rsidRPr="00AB13D0">
        <w:rPr>
          <w:lang w:val="sr-Cyrl-RS"/>
        </w:rPr>
        <w:t xml:space="preserve"> који је достављен</w:t>
      </w:r>
      <w:r>
        <w:rPr>
          <w:lang w:val="sr-Cyrl-RS"/>
        </w:rPr>
        <w:t xml:space="preserve"> ресорном Министарству о спровођењу Закона о равноправности полова је</w:t>
      </w:r>
      <w:r w:rsidR="00AB13D0" w:rsidRPr="00AB13D0">
        <w:rPr>
          <w:lang w:val="sr-Cyrl-RS"/>
        </w:rPr>
        <w:t xml:space="preserve"> </w:t>
      </w:r>
      <w:r>
        <w:rPr>
          <w:lang w:val="sr-Cyrl-RS"/>
        </w:rPr>
        <w:t>навело</w:t>
      </w:r>
      <w:r w:rsidR="009E4ECC">
        <w:rPr>
          <w:lang w:val="sr-Cyrl-RS"/>
        </w:rPr>
        <w:t xml:space="preserve"> да </w:t>
      </w:r>
      <w:r w:rsidR="00DE027C">
        <w:rPr>
          <w:lang w:val="sr-Cyrl-RS"/>
        </w:rPr>
        <w:t>поменуто</w:t>
      </w:r>
      <w:r w:rsidR="00E14160">
        <w:rPr>
          <w:lang w:val="sr-Cyrl-RS"/>
        </w:rPr>
        <w:t xml:space="preserve"> министарство </w:t>
      </w:r>
      <w:r w:rsidR="009C40FE" w:rsidRPr="00AB13D0">
        <w:rPr>
          <w:lang w:val="sr-Cyrl-RS"/>
        </w:rPr>
        <w:t xml:space="preserve">спроводи политике и предузима мере којима се доприноси унапређењу равноправности полова, спречавању насиља над женама и већем поштовању њиховог </w:t>
      </w:r>
      <w:r w:rsidR="009C40FE" w:rsidRPr="00AB13D0">
        <w:rPr>
          <w:lang w:val="sr-Cyrl-RS"/>
        </w:rPr>
        <w:lastRenderedPageBreak/>
        <w:t>достојанства, кроз подршку производњи медијских садржаја који се баве питањима родне равноправности и забране дискриминације по основу пола.</w:t>
      </w:r>
      <w:r w:rsidR="009C40FE">
        <w:rPr>
          <w:lang w:val="sr-Cyrl-RS"/>
        </w:rPr>
        <w:t xml:space="preserve"> </w:t>
      </w:r>
      <w:r w:rsidR="004763A1" w:rsidRPr="00DE027C">
        <w:rPr>
          <w:lang w:val="sr-Cyrl-RS"/>
        </w:rPr>
        <w:t xml:space="preserve">На основу </w:t>
      </w:r>
      <w:r w:rsidR="004763A1" w:rsidRPr="00EF7283">
        <w:rPr>
          <w:i/>
          <w:lang w:val="sr-Cyrl-RS"/>
        </w:rPr>
        <w:t>Закона о јавном информисању и медијима</w:t>
      </w:r>
      <w:r w:rsidR="004763A1" w:rsidRPr="00DE027C">
        <w:rPr>
          <w:lang w:val="sr-Cyrl-RS"/>
        </w:rPr>
        <w:t>, Министарство културе и информисања расписује годишњи конкурс за суфинансирање пројеката у области јавног информисања који својим садржајима доприносе подизању свести гра</w:t>
      </w:r>
      <w:r w:rsidR="00EF7283">
        <w:rPr>
          <w:lang w:val="sr-Cyrl-RS"/>
        </w:rPr>
        <w:t>ђана о положају жена у друштву у</w:t>
      </w:r>
      <w:r w:rsidR="004763A1" w:rsidRPr="00DE027C">
        <w:rPr>
          <w:lang w:val="sr-Cyrl-RS"/>
        </w:rPr>
        <w:t xml:space="preserve"> широком спектру проблема у тој области – насиље над женама, дискриминација у различитим сферама друштвеног живота, стереотипи о у</w:t>
      </w:r>
      <w:r>
        <w:rPr>
          <w:lang w:val="sr-Cyrl-RS"/>
        </w:rPr>
        <w:t>лози жене у породици и друштву</w:t>
      </w:r>
      <w:r w:rsidR="001E25F8">
        <w:rPr>
          <w:lang w:val="sr-Cyrl-RS"/>
        </w:rPr>
        <w:t>, па је то био случај и у 2018. години</w:t>
      </w:r>
      <w:r>
        <w:rPr>
          <w:lang w:val="sr-Cyrl-RS"/>
        </w:rPr>
        <w:t xml:space="preserve"> (Табела 13)</w:t>
      </w:r>
      <w:r w:rsidRPr="00DE027C">
        <w:rPr>
          <w:lang w:val="sr-Cyrl-RS"/>
        </w:rPr>
        <w:t xml:space="preserve">. </w:t>
      </w:r>
    </w:p>
    <w:p w:rsidR="008D1A9C" w:rsidRDefault="008D1A9C" w:rsidP="001E25F8">
      <w:pPr>
        <w:pStyle w:val="BodyText2"/>
        <w:spacing w:before="60"/>
        <w:ind w:firstLine="720"/>
      </w:pPr>
    </w:p>
    <w:p w:rsidR="004763A1" w:rsidRDefault="00C303AD" w:rsidP="00C303AD">
      <w:pPr>
        <w:ind w:firstLine="720"/>
        <w:jc w:val="center"/>
        <w:rPr>
          <w:b/>
          <w:lang w:val="sr-Cyrl-CS"/>
        </w:rPr>
      </w:pPr>
      <w:r w:rsidRPr="00C303AD">
        <w:rPr>
          <w:b/>
          <w:lang w:val="sr-Cyrl-CS"/>
        </w:rPr>
        <w:t xml:space="preserve">Табела 13: </w:t>
      </w:r>
      <w:r w:rsidR="004763A1" w:rsidRPr="004763A1">
        <w:rPr>
          <w:b/>
          <w:lang w:val="sr-Cyrl-CS"/>
        </w:rPr>
        <w:t xml:space="preserve">Пројекти подржани на конкурсима за суфинансирање пројеката из области јавног информисања у </w:t>
      </w:r>
      <w:r w:rsidR="004763A1" w:rsidRPr="004763A1">
        <w:rPr>
          <w:b/>
          <w:lang w:val="ru-RU"/>
        </w:rPr>
        <w:t>201</w:t>
      </w:r>
      <w:r w:rsidR="004763A1" w:rsidRPr="004763A1">
        <w:rPr>
          <w:b/>
          <w:lang w:val="sr-Cyrl-RS"/>
        </w:rPr>
        <w:t>8</w:t>
      </w:r>
      <w:r w:rsidR="004763A1" w:rsidRPr="004763A1">
        <w:rPr>
          <w:b/>
          <w:lang w:val="ru-RU"/>
        </w:rPr>
        <w:t>.</w:t>
      </w:r>
      <w:r w:rsidR="004763A1" w:rsidRPr="004763A1">
        <w:rPr>
          <w:b/>
          <w:lang w:val="sr-Cyrl-RS"/>
        </w:rPr>
        <w:t xml:space="preserve"> </w:t>
      </w:r>
      <w:r w:rsidR="007F1382">
        <w:rPr>
          <w:b/>
          <w:lang w:val="sr-Cyrl-CS"/>
        </w:rPr>
        <w:t>г</w:t>
      </w:r>
      <w:r w:rsidR="004763A1" w:rsidRPr="004763A1">
        <w:rPr>
          <w:b/>
          <w:lang w:val="sr-Cyrl-CS"/>
        </w:rPr>
        <w:t>одини</w:t>
      </w:r>
    </w:p>
    <w:p w:rsidR="001E25F8" w:rsidRPr="004763A1" w:rsidRDefault="001E25F8" w:rsidP="001E25F8">
      <w:pPr>
        <w:ind w:firstLine="720"/>
        <w:rPr>
          <w:b/>
          <w:lang w:val="sr-Cyrl-R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119"/>
        <w:gridCol w:w="3662"/>
        <w:gridCol w:w="1441"/>
      </w:tblGrid>
      <w:tr w:rsidR="00A1308C" w:rsidRPr="006F3994" w:rsidTr="001E25F8">
        <w:trPr>
          <w:trHeight w:val="422"/>
        </w:trPr>
        <w:tc>
          <w:tcPr>
            <w:tcW w:w="1838" w:type="dxa"/>
            <w:shd w:val="clear" w:color="auto" w:fill="5B9BD5" w:themeFill="accent1"/>
            <w:vAlign w:val="bottom"/>
          </w:tcPr>
          <w:p w:rsidR="004763A1" w:rsidRDefault="004763A1" w:rsidP="001E25F8">
            <w:pPr>
              <w:jc w:val="center"/>
              <w:rPr>
                <w:color w:val="000000"/>
                <w:sz w:val="20"/>
                <w:szCs w:val="20"/>
                <w:lang w:val="sr-Cyrl-RS"/>
              </w:rPr>
            </w:pPr>
            <w:r w:rsidRPr="004763A1">
              <w:rPr>
                <w:color w:val="000000"/>
                <w:sz w:val="20"/>
                <w:szCs w:val="20"/>
                <w:lang w:val="sr-Cyrl-RS"/>
              </w:rPr>
              <w:t>Место</w:t>
            </w:r>
          </w:p>
          <w:p w:rsidR="00A1308C" w:rsidRPr="004763A1" w:rsidRDefault="00A1308C" w:rsidP="001E25F8">
            <w:pPr>
              <w:jc w:val="center"/>
              <w:rPr>
                <w:color w:val="000000"/>
                <w:sz w:val="20"/>
                <w:szCs w:val="20"/>
                <w:lang w:val="sr-Cyrl-RS"/>
              </w:rPr>
            </w:pPr>
          </w:p>
        </w:tc>
        <w:tc>
          <w:tcPr>
            <w:tcW w:w="3119" w:type="dxa"/>
            <w:shd w:val="clear" w:color="auto" w:fill="5B9BD5" w:themeFill="accent1"/>
            <w:vAlign w:val="bottom"/>
          </w:tcPr>
          <w:p w:rsidR="004763A1" w:rsidRDefault="004763A1" w:rsidP="001E25F8">
            <w:pPr>
              <w:jc w:val="center"/>
              <w:rPr>
                <w:color w:val="000000"/>
                <w:sz w:val="20"/>
                <w:szCs w:val="20"/>
                <w:lang w:val="sr-Cyrl-RS"/>
              </w:rPr>
            </w:pPr>
            <w:r w:rsidRPr="004763A1">
              <w:rPr>
                <w:color w:val="000000"/>
                <w:sz w:val="20"/>
                <w:szCs w:val="20"/>
                <w:lang w:val="sr-Cyrl-RS"/>
              </w:rPr>
              <w:t>Назив издавача медија</w:t>
            </w:r>
          </w:p>
          <w:p w:rsidR="00A1308C" w:rsidRPr="004763A1" w:rsidRDefault="00A1308C" w:rsidP="001E25F8">
            <w:pPr>
              <w:jc w:val="center"/>
              <w:rPr>
                <w:color w:val="000000"/>
                <w:sz w:val="20"/>
                <w:szCs w:val="20"/>
                <w:lang w:val="sr-Cyrl-RS"/>
              </w:rPr>
            </w:pPr>
          </w:p>
        </w:tc>
        <w:tc>
          <w:tcPr>
            <w:tcW w:w="3662" w:type="dxa"/>
            <w:shd w:val="clear" w:color="auto" w:fill="5B9BD5" w:themeFill="accent1"/>
            <w:vAlign w:val="bottom"/>
          </w:tcPr>
          <w:p w:rsidR="004763A1" w:rsidRDefault="004763A1" w:rsidP="001E25F8">
            <w:pPr>
              <w:jc w:val="center"/>
              <w:rPr>
                <w:color w:val="000000"/>
                <w:sz w:val="20"/>
                <w:szCs w:val="20"/>
                <w:lang w:val="sr-Cyrl-RS"/>
              </w:rPr>
            </w:pPr>
            <w:r w:rsidRPr="004763A1">
              <w:rPr>
                <w:color w:val="000000"/>
                <w:sz w:val="20"/>
                <w:szCs w:val="20"/>
                <w:lang w:val="sr-Cyrl-RS"/>
              </w:rPr>
              <w:t>Назив пројекта</w:t>
            </w:r>
          </w:p>
          <w:p w:rsidR="00A1308C" w:rsidRPr="004763A1" w:rsidRDefault="00A1308C" w:rsidP="001E25F8">
            <w:pPr>
              <w:jc w:val="center"/>
              <w:rPr>
                <w:color w:val="000000"/>
                <w:sz w:val="20"/>
                <w:szCs w:val="20"/>
                <w:lang w:val="sr-Cyrl-RS"/>
              </w:rPr>
            </w:pPr>
          </w:p>
        </w:tc>
        <w:tc>
          <w:tcPr>
            <w:tcW w:w="1441" w:type="dxa"/>
            <w:shd w:val="clear" w:color="auto" w:fill="5B9BD5" w:themeFill="accent1"/>
            <w:vAlign w:val="bottom"/>
          </w:tcPr>
          <w:p w:rsidR="004763A1" w:rsidRPr="004763A1" w:rsidRDefault="004763A1" w:rsidP="001E25F8">
            <w:pPr>
              <w:jc w:val="center"/>
              <w:rPr>
                <w:color w:val="000000"/>
                <w:sz w:val="20"/>
                <w:szCs w:val="20"/>
                <w:lang w:val="sr-Cyrl-RS"/>
              </w:rPr>
            </w:pPr>
            <w:r w:rsidRPr="004763A1">
              <w:rPr>
                <w:color w:val="000000"/>
                <w:sz w:val="20"/>
                <w:szCs w:val="20"/>
                <w:lang w:val="sr-Cyrl-RS"/>
              </w:rPr>
              <w:t xml:space="preserve">Износ </w:t>
            </w:r>
            <w:r w:rsidR="00A1308C">
              <w:rPr>
                <w:color w:val="000000"/>
                <w:sz w:val="20"/>
                <w:szCs w:val="20"/>
                <w:lang w:val="sr-Cyrl-RS"/>
              </w:rPr>
              <w:t xml:space="preserve">додељених </w:t>
            </w:r>
            <w:r w:rsidRPr="004763A1">
              <w:rPr>
                <w:color w:val="000000"/>
                <w:sz w:val="20"/>
                <w:szCs w:val="20"/>
                <w:lang w:val="sr-Cyrl-RS"/>
              </w:rPr>
              <w:t>средстава</w:t>
            </w:r>
            <w:r w:rsidR="00A1308C">
              <w:rPr>
                <w:color w:val="000000"/>
                <w:sz w:val="20"/>
                <w:szCs w:val="20"/>
                <w:lang w:val="sr-Cyrl-RS"/>
              </w:rPr>
              <w:t xml:space="preserve"> у РСД</w:t>
            </w:r>
          </w:p>
        </w:tc>
      </w:tr>
      <w:tr w:rsidR="004763A1" w:rsidRPr="004763A1" w:rsidTr="001E25F8">
        <w:trPr>
          <w:trHeight w:val="422"/>
        </w:trPr>
        <w:tc>
          <w:tcPr>
            <w:tcW w:w="1838" w:type="dxa"/>
            <w:shd w:val="clear" w:color="auto" w:fill="FFFFFF"/>
            <w:vAlign w:val="bottom"/>
          </w:tcPr>
          <w:p w:rsidR="004763A1" w:rsidRPr="004763A1" w:rsidRDefault="004763A1" w:rsidP="001E25F8">
            <w:pPr>
              <w:rPr>
                <w:color w:val="000000"/>
                <w:sz w:val="20"/>
                <w:szCs w:val="20"/>
                <w:lang w:val="sr-Cyrl-RS"/>
              </w:rPr>
            </w:pPr>
            <w:r w:rsidRPr="004763A1">
              <w:rPr>
                <w:sz w:val="20"/>
                <w:szCs w:val="20"/>
                <w:lang w:val="en-US"/>
              </w:rPr>
              <w:t>Пријепоље</w:t>
            </w:r>
          </w:p>
        </w:tc>
        <w:tc>
          <w:tcPr>
            <w:tcW w:w="3119" w:type="dxa"/>
            <w:shd w:val="clear" w:color="auto" w:fill="FFFFFF"/>
            <w:vAlign w:val="bottom"/>
          </w:tcPr>
          <w:p w:rsidR="004763A1" w:rsidRPr="004763A1" w:rsidRDefault="004763A1" w:rsidP="001E25F8">
            <w:pPr>
              <w:rPr>
                <w:color w:val="000000"/>
                <w:sz w:val="20"/>
                <w:szCs w:val="20"/>
                <w:lang w:val="sr-Cyrl-RS"/>
              </w:rPr>
            </w:pPr>
            <w:r w:rsidRPr="004763A1">
              <w:rPr>
                <w:sz w:val="20"/>
                <w:szCs w:val="20"/>
                <w:lang w:val="ru-RU"/>
              </w:rPr>
              <w:t>Удружење грађана Форум жена Пријепоља - Телевизија Форум</w:t>
            </w:r>
          </w:p>
        </w:tc>
        <w:tc>
          <w:tcPr>
            <w:tcW w:w="3662" w:type="dxa"/>
            <w:shd w:val="clear" w:color="auto" w:fill="FFFFFF"/>
            <w:vAlign w:val="bottom"/>
          </w:tcPr>
          <w:p w:rsidR="004763A1" w:rsidRPr="004763A1" w:rsidRDefault="004763A1" w:rsidP="001E25F8">
            <w:pPr>
              <w:rPr>
                <w:color w:val="000000"/>
                <w:sz w:val="20"/>
                <w:szCs w:val="20"/>
                <w:lang w:val="sr-Cyrl-RS"/>
              </w:rPr>
            </w:pPr>
            <w:r w:rsidRPr="004763A1">
              <w:rPr>
                <w:sz w:val="20"/>
                <w:szCs w:val="20"/>
                <w:lang w:val="ru-RU"/>
              </w:rPr>
              <w:t>Представљање сеоских жена и жена са инвалидитетом у медијима</w:t>
            </w: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sz w:val="20"/>
                <w:szCs w:val="20"/>
                <w:lang w:val="en-US"/>
              </w:rPr>
              <w:t>1.564.000,00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Рума</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Телевизија Фрушка гора д.о.о. Рума</w:t>
            </w:r>
          </w:p>
        </w:tc>
        <w:tc>
          <w:tcPr>
            <w:tcW w:w="3662" w:type="dxa"/>
            <w:shd w:val="clear" w:color="auto" w:fill="FFFFFF"/>
            <w:vAlign w:val="bottom"/>
          </w:tcPr>
          <w:p w:rsidR="004763A1" w:rsidRPr="004763A1" w:rsidRDefault="004763A1" w:rsidP="001E25F8">
            <w:pPr>
              <w:rPr>
                <w:sz w:val="20"/>
                <w:szCs w:val="20"/>
                <w:lang w:val="ru-RU"/>
              </w:rPr>
            </w:pPr>
            <w:r w:rsidRPr="004763A1">
              <w:rPr>
                <w:sz w:val="20"/>
                <w:szCs w:val="20"/>
                <w:lang w:val="ru-RU"/>
              </w:rPr>
              <w:t>Јака жена, јако село - оснажимо жене у руралним срединама</w:t>
            </w:r>
          </w:p>
        </w:tc>
        <w:tc>
          <w:tcPr>
            <w:tcW w:w="1441"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2.000.000,00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Нови Сад</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Задруга медијских и културних стваралаца Медијакулт Нови Сад</w:t>
            </w:r>
          </w:p>
        </w:tc>
        <w:tc>
          <w:tcPr>
            <w:tcW w:w="3662" w:type="dxa"/>
            <w:shd w:val="clear" w:color="auto" w:fill="FFFFFF"/>
            <w:vAlign w:val="bottom"/>
          </w:tcPr>
          <w:p w:rsidR="004763A1" w:rsidRPr="004763A1" w:rsidRDefault="004763A1" w:rsidP="001E25F8">
            <w:pPr>
              <w:rPr>
                <w:sz w:val="20"/>
                <w:szCs w:val="20"/>
                <w:lang w:val="sr-Cyrl-RS"/>
              </w:rPr>
            </w:pPr>
            <w:r w:rsidRPr="004763A1">
              <w:rPr>
                <w:sz w:val="20"/>
                <w:szCs w:val="20"/>
                <w:lang w:val="ru-RU"/>
              </w:rPr>
              <w:t>Жене у политици - политика у женама, Србија 1918-2018</w:t>
            </w:r>
            <w:r w:rsidRPr="004763A1">
              <w:rPr>
                <w:sz w:val="20"/>
                <w:szCs w:val="20"/>
                <w:lang w:val="sr-Cyrl-RS"/>
              </w:rPr>
              <w:t>.</w:t>
            </w:r>
          </w:p>
        </w:tc>
        <w:tc>
          <w:tcPr>
            <w:tcW w:w="1441"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1.800.000,00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Нови Сад</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„Дневник – Пољопривредник” ад за новинарско-издавачку делатност Нови Сад</w:t>
            </w:r>
          </w:p>
        </w:tc>
        <w:tc>
          <w:tcPr>
            <w:tcW w:w="3662" w:type="dxa"/>
            <w:shd w:val="clear" w:color="auto" w:fill="FFFFFF"/>
            <w:vAlign w:val="bottom"/>
          </w:tcPr>
          <w:p w:rsidR="004763A1" w:rsidRPr="004763A1" w:rsidRDefault="004763A1" w:rsidP="001E25F8">
            <w:pPr>
              <w:rPr>
                <w:sz w:val="20"/>
                <w:szCs w:val="20"/>
                <w:lang w:val="ru-RU"/>
              </w:rPr>
            </w:pPr>
            <w:r w:rsidRPr="004763A1">
              <w:rPr>
                <w:sz w:val="20"/>
                <w:szCs w:val="20"/>
                <w:lang w:val="ru-RU"/>
              </w:rPr>
              <w:t>Жене на селу, њихов положај и како га побољшати</w:t>
            </w:r>
          </w:p>
        </w:tc>
        <w:tc>
          <w:tcPr>
            <w:tcW w:w="1441"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850.000,00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Врбас</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Љубинка Недовић пр Агенција за издавањ</w:t>
            </w:r>
            <w:r w:rsidRPr="004763A1">
              <w:rPr>
                <w:sz w:val="20"/>
                <w:szCs w:val="20"/>
                <w:lang w:val="en-US"/>
              </w:rPr>
              <w:t>e</w:t>
            </w:r>
            <w:r w:rsidRPr="004763A1">
              <w:rPr>
                <w:sz w:val="20"/>
                <w:szCs w:val="20"/>
                <w:lang w:val="ru-RU"/>
              </w:rPr>
              <w:t xml:space="preserve"> новина и веб портала „Бачка Пресс-око нас.инфо” Врбас</w:t>
            </w:r>
          </w:p>
        </w:tc>
        <w:tc>
          <w:tcPr>
            <w:tcW w:w="3662" w:type="dxa"/>
            <w:shd w:val="clear" w:color="auto" w:fill="FFFFFF"/>
            <w:vAlign w:val="bottom"/>
          </w:tcPr>
          <w:p w:rsidR="004763A1" w:rsidRPr="004763A1" w:rsidRDefault="004763A1" w:rsidP="001E25F8">
            <w:pPr>
              <w:rPr>
                <w:sz w:val="20"/>
                <w:szCs w:val="20"/>
                <w:lang w:val="ru-RU"/>
              </w:rPr>
            </w:pPr>
            <w:r w:rsidRPr="004763A1">
              <w:rPr>
                <w:sz w:val="20"/>
                <w:szCs w:val="20"/>
                <w:lang w:val="ru-RU"/>
              </w:rPr>
              <w:t>Заједно у борби против насиља над женама</w:t>
            </w:r>
          </w:p>
        </w:tc>
        <w:tc>
          <w:tcPr>
            <w:tcW w:w="1441" w:type="dxa"/>
            <w:shd w:val="clear" w:color="auto" w:fill="FFFFFF"/>
            <w:vAlign w:val="bottom"/>
          </w:tcPr>
          <w:p w:rsidR="004763A1" w:rsidRPr="004763A1" w:rsidRDefault="004763A1" w:rsidP="001E25F8">
            <w:pPr>
              <w:rPr>
                <w:sz w:val="20"/>
                <w:szCs w:val="20"/>
                <w:lang w:val="sr-Cyrl-RS"/>
              </w:rPr>
            </w:pPr>
            <w:r w:rsidRPr="004763A1">
              <w:rPr>
                <w:sz w:val="20"/>
                <w:szCs w:val="20"/>
                <w:lang w:val="en-US"/>
              </w:rPr>
              <w:t>511.734,00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Ужице</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Доо Вести и радио Ужице</w:t>
            </w:r>
          </w:p>
        </w:tc>
        <w:tc>
          <w:tcPr>
            <w:tcW w:w="3662" w:type="dxa"/>
            <w:shd w:val="clear" w:color="auto" w:fill="FFFFFF"/>
            <w:vAlign w:val="bottom"/>
          </w:tcPr>
          <w:p w:rsidR="004763A1" w:rsidRPr="004763A1" w:rsidRDefault="004763A1" w:rsidP="001E25F8">
            <w:pPr>
              <w:rPr>
                <w:sz w:val="20"/>
                <w:szCs w:val="20"/>
                <w:lang w:val="en-US"/>
              </w:rPr>
            </w:pPr>
            <w:r w:rsidRPr="004763A1">
              <w:rPr>
                <w:sz w:val="20"/>
                <w:szCs w:val="20"/>
                <w:lang w:val="en-US"/>
              </w:rPr>
              <w:t>Женско срце у бизнису</w:t>
            </w:r>
          </w:p>
        </w:tc>
        <w:tc>
          <w:tcPr>
            <w:tcW w:w="1441"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500.000,00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Краљево</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Привредно друштво „Радио Телевизија Краљево и Ибарске Новости” доо</w:t>
            </w:r>
          </w:p>
        </w:tc>
        <w:tc>
          <w:tcPr>
            <w:tcW w:w="3662" w:type="dxa"/>
            <w:shd w:val="clear" w:color="auto" w:fill="FFFFFF"/>
            <w:vAlign w:val="bottom"/>
          </w:tcPr>
          <w:p w:rsidR="004763A1" w:rsidRPr="004763A1" w:rsidRDefault="004763A1" w:rsidP="001E25F8">
            <w:pPr>
              <w:rPr>
                <w:sz w:val="20"/>
                <w:szCs w:val="20"/>
                <w:lang w:val="sr-Cyrl-RS"/>
              </w:rPr>
            </w:pPr>
            <w:r w:rsidRPr="004763A1">
              <w:rPr>
                <w:sz w:val="20"/>
                <w:szCs w:val="20"/>
                <w:lang w:val="en-US"/>
              </w:rPr>
              <w:t>Њено величанство жена</w:t>
            </w:r>
          </w:p>
        </w:tc>
        <w:tc>
          <w:tcPr>
            <w:tcW w:w="1441"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400.000,00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en-US"/>
              </w:rPr>
            </w:pPr>
            <w:r w:rsidRPr="004763A1">
              <w:rPr>
                <w:sz w:val="20"/>
                <w:szCs w:val="20"/>
                <w:lang w:val="en-US"/>
              </w:rPr>
              <w:t>Аранђеловац</w:t>
            </w:r>
          </w:p>
          <w:p w:rsidR="004763A1" w:rsidRPr="004763A1" w:rsidRDefault="004763A1" w:rsidP="001E25F8">
            <w:pPr>
              <w:rPr>
                <w:color w:val="000000"/>
                <w:sz w:val="20"/>
                <w:szCs w:val="20"/>
                <w:lang w:val="sr-Cyrl-RS"/>
              </w:rPr>
            </w:pP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Миодраг Петровић ПР,</w:t>
            </w:r>
          </w:p>
          <w:p w:rsidR="004763A1" w:rsidRPr="004763A1" w:rsidRDefault="004763A1" w:rsidP="001E25F8">
            <w:pPr>
              <w:rPr>
                <w:sz w:val="20"/>
                <w:szCs w:val="20"/>
                <w:lang w:val="sr-Cyrl-RS"/>
              </w:rPr>
            </w:pPr>
            <w:r w:rsidRPr="004763A1">
              <w:rPr>
                <w:sz w:val="20"/>
                <w:szCs w:val="20"/>
                <w:lang w:val="ru-RU"/>
              </w:rPr>
              <w:t>Агенција за продукцију, маркетинг и</w:t>
            </w:r>
            <w:r w:rsidRPr="004763A1">
              <w:rPr>
                <w:sz w:val="20"/>
                <w:szCs w:val="20"/>
                <w:lang w:val="sr-Cyrl-RS"/>
              </w:rPr>
              <w:t xml:space="preserve"> </w:t>
            </w:r>
            <w:r w:rsidRPr="004763A1">
              <w:rPr>
                <w:sz w:val="20"/>
                <w:szCs w:val="20"/>
                <w:lang w:val="ru-RU"/>
              </w:rPr>
              <w:t xml:space="preserve">информисање </w:t>
            </w:r>
            <w:r w:rsidRPr="004763A1">
              <w:rPr>
                <w:sz w:val="20"/>
                <w:szCs w:val="20"/>
                <w:lang w:val="en-US"/>
              </w:rPr>
              <w:t>AR</w:t>
            </w:r>
            <w:r w:rsidRPr="004763A1">
              <w:rPr>
                <w:sz w:val="20"/>
                <w:szCs w:val="20"/>
                <w:lang w:val="ru-RU"/>
              </w:rPr>
              <w:t xml:space="preserve"> </w:t>
            </w:r>
            <w:r w:rsidRPr="004763A1">
              <w:rPr>
                <w:sz w:val="20"/>
                <w:szCs w:val="20"/>
                <w:lang w:val="en-US"/>
              </w:rPr>
              <w:t>Press</w:t>
            </w:r>
          </w:p>
        </w:tc>
        <w:tc>
          <w:tcPr>
            <w:tcW w:w="3662" w:type="dxa"/>
            <w:shd w:val="clear" w:color="auto" w:fill="FFFFFF"/>
            <w:vAlign w:val="bottom"/>
          </w:tcPr>
          <w:p w:rsidR="004763A1" w:rsidRPr="004763A1" w:rsidRDefault="004763A1" w:rsidP="001E25F8">
            <w:pPr>
              <w:rPr>
                <w:sz w:val="20"/>
                <w:szCs w:val="20"/>
                <w:lang w:val="ru-RU"/>
              </w:rPr>
            </w:pPr>
            <w:r w:rsidRPr="001E25F8">
              <w:rPr>
                <w:sz w:val="20"/>
                <w:szCs w:val="20"/>
                <w:lang w:val="ru-RU"/>
              </w:rPr>
              <w:t>Жене</w:t>
            </w:r>
            <w:r w:rsidRPr="004763A1">
              <w:rPr>
                <w:sz w:val="20"/>
                <w:szCs w:val="20"/>
                <w:lang w:val="ru-RU"/>
              </w:rPr>
              <w:t xml:space="preserve"> </w:t>
            </w:r>
            <w:proofErr w:type="gramStart"/>
            <w:r w:rsidRPr="004763A1">
              <w:rPr>
                <w:sz w:val="20"/>
                <w:szCs w:val="20"/>
                <w:lang w:val="ru-RU"/>
              </w:rPr>
              <w:t>на селу</w:t>
            </w:r>
            <w:proofErr w:type="gramEnd"/>
            <w:r w:rsidRPr="004763A1">
              <w:rPr>
                <w:sz w:val="20"/>
                <w:szCs w:val="20"/>
                <w:lang w:val="ru-RU"/>
              </w:rPr>
              <w:t xml:space="preserve"> –</w:t>
            </w:r>
            <w:r w:rsidRPr="004763A1">
              <w:rPr>
                <w:sz w:val="20"/>
                <w:szCs w:val="20"/>
                <w:lang w:val="sr-Cyrl-RS"/>
              </w:rPr>
              <w:t xml:space="preserve"> </w:t>
            </w:r>
            <w:r w:rsidRPr="004763A1">
              <w:rPr>
                <w:sz w:val="20"/>
                <w:szCs w:val="20"/>
                <w:lang w:val="ru-RU"/>
              </w:rPr>
              <w:t>стуб</w:t>
            </w:r>
            <w:r w:rsidRPr="004763A1">
              <w:rPr>
                <w:sz w:val="20"/>
                <w:szCs w:val="20"/>
                <w:lang w:val="sr-Cyrl-RS"/>
              </w:rPr>
              <w:t xml:space="preserve"> </w:t>
            </w:r>
            <w:r w:rsidRPr="004763A1">
              <w:rPr>
                <w:sz w:val="20"/>
                <w:szCs w:val="20"/>
                <w:lang w:val="ru-RU"/>
              </w:rPr>
              <w:t>руралног развоја</w:t>
            </w:r>
          </w:p>
          <w:p w:rsidR="004763A1" w:rsidRPr="004763A1" w:rsidRDefault="004763A1" w:rsidP="001E25F8">
            <w:pPr>
              <w:rPr>
                <w:color w:val="000000"/>
                <w:sz w:val="20"/>
                <w:szCs w:val="20"/>
                <w:lang w:val="sr-Cyrl-RS"/>
              </w:rPr>
            </w:pP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color w:val="000000"/>
                <w:sz w:val="20"/>
                <w:szCs w:val="20"/>
                <w:lang w:val="sr-Cyrl-RS"/>
              </w:rPr>
              <w:t>400.000</w:t>
            </w:r>
            <w:r w:rsidR="00A1308C">
              <w:rPr>
                <w:color w:val="000000"/>
                <w:sz w:val="20"/>
                <w:szCs w:val="20"/>
                <w:lang w:val="sr-Cyrl-RS"/>
              </w:rPr>
              <w:t>,00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en-US"/>
              </w:rPr>
            </w:pPr>
            <w:r w:rsidRPr="004763A1">
              <w:rPr>
                <w:sz w:val="20"/>
                <w:szCs w:val="20"/>
                <w:lang w:val="en-US"/>
              </w:rPr>
              <w:t>Ниш</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Радио Талас д.о.о.</w:t>
            </w:r>
          </w:p>
        </w:tc>
        <w:tc>
          <w:tcPr>
            <w:tcW w:w="3662" w:type="dxa"/>
            <w:shd w:val="clear" w:color="auto" w:fill="FFFFFF"/>
            <w:vAlign w:val="bottom"/>
          </w:tcPr>
          <w:p w:rsidR="004763A1" w:rsidRPr="001E25F8" w:rsidRDefault="004763A1" w:rsidP="001E25F8">
            <w:pPr>
              <w:rPr>
                <w:sz w:val="20"/>
                <w:szCs w:val="20"/>
                <w:lang w:val="ru-RU"/>
              </w:rPr>
            </w:pPr>
            <w:r w:rsidRPr="001E25F8">
              <w:rPr>
                <w:sz w:val="20"/>
                <w:szCs w:val="20"/>
                <w:lang w:val="ru-RU"/>
              </w:rPr>
              <w:t>Жене</w:t>
            </w:r>
            <w:r w:rsidRPr="004763A1">
              <w:rPr>
                <w:sz w:val="20"/>
                <w:szCs w:val="20"/>
                <w:lang w:val="ru-RU"/>
              </w:rPr>
              <w:t xml:space="preserve"> о кључу успеха у 2 минута</w:t>
            </w: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color w:val="000000"/>
                <w:sz w:val="20"/>
                <w:szCs w:val="20"/>
                <w:lang w:val="sr-Cyrl-RS"/>
              </w:rPr>
              <w:t>900.000</w:t>
            </w:r>
            <w:r w:rsidR="00A1308C">
              <w:rPr>
                <w:color w:val="000000"/>
                <w:sz w:val="20"/>
                <w:szCs w:val="20"/>
                <w:lang w:val="sr-Cyrl-RS"/>
              </w:rPr>
              <w:t>,00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Богатић</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Драган Грујић ПР, Агенција за</w:t>
            </w:r>
          </w:p>
          <w:p w:rsidR="004763A1" w:rsidRPr="004763A1" w:rsidRDefault="004763A1" w:rsidP="001E25F8">
            <w:pPr>
              <w:rPr>
                <w:sz w:val="20"/>
                <w:szCs w:val="20"/>
                <w:lang w:val="ru-RU"/>
              </w:rPr>
            </w:pPr>
            <w:r w:rsidRPr="004763A1">
              <w:rPr>
                <w:sz w:val="20"/>
                <w:szCs w:val="20"/>
                <w:lang w:val="ru-RU"/>
              </w:rPr>
              <w:t>Новинарство</w:t>
            </w:r>
            <w:r w:rsidRPr="004763A1">
              <w:rPr>
                <w:sz w:val="20"/>
                <w:szCs w:val="20"/>
                <w:lang w:val="sr-Cyrl-RS"/>
              </w:rPr>
              <w:t xml:space="preserve"> </w:t>
            </w:r>
            <w:r w:rsidRPr="004763A1">
              <w:rPr>
                <w:sz w:val="20"/>
                <w:szCs w:val="20"/>
                <w:lang w:val="ru-RU"/>
              </w:rPr>
              <w:t xml:space="preserve">и издаваштво </w:t>
            </w:r>
            <w:r w:rsidRPr="004763A1">
              <w:rPr>
                <w:sz w:val="20"/>
                <w:szCs w:val="20"/>
                <w:lang w:val="en-US"/>
              </w:rPr>
              <w:t>Ma</w:t>
            </w:r>
            <w:r w:rsidRPr="004763A1">
              <w:rPr>
                <w:sz w:val="20"/>
                <w:szCs w:val="20"/>
                <w:lang w:val="ru-RU"/>
              </w:rPr>
              <w:t>č</w:t>
            </w:r>
            <w:r w:rsidRPr="004763A1">
              <w:rPr>
                <w:sz w:val="20"/>
                <w:szCs w:val="20"/>
                <w:lang w:val="en-US"/>
              </w:rPr>
              <w:t>va</w:t>
            </w:r>
          </w:p>
          <w:p w:rsidR="004763A1" w:rsidRPr="004763A1" w:rsidRDefault="004763A1" w:rsidP="001E25F8">
            <w:pPr>
              <w:rPr>
                <w:sz w:val="20"/>
                <w:szCs w:val="20"/>
                <w:lang w:val="sr-Cyrl-RS"/>
              </w:rPr>
            </w:pPr>
            <w:r w:rsidRPr="004763A1">
              <w:rPr>
                <w:sz w:val="20"/>
                <w:szCs w:val="20"/>
                <w:lang w:val="en-US"/>
              </w:rPr>
              <w:t>Media Sistem Богатић</w:t>
            </w:r>
          </w:p>
        </w:tc>
        <w:tc>
          <w:tcPr>
            <w:tcW w:w="3662" w:type="dxa"/>
            <w:shd w:val="clear" w:color="auto" w:fill="FFFFFF"/>
            <w:vAlign w:val="bottom"/>
          </w:tcPr>
          <w:p w:rsidR="004763A1" w:rsidRPr="004763A1" w:rsidRDefault="004763A1" w:rsidP="001E25F8">
            <w:pPr>
              <w:rPr>
                <w:sz w:val="20"/>
                <w:szCs w:val="20"/>
                <w:lang w:val="ru-RU"/>
              </w:rPr>
            </w:pPr>
            <w:r w:rsidRPr="004763A1">
              <w:rPr>
                <w:sz w:val="20"/>
                <w:szCs w:val="20"/>
                <w:lang w:val="ru-RU"/>
              </w:rPr>
              <w:t xml:space="preserve">Жене </w:t>
            </w:r>
            <w:proofErr w:type="gramStart"/>
            <w:r w:rsidRPr="004763A1">
              <w:rPr>
                <w:sz w:val="20"/>
                <w:szCs w:val="20"/>
                <w:lang w:val="ru-RU"/>
              </w:rPr>
              <w:t>на селу</w:t>
            </w:r>
            <w:proofErr w:type="gramEnd"/>
            <w:r w:rsidRPr="004763A1">
              <w:rPr>
                <w:sz w:val="20"/>
                <w:szCs w:val="20"/>
                <w:lang w:val="ru-RU"/>
              </w:rPr>
              <w:t xml:space="preserve"> -Унапређење</w:t>
            </w:r>
          </w:p>
          <w:p w:rsidR="004763A1" w:rsidRPr="001E25F8" w:rsidRDefault="004763A1" w:rsidP="001E25F8">
            <w:pPr>
              <w:rPr>
                <w:sz w:val="20"/>
                <w:szCs w:val="20"/>
                <w:lang w:val="ru-RU"/>
              </w:rPr>
            </w:pPr>
            <w:r w:rsidRPr="004763A1">
              <w:rPr>
                <w:sz w:val="20"/>
                <w:szCs w:val="20"/>
                <w:lang w:val="ru-RU"/>
              </w:rPr>
              <w:t>положаја путем медија</w:t>
            </w: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color w:val="000000"/>
                <w:sz w:val="20"/>
                <w:szCs w:val="20"/>
                <w:lang w:val="sr-Cyrl-RS"/>
              </w:rPr>
              <w:t>320.000</w:t>
            </w:r>
            <w:r w:rsidR="00A1308C">
              <w:rPr>
                <w:color w:val="000000"/>
                <w:sz w:val="20"/>
                <w:szCs w:val="20"/>
                <w:lang w:val="sr-Cyrl-RS"/>
              </w:rPr>
              <w:t>,00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en-US"/>
              </w:rPr>
              <w:t>Пријепоље</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Информативно</w:t>
            </w:r>
            <w:r w:rsidRPr="004763A1">
              <w:rPr>
                <w:sz w:val="20"/>
                <w:szCs w:val="20"/>
                <w:lang w:val="sr-Cyrl-RS"/>
              </w:rPr>
              <w:t xml:space="preserve"> </w:t>
            </w:r>
            <w:r w:rsidRPr="004763A1">
              <w:rPr>
                <w:sz w:val="20"/>
                <w:szCs w:val="20"/>
                <w:lang w:val="ru-RU"/>
              </w:rPr>
              <w:t>предузеће</w:t>
            </w:r>
          </w:p>
          <w:p w:rsidR="004763A1" w:rsidRPr="004763A1" w:rsidRDefault="004763A1" w:rsidP="001E25F8">
            <w:pPr>
              <w:rPr>
                <w:sz w:val="20"/>
                <w:szCs w:val="20"/>
                <w:lang w:val="ru-RU"/>
              </w:rPr>
            </w:pPr>
            <w:r w:rsidRPr="004763A1">
              <w:rPr>
                <w:sz w:val="20"/>
                <w:szCs w:val="20"/>
                <w:lang w:val="ru-RU"/>
              </w:rPr>
              <w:t>„Полимље“ д.о.о Пријепоље</w:t>
            </w:r>
          </w:p>
        </w:tc>
        <w:tc>
          <w:tcPr>
            <w:tcW w:w="3662" w:type="dxa"/>
            <w:shd w:val="clear" w:color="auto" w:fill="FFFFFF"/>
            <w:vAlign w:val="bottom"/>
          </w:tcPr>
          <w:p w:rsidR="004763A1" w:rsidRPr="004763A1" w:rsidRDefault="004763A1" w:rsidP="001E25F8">
            <w:pPr>
              <w:rPr>
                <w:sz w:val="20"/>
                <w:szCs w:val="20"/>
                <w:lang w:val="en-US"/>
              </w:rPr>
            </w:pPr>
            <w:r w:rsidRPr="004763A1">
              <w:rPr>
                <w:sz w:val="20"/>
                <w:szCs w:val="20"/>
                <w:lang w:val="en-US"/>
              </w:rPr>
              <w:t>Жене на</w:t>
            </w:r>
            <w:r w:rsidRPr="004763A1">
              <w:rPr>
                <w:sz w:val="20"/>
                <w:szCs w:val="20"/>
                <w:lang w:val="sr-Cyrl-RS"/>
              </w:rPr>
              <w:t xml:space="preserve"> </w:t>
            </w:r>
            <w:r w:rsidRPr="004763A1">
              <w:rPr>
                <w:sz w:val="20"/>
                <w:szCs w:val="20"/>
                <w:lang w:val="en-US"/>
              </w:rPr>
              <w:t>–</w:t>
            </w:r>
            <w:r w:rsidRPr="004763A1">
              <w:rPr>
                <w:sz w:val="20"/>
                <w:szCs w:val="20"/>
                <w:lang w:val="sr-Cyrl-RS"/>
              </w:rPr>
              <w:t xml:space="preserve"> </w:t>
            </w:r>
            <w:r w:rsidRPr="004763A1">
              <w:rPr>
                <w:sz w:val="20"/>
                <w:szCs w:val="20"/>
                <w:lang w:val="en-US"/>
              </w:rPr>
              <w:t>чекању!</w:t>
            </w:r>
          </w:p>
          <w:p w:rsidR="004763A1" w:rsidRPr="004763A1" w:rsidRDefault="004763A1" w:rsidP="001E25F8">
            <w:pPr>
              <w:rPr>
                <w:sz w:val="20"/>
                <w:szCs w:val="20"/>
                <w:lang w:val="sr-Cyrl-RS"/>
              </w:rPr>
            </w:pP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color w:val="000000"/>
                <w:sz w:val="20"/>
                <w:szCs w:val="20"/>
                <w:lang w:val="sr-Cyrl-RS"/>
              </w:rPr>
              <w:t>400.000</w:t>
            </w:r>
            <w:r w:rsidR="00A1308C">
              <w:rPr>
                <w:color w:val="000000"/>
                <w:sz w:val="20"/>
                <w:szCs w:val="20"/>
                <w:lang w:val="sr-Cyrl-RS"/>
              </w:rPr>
              <w:t>,00</w:t>
            </w:r>
          </w:p>
        </w:tc>
      </w:tr>
      <w:tr w:rsidR="004763A1" w:rsidRPr="004763A1" w:rsidTr="001E25F8">
        <w:trPr>
          <w:trHeight w:val="674"/>
        </w:trPr>
        <w:tc>
          <w:tcPr>
            <w:tcW w:w="1838" w:type="dxa"/>
            <w:shd w:val="clear" w:color="auto" w:fill="FFFFFF"/>
            <w:vAlign w:val="bottom"/>
          </w:tcPr>
          <w:p w:rsidR="004763A1" w:rsidRPr="004763A1" w:rsidRDefault="004763A1" w:rsidP="001E25F8">
            <w:pPr>
              <w:rPr>
                <w:sz w:val="20"/>
                <w:szCs w:val="20"/>
                <w:lang w:val="en-US"/>
              </w:rPr>
            </w:pPr>
            <w:r w:rsidRPr="004763A1">
              <w:rPr>
                <w:sz w:val="20"/>
                <w:szCs w:val="20"/>
                <w:lang w:val="en-US"/>
              </w:rPr>
              <w:t>Чачак</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„Агенци</w:t>
            </w:r>
          </w:p>
          <w:p w:rsidR="004763A1" w:rsidRPr="004763A1" w:rsidRDefault="004763A1" w:rsidP="001E25F8">
            <w:pPr>
              <w:rPr>
                <w:sz w:val="20"/>
                <w:szCs w:val="20"/>
                <w:lang w:val="ru-RU"/>
              </w:rPr>
            </w:pPr>
            <w:r w:rsidRPr="004763A1">
              <w:rPr>
                <w:sz w:val="20"/>
                <w:szCs w:val="20"/>
                <w:lang w:val="ru-RU"/>
              </w:rPr>
              <w:t>ја Биро Конто“ Верица</w:t>
            </w:r>
          </w:p>
          <w:p w:rsidR="004763A1" w:rsidRPr="004763A1" w:rsidRDefault="004763A1" w:rsidP="001E25F8">
            <w:pPr>
              <w:rPr>
                <w:sz w:val="20"/>
                <w:szCs w:val="20"/>
                <w:lang w:val="sr-Cyrl-RS"/>
              </w:rPr>
            </w:pPr>
            <w:r w:rsidRPr="004763A1">
              <w:rPr>
                <w:sz w:val="20"/>
                <w:szCs w:val="20"/>
                <w:lang w:val="ru-RU"/>
              </w:rPr>
              <w:t>Брковић ПР</w:t>
            </w:r>
          </w:p>
        </w:tc>
        <w:tc>
          <w:tcPr>
            <w:tcW w:w="3662" w:type="dxa"/>
            <w:shd w:val="clear" w:color="auto" w:fill="FFFFFF"/>
            <w:vAlign w:val="bottom"/>
          </w:tcPr>
          <w:p w:rsidR="004763A1" w:rsidRPr="004763A1" w:rsidRDefault="004763A1" w:rsidP="001E25F8">
            <w:pPr>
              <w:rPr>
                <w:sz w:val="20"/>
                <w:szCs w:val="20"/>
                <w:lang w:val="ru-RU"/>
              </w:rPr>
            </w:pPr>
            <w:r w:rsidRPr="004763A1">
              <w:rPr>
                <w:sz w:val="20"/>
                <w:szCs w:val="20"/>
                <w:lang w:val="ru-RU"/>
              </w:rPr>
              <w:t>Положај и улога</w:t>
            </w:r>
          </w:p>
          <w:p w:rsidR="004763A1" w:rsidRPr="004763A1" w:rsidRDefault="004763A1" w:rsidP="001E25F8">
            <w:pPr>
              <w:rPr>
                <w:sz w:val="20"/>
                <w:szCs w:val="20"/>
                <w:lang w:val="ru-RU"/>
              </w:rPr>
            </w:pPr>
            <w:r w:rsidRPr="004763A1">
              <w:rPr>
                <w:sz w:val="20"/>
                <w:szCs w:val="20"/>
                <w:lang w:val="ru-RU"/>
              </w:rPr>
              <w:t>жене у руралној</w:t>
            </w:r>
          </w:p>
          <w:p w:rsidR="004763A1" w:rsidRPr="004763A1" w:rsidRDefault="004763A1" w:rsidP="001E25F8">
            <w:pPr>
              <w:rPr>
                <w:sz w:val="20"/>
                <w:szCs w:val="20"/>
                <w:lang w:val="sr-Cyrl-RS"/>
              </w:rPr>
            </w:pPr>
            <w:r w:rsidRPr="004763A1">
              <w:rPr>
                <w:sz w:val="20"/>
                <w:szCs w:val="20"/>
                <w:lang w:val="en-US"/>
              </w:rPr>
              <w:t>средини западне Србије</w:t>
            </w: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color w:val="000000"/>
                <w:sz w:val="20"/>
                <w:szCs w:val="20"/>
                <w:lang w:val="sr-Cyrl-RS"/>
              </w:rPr>
              <w:t>500.000</w:t>
            </w:r>
            <w:r w:rsidR="00A1308C">
              <w:rPr>
                <w:color w:val="000000"/>
                <w:sz w:val="20"/>
                <w:szCs w:val="20"/>
                <w:lang w:val="sr-Cyrl-RS"/>
              </w:rPr>
              <w:t>,00</w:t>
            </w:r>
          </w:p>
        </w:tc>
      </w:tr>
      <w:tr w:rsidR="004763A1" w:rsidRPr="004763A1" w:rsidTr="001E25F8">
        <w:trPr>
          <w:trHeight w:val="422"/>
        </w:trPr>
        <w:tc>
          <w:tcPr>
            <w:tcW w:w="1838" w:type="dxa"/>
            <w:shd w:val="clear" w:color="auto" w:fill="FFFFFF"/>
            <w:vAlign w:val="bottom"/>
          </w:tcPr>
          <w:p w:rsidR="004763A1" w:rsidRPr="004763A1" w:rsidRDefault="004763A1" w:rsidP="001E25F8">
            <w:pPr>
              <w:rPr>
                <w:sz w:val="20"/>
                <w:szCs w:val="20"/>
                <w:lang w:val="sr-Cyrl-RS"/>
              </w:rPr>
            </w:pPr>
            <w:r w:rsidRPr="004763A1">
              <w:rPr>
                <w:sz w:val="20"/>
                <w:szCs w:val="20"/>
                <w:lang w:val="sr-Cyrl-RS"/>
              </w:rPr>
              <w:t>Београд</w:t>
            </w:r>
          </w:p>
        </w:tc>
        <w:tc>
          <w:tcPr>
            <w:tcW w:w="3119" w:type="dxa"/>
            <w:shd w:val="clear" w:color="auto" w:fill="FFFFFF"/>
            <w:vAlign w:val="bottom"/>
          </w:tcPr>
          <w:p w:rsidR="004763A1" w:rsidRPr="004763A1" w:rsidRDefault="004763A1" w:rsidP="001E25F8">
            <w:pPr>
              <w:rPr>
                <w:sz w:val="20"/>
                <w:szCs w:val="20"/>
                <w:lang w:val="ru-RU"/>
              </w:rPr>
            </w:pPr>
            <w:r w:rsidRPr="004763A1">
              <w:rPr>
                <w:sz w:val="20"/>
                <w:szCs w:val="20"/>
                <w:lang w:val="ru-RU"/>
              </w:rPr>
              <w:t>Радио Новости д.о.о.</w:t>
            </w:r>
          </w:p>
        </w:tc>
        <w:tc>
          <w:tcPr>
            <w:tcW w:w="3662" w:type="dxa"/>
            <w:shd w:val="clear" w:color="auto" w:fill="FFFFFF"/>
            <w:vAlign w:val="bottom"/>
          </w:tcPr>
          <w:p w:rsidR="004763A1" w:rsidRPr="004763A1" w:rsidRDefault="004763A1" w:rsidP="001E25F8">
            <w:pPr>
              <w:rPr>
                <w:sz w:val="20"/>
                <w:szCs w:val="20"/>
                <w:lang w:val="en-US"/>
              </w:rPr>
            </w:pPr>
            <w:r w:rsidRPr="004763A1">
              <w:rPr>
                <w:sz w:val="20"/>
                <w:szCs w:val="20"/>
                <w:lang w:val="en-US"/>
              </w:rPr>
              <w:t>Равноправно</w:t>
            </w:r>
            <w:r w:rsidRPr="004763A1">
              <w:rPr>
                <w:sz w:val="20"/>
                <w:szCs w:val="20"/>
                <w:lang w:val="sr-Cyrl-RS"/>
              </w:rPr>
              <w:t xml:space="preserve"> </w:t>
            </w:r>
            <w:r w:rsidRPr="004763A1">
              <w:rPr>
                <w:sz w:val="20"/>
                <w:szCs w:val="20"/>
                <w:lang w:val="en-US"/>
              </w:rPr>
              <w:t>-</w:t>
            </w:r>
            <w:r w:rsidRPr="004763A1">
              <w:rPr>
                <w:sz w:val="20"/>
                <w:szCs w:val="20"/>
                <w:lang w:val="sr-Cyrl-RS"/>
              </w:rPr>
              <w:t xml:space="preserve"> </w:t>
            </w:r>
            <w:r w:rsidRPr="004763A1">
              <w:rPr>
                <w:sz w:val="20"/>
                <w:szCs w:val="20"/>
                <w:lang w:val="en-US"/>
              </w:rPr>
              <w:t>стоп родној</w:t>
            </w:r>
          </w:p>
          <w:p w:rsidR="004763A1" w:rsidRPr="004763A1" w:rsidRDefault="004763A1" w:rsidP="001E25F8">
            <w:pPr>
              <w:rPr>
                <w:sz w:val="20"/>
                <w:szCs w:val="20"/>
                <w:lang w:val="sr-Cyrl-RS"/>
              </w:rPr>
            </w:pPr>
            <w:r w:rsidRPr="004763A1">
              <w:rPr>
                <w:sz w:val="20"/>
                <w:szCs w:val="20"/>
                <w:lang w:val="en-US"/>
              </w:rPr>
              <w:t>дискриминацији</w:t>
            </w:r>
          </w:p>
        </w:tc>
        <w:tc>
          <w:tcPr>
            <w:tcW w:w="1441" w:type="dxa"/>
            <w:shd w:val="clear" w:color="auto" w:fill="FFFFFF"/>
            <w:vAlign w:val="bottom"/>
          </w:tcPr>
          <w:p w:rsidR="004763A1" w:rsidRPr="004763A1" w:rsidRDefault="004763A1" w:rsidP="001E25F8">
            <w:pPr>
              <w:rPr>
                <w:color w:val="000000"/>
                <w:sz w:val="20"/>
                <w:szCs w:val="20"/>
                <w:lang w:val="sr-Cyrl-RS"/>
              </w:rPr>
            </w:pPr>
            <w:r w:rsidRPr="004763A1">
              <w:rPr>
                <w:color w:val="000000"/>
                <w:sz w:val="20"/>
                <w:szCs w:val="20"/>
                <w:lang w:val="sr-Cyrl-RS"/>
              </w:rPr>
              <w:t>600.000</w:t>
            </w:r>
            <w:r w:rsidR="00A1308C">
              <w:rPr>
                <w:color w:val="000000"/>
                <w:sz w:val="20"/>
                <w:szCs w:val="20"/>
                <w:lang w:val="sr-Cyrl-RS"/>
              </w:rPr>
              <w:t>,00</w:t>
            </w:r>
          </w:p>
        </w:tc>
      </w:tr>
    </w:tbl>
    <w:p w:rsidR="004763A1" w:rsidRPr="004763A1" w:rsidRDefault="004763A1" w:rsidP="004763A1">
      <w:pPr>
        <w:spacing w:line="276" w:lineRule="auto"/>
        <w:jc w:val="both"/>
        <w:rPr>
          <w:rFonts w:ascii="Times" w:hAnsi="Times" w:cs="Times"/>
          <w:spacing w:val="-4"/>
          <w:lang w:val="sr-Cyrl-RS"/>
        </w:rPr>
      </w:pPr>
    </w:p>
    <w:p w:rsidR="007747AB" w:rsidRDefault="007747AB" w:rsidP="007747AB">
      <w:pPr>
        <w:pStyle w:val="BodyText2"/>
        <w:spacing w:before="60"/>
        <w:ind w:firstLine="720"/>
      </w:pPr>
      <w:r w:rsidRPr="004763A1">
        <w:t xml:space="preserve">Поред наведеног, Министарство расписује и конкурсе из области информисања на језицима националних мањина и </w:t>
      </w:r>
      <w:r>
        <w:rPr>
          <w:lang w:val="sr-Cyrl-RS"/>
        </w:rPr>
        <w:t xml:space="preserve"> у вези </w:t>
      </w:r>
      <w:r w:rsidRPr="004763A1">
        <w:t xml:space="preserve">особа са инвалидитетом, којима се, између осталог, охрабрује производња медијских садржаја који доприносе афирмацији родне равноправности. На овај начин, </w:t>
      </w:r>
      <w:r w:rsidRPr="004763A1">
        <w:lastRenderedPageBreak/>
        <w:t>Министарство доприноси сузбијању тзв. двоструке дискриминације жена. Један од важних циљева приликом избора пројеката на поменутим конкурсима је да они буду приступачни што ширем кругу корисника, како би  подизање свести о неопходности промене улоге жене у нашем друштву допрло до средина у којима је дискрим</w:t>
      </w:r>
      <w:r>
        <w:t>инација најзаступљенија.</w:t>
      </w:r>
    </w:p>
    <w:p w:rsidR="001E25F8" w:rsidRDefault="001E25F8" w:rsidP="00540565">
      <w:pPr>
        <w:pStyle w:val="NormalWeb"/>
        <w:shd w:val="clear" w:color="auto" w:fill="FFFFFF"/>
        <w:spacing w:before="60" w:beforeAutospacing="0" w:after="0" w:afterAutospacing="0"/>
        <w:ind w:firstLine="720"/>
        <w:jc w:val="both"/>
        <w:rPr>
          <w:lang w:val="sr-Cyrl-RS"/>
        </w:rPr>
      </w:pPr>
      <w:r>
        <w:rPr>
          <w:lang w:val="sr-Cyrl-RS"/>
        </w:rPr>
        <w:t>У извештају</w:t>
      </w:r>
      <w:r w:rsidRPr="00AB13D0">
        <w:rPr>
          <w:lang w:val="sr-Cyrl-RS"/>
        </w:rPr>
        <w:t xml:space="preserve"> који је достављен од стране </w:t>
      </w:r>
      <w:r w:rsidRPr="001E25F8">
        <w:rPr>
          <w:lang w:val="sr-Cyrl-RS"/>
        </w:rPr>
        <w:t>Министарства културе и информисања</w:t>
      </w:r>
      <w:r>
        <w:rPr>
          <w:lang w:val="sr-Cyrl-RS"/>
        </w:rPr>
        <w:t xml:space="preserve"> наведено је да ово министарство</w:t>
      </w:r>
      <w:r w:rsidR="008D1A9C">
        <w:rPr>
          <w:lang w:val="sr-Cyrl-RS"/>
        </w:rPr>
        <w:t xml:space="preserve">, у смислу примене члана 41. </w:t>
      </w:r>
      <w:r w:rsidR="008D1A9C" w:rsidRPr="008D1A9C">
        <w:rPr>
          <w:i/>
          <w:lang w:val="sr-Cyrl-RS"/>
        </w:rPr>
        <w:t>Закона о равноправности полова</w:t>
      </w:r>
      <w:r>
        <w:rPr>
          <w:lang w:val="sr-Cyrl-RS"/>
        </w:rPr>
        <w:t xml:space="preserve"> </w:t>
      </w:r>
      <w:r w:rsidRPr="00AB13D0">
        <w:rPr>
          <w:lang w:val="sr-Cyrl-RS"/>
        </w:rPr>
        <w:t xml:space="preserve">није овлашћено да контролише програмске садржаје медија и </w:t>
      </w:r>
      <w:r w:rsidR="008D1A9C">
        <w:rPr>
          <w:lang w:val="sr-Cyrl-RS"/>
        </w:rPr>
        <w:t>да</w:t>
      </w:r>
      <w:r w:rsidRPr="00AB13D0">
        <w:rPr>
          <w:lang w:val="sr-Cyrl-RS"/>
        </w:rPr>
        <w:t xml:space="preserve"> не располаже пода</w:t>
      </w:r>
      <w:r>
        <w:rPr>
          <w:lang w:val="sr-Cyrl-RS"/>
        </w:rPr>
        <w:t>цима од значаја за оцену примене</w:t>
      </w:r>
      <w:r w:rsidRPr="00AB13D0">
        <w:rPr>
          <w:lang w:val="sr-Cyrl-RS"/>
        </w:rPr>
        <w:t xml:space="preserve"> </w:t>
      </w:r>
      <w:r w:rsidRPr="008D1A9C">
        <w:rPr>
          <w:i/>
          <w:lang w:val="sr-Cyrl-RS"/>
        </w:rPr>
        <w:t>Закона о родној равноправности</w:t>
      </w:r>
      <w:r w:rsidR="008D1A9C">
        <w:rPr>
          <w:lang w:val="sr-Cyrl-RS"/>
        </w:rPr>
        <w:t xml:space="preserve"> у вези са </w:t>
      </w:r>
      <w:r>
        <w:rPr>
          <w:lang w:val="sr-Cyrl-RS"/>
        </w:rPr>
        <w:t>програмским садржајима медија</w:t>
      </w:r>
      <w:r w:rsidRPr="00AB13D0">
        <w:rPr>
          <w:lang w:val="sr-Cyrl-RS"/>
        </w:rPr>
        <w:t xml:space="preserve">. </w:t>
      </w:r>
    </w:p>
    <w:p w:rsidR="00DE027C" w:rsidRPr="007F1382" w:rsidRDefault="009C40FE" w:rsidP="001E25F8">
      <w:pPr>
        <w:pStyle w:val="NormalWeb"/>
        <w:shd w:val="clear" w:color="auto" w:fill="FFFFFF"/>
        <w:spacing w:before="60" w:beforeAutospacing="0" w:after="0" w:afterAutospacing="0"/>
        <w:ind w:firstLine="720"/>
        <w:jc w:val="both"/>
        <w:rPr>
          <w:i/>
          <w:lang w:val="sr-Cyrl-RS"/>
        </w:rPr>
      </w:pPr>
      <w:r w:rsidRPr="007F1382">
        <w:rPr>
          <w:lang w:val="sr-Cyrl-RS"/>
        </w:rPr>
        <w:t xml:space="preserve">Имајући у виду да женске организације и грађани и грађанке у Републици Србији посебно истичу значај електронских медија у савременом друштву и њихову одговорност за подизање свести грађана и грађанки у српском друштву у области антидискриминације и родне равноправности, министарство надлежно </w:t>
      </w:r>
      <w:r w:rsidR="00B677F3" w:rsidRPr="007F1382">
        <w:rPr>
          <w:lang w:val="sr-Cyrl-RS"/>
        </w:rPr>
        <w:t xml:space="preserve">за равноправност полова </w:t>
      </w:r>
      <w:r w:rsidRPr="007F1382">
        <w:rPr>
          <w:lang w:val="sr-Cyrl-RS"/>
        </w:rPr>
        <w:t>истиче да ј</w:t>
      </w:r>
      <w:r w:rsidR="00B677F3" w:rsidRPr="007F1382">
        <w:rPr>
          <w:lang w:val="sr-Cyrl-RS"/>
        </w:rPr>
        <w:t xml:space="preserve">е </w:t>
      </w:r>
      <w:r w:rsidR="00540565" w:rsidRPr="007F1382">
        <w:rPr>
          <w:lang w:val="sr-Cyrl-RS"/>
        </w:rPr>
        <w:t>Р</w:t>
      </w:r>
      <w:r w:rsidR="00540565" w:rsidRPr="007F1382">
        <w:rPr>
          <w:lang w:val="ru-RU"/>
        </w:rPr>
        <w:t>егулаторно тело за електронске медије</w:t>
      </w:r>
      <w:r w:rsidR="008D1A9C" w:rsidRPr="007F1382">
        <w:rPr>
          <w:lang w:val="ru-RU"/>
        </w:rPr>
        <w:t>, као</w:t>
      </w:r>
      <w:r w:rsidR="00540565" w:rsidRPr="007F1382">
        <w:rPr>
          <w:lang w:val="ru-RU"/>
        </w:rPr>
        <w:t xml:space="preserve"> самостална независна регулаторна организација</w:t>
      </w:r>
      <w:r w:rsidR="008D1A9C" w:rsidRPr="007F1382">
        <w:rPr>
          <w:lang w:val="ru-RU"/>
        </w:rPr>
        <w:t xml:space="preserve"> са својством правног лица,</w:t>
      </w:r>
      <w:r w:rsidR="00540565" w:rsidRPr="007F1382">
        <w:rPr>
          <w:lang w:val="ru-RU"/>
        </w:rPr>
        <w:t xml:space="preserve"> </w:t>
      </w:r>
      <w:r w:rsidR="008D1A9C" w:rsidRPr="007F1382">
        <w:rPr>
          <w:lang w:val="ru-RU"/>
        </w:rPr>
        <w:t xml:space="preserve">надлежна да </w:t>
      </w:r>
      <w:r w:rsidR="00540565" w:rsidRPr="007F1382">
        <w:rPr>
          <w:lang w:val="ru-RU"/>
        </w:rPr>
        <w:t xml:space="preserve">врши јавна овлашћења у циљу: делотворног спровођења утврђене политике у области пружања медијских услуга у Републици Србији; унапређивања квалитета и разноврсности услуга електронских медија; доприноса очувању, заштити и развоју слободе мишљења и изражавања; у циљу заштите интереса јавности у области електронских медија и заштите корисника услуга електронских медија, у складу са одредбама </w:t>
      </w:r>
      <w:r w:rsidR="00540565" w:rsidRPr="007F1382">
        <w:rPr>
          <w:i/>
          <w:lang w:val="ru-RU"/>
        </w:rPr>
        <w:t>Закона о електронским медијима</w:t>
      </w:r>
      <w:r w:rsidR="00540565" w:rsidRPr="007F1382">
        <w:rPr>
          <w:lang w:val="ru-RU"/>
        </w:rPr>
        <w:t xml:space="preserve">, на начин примерен демократском друштву. Такође, родном </w:t>
      </w:r>
      <w:r w:rsidRPr="007F1382">
        <w:rPr>
          <w:lang w:val="sr-Cyrl-RS"/>
        </w:rPr>
        <w:t>анализом састава Савета</w:t>
      </w:r>
      <w:r w:rsidR="00B677F3" w:rsidRPr="007F1382">
        <w:rPr>
          <w:lang w:val="sr-Cyrl-RS"/>
        </w:rPr>
        <w:t xml:space="preserve"> РЕМ – Ре</w:t>
      </w:r>
      <w:r w:rsidRPr="007F1382">
        <w:rPr>
          <w:lang w:val="sr-Cyrl-RS"/>
        </w:rPr>
        <w:t>гулаторног</w:t>
      </w:r>
      <w:r w:rsidR="00B677F3" w:rsidRPr="007F1382">
        <w:rPr>
          <w:lang w:val="sr-Cyrl-RS"/>
        </w:rPr>
        <w:t xml:space="preserve"> тел</w:t>
      </w:r>
      <w:r w:rsidRPr="007F1382">
        <w:rPr>
          <w:lang w:val="sr-Cyrl-RS"/>
        </w:rPr>
        <w:t>а</w:t>
      </w:r>
      <w:r w:rsidR="00B677F3" w:rsidRPr="007F1382">
        <w:rPr>
          <w:lang w:val="sr-Cyrl-RS"/>
        </w:rPr>
        <w:t xml:space="preserve"> електронских</w:t>
      </w:r>
      <w:r w:rsidR="000A285E" w:rsidRPr="007F1382">
        <w:rPr>
          <w:lang w:val="sr-Cyrl-RS"/>
        </w:rPr>
        <w:t xml:space="preserve"> медија, </w:t>
      </w:r>
      <w:r w:rsidRPr="007F1382">
        <w:rPr>
          <w:lang w:val="sr-Cyrl-RS"/>
        </w:rPr>
        <w:t xml:space="preserve">утврђено да је </w:t>
      </w:r>
      <w:r w:rsidR="00540565" w:rsidRPr="007F1382">
        <w:rPr>
          <w:lang w:val="sr-Cyrl-RS"/>
        </w:rPr>
        <w:t xml:space="preserve">бивши </w:t>
      </w:r>
      <w:r w:rsidRPr="007F1382">
        <w:rPr>
          <w:lang w:val="sr-Cyrl-RS"/>
        </w:rPr>
        <w:t xml:space="preserve">председник </w:t>
      </w:r>
      <w:r w:rsidR="00A532AE" w:rsidRPr="007F1382">
        <w:rPr>
          <w:lang w:val="sr-Cyrl-RS"/>
        </w:rPr>
        <w:t>Савета РЕМ</w:t>
      </w:r>
      <w:r w:rsidRPr="007F1382">
        <w:rPr>
          <w:lang w:val="sr-Cyrl-RS"/>
        </w:rPr>
        <w:t xml:space="preserve"> </w:t>
      </w:r>
      <w:r w:rsidR="00540565" w:rsidRPr="007F1382">
        <w:rPr>
          <w:lang w:val="sr-Cyrl-RS"/>
        </w:rPr>
        <w:t xml:space="preserve">био </w:t>
      </w:r>
      <w:r w:rsidRPr="007F1382">
        <w:rPr>
          <w:lang w:val="sr-Cyrl-RS"/>
        </w:rPr>
        <w:t>мушкарац</w:t>
      </w:r>
      <w:r w:rsidR="00540565" w:rsidRPr="007F1382">
        <w:rPr>
          <w:lang w:val="sr-Cyrl-RS"/>
        </w:rPr>
        <w:t>, да нови није иманован, да од предвиђених</w:t>
      </w:r>
      <w:r w:rsidRPr="007F1382">
        <w:rPr>
          <w:lang w:val="sr-Cyrl-RS"/>
        </w:rPr>
        <w:t xml:space="preserve"> 9 чланова тог тела </w:t>
      </w:r>
      <w:r w:rsidR="008D1A9C" w:rsidRPr="007F1382">
        <w:rPr>
          <w:lang w:val="sr-Cyrl-RS"/>
        </w:rPr>
        <w:t xml:space="preserve">је </w:t>
      </w:r>
      <w:r w:rsidRPr="007F1382">
        <w:rPr>
          <w:lang w:val="sr-Cyrl-RS"/>
        </w:rPr>
        <w:t>и</w:t>
      </w:r>
      <w:r w:rsidR="00540565" w:rsidRPr="007F1382">
        <w:rPr>
          <w:lang w:val="sr-Cyrl-RS"/>
        </w:rPr>
        <w:t xml:space="preserve">меновано </w:t>
      </w:r>
      <w:r w:rsidR="008D1A9C" w:rsidRPr="007F1382">
        <w:rPr>
          <w:lang w:val="sr-Cyrl-RS"/>
        </w:rPr>
        <w:t xml:space="preserve">само </w:t>
      </w:r>
      <w:r w:rsidR="00540565" w:rsidRPr="007F1382">
        <w:rPr>
          <w:lang w:val="sr-Cyrl-RS"/>
        </w:rPr>
        <w:t>6 чланова од којих су 4</w:t>
      </w:r>
      <w:r w:rsidRPr="007F1382">
        <w:rPr>
          <w:lang w:val="sr-Cyrl-RS"/>
        </w:rPr>
        <w:t xml:space="preserve"> мушкараца </w:t>
      </w:r>
      <w:r w:rsidR="00540565" w:rsidRPr="007F1382">
        <w:rPr>
          <w:lang w:val="sr-Cyrl-RS"/>
        </w:rPr>
        <w:t>(</w:t>
      </w:r>
      <w:r w:rsidR="00EF7283">
        <w:rPr>
          <w:lang w:val="sr-Cyrl-RS"/>
        </w:rPr>
        <w:t xml:space="preserve">од којих </w:t>
      </w:r>
      <w:r w:rsidR="00540565" w:rsidRPr="007F1382">
        <w:rPr>
          <w:lang w:val="sr-Cyrl-RS"/>
        </w:rPr>
        <w:t>један од њих обавља</w:t>
      </w:r>
      <w:r w:rsidR="004763A1" w:rsidRPr="007F1382">
        <w:rPr>
          <w:lang w:val="sr-Cyrl-RS"/>
        </w:rPr>
        <w:t xml:space="preserve"> и</w:t>
      </w:r>
      <w:r w:rsidR="00540565" w:rsidRPr="007F1382">
        <w:rPr>
          <w:lang w:val="sr-Cyrl-RS"/>
        </w:rPr>
        <w:t xml:space="preserve"> дужност заменика председника Савета РЕМ</w:t>
      </w:r>
      <w:r w:rsidR="00A1308C" w:rsidRPr="007F1382">
        <w:rPr>
          <w:lang w:val="sr-Cyrl-RS"/>
        </w:rPr>
        <w:t>), као</w:t>
      </w:r>
      <w:r w:rsidR="00540565" w:rsidRPr="007F1382">
        <w:rPr>
          <w:lang w:val="sr-Cyrl-RS"/>
        </w:rPr>
        <w:t xml:space="preserve"> </w:t>
      </w:r>
      <w:r w:rsidRPr="007F1382">
        <w:rPr>
          <w:lang w:val="sr-Cyrl-RS"/>
        </w:rPr>
        <w:t>и</w:t>
      </w:r>
      <w:r w:rsidR="00540565" w:rsidRPr="007F1382">
        <w:rPr>
          <w:lang w:val="sr-Cyrl-RS"/>
        </w:rPr>
        <w:t xml:space="preserve"> 2 жене.</w:t>
      </w:r>
      <w:r w:rsidRPr="007F1382">
        <w:rPr>
          <w:lang w:val="sr-Cyrl-RS"/>
        </w:rPr>
        <w:t xml:space="preserve"> </w:t>
      </w:r>
      <w:r w:rsidR="00540565" w:rsidRPr="007F1382">
        <w:rPr>
          <w:lang w:val="sr-Cyrl-RS"/>
        </w:rPr>
        <w:t>Будући да чланове Савета РЕМ-а именује Народна скупштина</w:t>
      </w:r>
      <w:r w:rsidRPr="007F1382">
        <w:rPr>
          <w:lang w:val="sr-Cyrl-RS"/>
        </w:rPr>
        <w:t xml:space="preserve"> </w:t>
      </w:r>
      <w:r w:rsidR="00540565" w:rsidRPr="007F1382">
        <w:rPr>
          <w:lang w:val="sr-Cyrl-RS"/>
        </w:rPr>
        <w:t xml:space="preserve">Републике Србије, ресорно министарство указује на </w:t>
      </w:r>
      <w:r w:rsidR="001E25F8" w:rsidRPr="007F1382">
        <w:rPr>
          <w:lang w:val="sr-Cyrl-RS"/>
        </w:rPr>
        <w:t>могућност ефикасније примене</w:t>
      </w:r>
      <w:r w:rsidR="004763A1" w:rsidRPr="007F1382">
        <w:rPr>
          <w:lang w:val="sr-Cyrl-RS"/>
        </w:rPr>
        <w:t xml:space="preserve"> </w:t>
      </w:r>
      <w:r w:rsidR="004763A1" w:rsidRPr="007F1382">
        <w:rPr>
          <w:i/>
          <w:lang w:val="sr-Cyrl-RS"/>
        </w:rPr>
        <w:t>Закона о равноправности полова</w:t>
      </w:r>
      <w:r w:rsidR="001E25F8" w:rsidRPr="007F1382">
        <w:rPr>
          <w:i/>
          <w:lang w:val="sr-Cyrl-RS"/>
        </w:rPr>
        <w:t xml:space="preserve"> </w:t>
      </w:r>
      <w:r w:rsidR="001E25F8" w:rsidRPr="007F1382">
        <w:rPr>
          <w:lang w:val="sr-Cyrl-RS"/>
        </w:rPr>
        <w:t>у овој области</w:t>
      </w:r>
      <w:r w:rsidR="001E25F8" w:rsidRPr="007F1382">
        <w:rPr>
          <w:i/>
          <w:lang w:val="sr-Cyrl-RS"/>
        </w:rPr>
        <w:t>.</w:t>
      </w:r>
      <w:r w:rsidR="00A532AE" w:rsidRPr="007F1382">
        <w:rPr>
          <w:i/>
          <w:lang w:val="sr-Cyrl-RS"/>
        </w:rPr>
        <w:t xml:space="preserve"> </w:t>
      </w:r>
    </w:p>
    <w:p w:rsidR="00335C8E" w:rsidRPr="007F1382" w:rsidRDefault="00335C8E" w:rsidP="004358A3">
      <w:pPr>
        <w:pStyle w:val="BodyText2"/>
        <w:spacing w:before="60"/>
        <w:ind w:firstLine="720"/>
        <w:rPr>
          <w:lang w:val="sr-Cyrl-RS"/>
        </w:rPr>
      </w:pPr>
    </w:p>
    <w:p w:rsidR="00D153FF" w:rsidRPr="007F1382" w:rsidRDefault="00D7455F" w:rsidP="004358A3">
      <w:pPr>
        <w:pStyle w:val="BodyText2"/>
        <w:numPr>
          <w:ilvl w:val="0"/>
          <w:numId w:val="6"/>
        </w:numPr>
        <w:spacing w:before="60"/>
        <w:rPr>
          <w:b/>
          <w:lang w:val="sr-Latn-RS"/>
        </w:rPr>
      </w:pPr>
      <w:r w:rsidRPr="007F1382">
        <w:rPr>
          <w:b/>
          <w:lang w:val="sr-Cyrl-RS"/>
        </w:rPr>
        <w:t xml:space="preserve">Остваривање равноправности полова у области </w:t>
      </w:r>
      <w:r w:rsidR="00D153FF" w:rsidRPr="007F1382">
        <w:rPr>
          <w:b/>
          <w:lang w:val="sr-Cyrl-RS"/>
        </w:rPr>
        <w:t>спорта</w:t>
      </w:r>
    </w:p>
    <w:p w:rsidR="00EE2BF3" w:rsidRPr="007F1382" w:rsidRDefault="00EE2BF3" w:rsidP="004358A3">
      <w:pPr>
        <w:pStyle w:val="BodyText2"/>
        <w:spacing w:before="60"/>
        <w:ind w:left="720"/>
        <w:rPr>
          <w:b/>
          <w:lang w:val="sr-Latn-RS"/>
        </w:rPr>
      </w:pPr>
    </w:p>
    <w:p w:rsidR="00EE2BF3" w:rsidRPr="007F1382" w:rsidRDefault="00A1308C" w:rsidP="004358A3">
      <w:pPr>
        <w:pStyle w:val="Bodytext21"/>
        <w:shd w:val="clear" w:color="auto" w:fill="auto"/>
        <w:spacing w:before="60" w:after="0" w:line="240" w:lineRule="auto"/>
        <w:ind w:firstLine="720"/>
        <w:jc w:val="both"/>
        <w:rPr>
          <w:sz w:val="24"/>
          <w:szCs w:val="24"/>
          <w:lang w:val="ru-RU"/>
        </w:rPr>
      </w:pPr>
      <w:r w:rsidRPr="007F1382">
        <w:rPr>
          <w:rStyle w:val="Bodytext20"/>
          <w:sz w:val="24"/>
          <w:szCs w:val="24"/>
          <w:lang w:val="sr-Cyrl-RS" w:eastAsia="sr-Cyrl-CS"/>
        </w:rPr>
        <w:t xml:space="preserve">Равноправна заступљеност полова у спорту регулисана је чланом 34. </w:t>
      </w:r>
      <w:r w:rsidRPr="007F1382">
        <w:rPr>
          <w:rStyle w:val="Bodytext20"/>
          <w:i/>
          <w:sz w:val="24"/>
          <w:szCs w:val="24"/>
          <w:lang w:val="sr-Cyrl-RS" w:eastAsia="sr-Cyrl-CS"/>
        </w:rPr>
        <w:t>Закона о равноправности полова</w:t>
      </w:r>
      <w:r w:rsidRPr="007F1382">
        <w:rPr>
          <w:rStyle w:val="Bodytext20"/>
          <w:sz w:val="24"/>
          <w:szCs w:val="24"/>
          <w:lang w:val="sr-Cyrl-RS" w:eastAsia="sr-Cyrl-CS"/>
        </w:rPr>
        <w:t xml:space="preserve">. </w:t>
      </w:r>
      <w:r w:rsidR="00DE027C" w:rsidRPr="007F1382">
        <w:rPr>
          <w:rStyle w:val="Bodytext20"/>
          <w:sz w:val="24"/>
          <w:szCs w:val="24"/>
          <w:lang w:val="ru-RU" w:eastAsia="sr-Cyrl-CS"/>
        </w:rPr>
        <w:t xml:space="preserve">У извештају Министарства омладине и спорта </w:t>
      </w:r>
      <w:r w:rsidRPr="007F1382">
        <w:rPr>
          <w:rStyle w:val="Bodytext20"/>
          <w:sz w:val="24"/>
          <w:szCs w:val="24"/>
          <w:lang w:val="ru-RU" w:eastAsia="sr-Cyrl-CS"/>
        </w:rPr>
        <w:t xml:space="preserve">о спровођењу овог закона, најпре је </w:t>
      </w:r>
      <w:r w:rsidR="00DE027C" w:rsidRPr="007F1382">
        <w:rPr>
          <w:rStyle w:val="Bodytext20"/>
          <w:sz w:val="24"/>
          <w:szCs w:val="24"/>
          <w:lang w:val="ru-RU" w:eastAsia="sr-Cyrl-CS"/>
        </w:rPr>
        <w:t>истакнуто да је ч</w:t>
      </w:r>
      <w:r w:rsidR="00EE2BF3" w:rsidRPr="007F1382">
        <w:rPr>
          <w:rStyle w:val="Bodytext20"/>
          <w:sz w:val="24"/>
          <w:szCs w:val="24"/>
          <w:lang w:val="ru-RU" w:eastAsia="sr-Cyrl-CS"/>
        </w:rPr>
        <w:t xml:space="preserve">ланом 3. </w:t>
      </w:r>
      <w:r w:rsidR="00EE2BF3" w:rsidRPr="007F1382">
        <w:rPr>
          <w:rStyle w:val="Bodytext20"/>
          <w:i/>
          <w:sz w:val="24"/>
          <w:szCs w:val="24"/>
          <w:lang w:val="ru-RU" w:eastAsia="sr-Cyrl-CS"/>
        </w:rPr>
        <w:t xml:space="preserve">Закона </w:t>
      </w:r>
      <w:proofErr w:type="gramStart"/>
      <w:r w:rsidR="00EE2BF3" w:rsidRPr="007F1382">
        <w:rPr>
          <w:rStyle w:val="Bodytext20"/>
          <w:i/>
          <w:sz w:val="24"/>
          <w:szCs w:val="24"/>
          <w:lang w:val="ru-RU" w:eastAsia="sr-Cyrl-CS"/>
        </w:rPr>
        <w:t>о спорту</w:t>
      </w:r>
      <w:proofErr w:type="gramEnd"/>
      <w:r w:rsidR="00EE2BF3" w:rsidRPr="007F1382">
        <w:rPr>
          <w:rStyle w:val="Bodytext20"/>
          <w:sz w:val="24"/>
          <w:szCs w:val="24"/>
          <w:lang w:val="ru-RU" w:eastAsia="sr-Cyrl-CS"/>
        </w:rPr>
        <w:t xml:space="preserve"> („Службени гласник </w:t>
      </w:r>
      <w:r w:rsidR="00EE2BF3" w:rsidRPr="007F1382">
        <w:rPr>
          <w:rStyle w:val="Bodytext20"/>
          <w:sz w:val="24"/>
          <w:szCs w:val="24"/>
        </w:rPr>
        <w:t>PC</w:t>
      </w:r>
      <w:r w:rsidR="00EE2BF3" w:rsidRPr="007F1382">
        <w:rPr>
          <w:rStyle w:val="Bodytext20"/>
          <w:sz w:val="24"/>
          <w:szCs w:val="24"/>
          <w:lang w:val="ru-RU"/>
        </w:rPr>
        <w:t xml:space="preserve">”, </w:t>
      </w:r>
      <w:r w:rsidR="00DE027C" w:rsidRPr="007F1382">
        <w:rPr>
          <w:rStyle w:val="Bodytext20"/>
          <w:sz w:val="24"/>
          <w:szCs w:val="24"/>
          <w:lang w:val="ru-RU" w:eastAsia="sr-Cyrl-CS"/>
        </w:rPr>
        <w:t xml:space="preserve">број 10/16) препознат </w:t>
      </w:r>
      <w:r w:rsidR="00EE2BF3" w:rsidRPr="007F1382">
        <w:rPr>
          <w:rStyle w:val="Bodytext20"/>
          <w:sz w:val="24"/>
          <w:szCs w:val="24"/>
          <w:lang w:val="ru-RU" w:eastAsia="sr-Cyrl-CS"/>
        </w:rPr>
        <w:t xml:space="preserve">значај предузимања активности ради повећања учешћа жена у спортским активностима, омасовљавању женских спортских организација и давању равноправног значаја женама у спорту. </w:t>
      </w:r>
      <w:r w:rsidRPr="007F1382">
        <w:rPr>
          <w:rStyle w:val="Bodytext20"/>
          <w:sz w:val="24"/>
          <w:szCs w:val="24"/>
          <w:lang w:val="ru-RU" w:eastAsia="sr-Cyrl-CS"/>
        </w:rPr>
        <w:t>Такође, ч</w:t>
      </w:r>
      <w:r w:rsidR="00EE2BF3" w:rsidRPr="007F1382">
        <w:rPr>
          <w:rStyle w:val="Bodytext20"/>
          <w:sz w:val="24"/>
          <w:szCs w:val="24"/>
          <w:lang w:val="ru-RU" w:eastAsia="sr-Cyrl-CS"/>
        </w:rPr>
        <w:t xml:space="preserve">ланом 112. став 1. тачка 9) </w:t>
      </w:r>
      <w:r w:rsidR="00EE2BF3" w:rsidRPr="007F1382">
        <w:rPr>
          <w:rStyle w:val="Bodytext20"/>
          <w:i/>
          <w:sz w:val="24"/>
          <w:szCs w:val="24"/>
          <w:lang w:val="ru-RU" w:eastAsia="sr-Cyrl-CS"/>
        </w:rPr>
        <w:t xml:space="preserve">Закона </w:t>
      </w:r>
      <w:proofErr w:type="gramStart"/>
      <w:r w:rsidR="00EE2BF3" w:rsidRPr="007F1382">
        <w:rPr>
          <w:rStyle w:val="Bodytext20"/>
          <w:i/>
          <w:sz w:val="24"/>
          <w:szCs w:val="24"/>
          <w:lang w:val="ru-RU" w:eastAsia="sr-Cyrl-CS"/>
        </w:rPr>
        <w:t>о спорту</w:t>
      </w:r>
      <w:proofErr w:type="gramEnd"/>
      <w:r w:rsidR="00EE2BF3" w:rsidRPr="007F1382">
        <w:rPr>
          <w:rStyle w:val="Bodytext20"/>
          <w:sz w:val="24"/>
          <w:szCs w:val="24"/>
          <w:lang w:val="ru-RU" w:eastAsia="sr-Cyrl-CS"/>
        </w:rPr>
        <w:t>, прописано је да је општи интерес у области спорта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rsidR="00EE2BF3" w:rsidRPr="007F1382" w:rsidRDefault="00EE2BF3" w:rsidP="004358A3">
      <w:pPr>
        <w:pStyle w:val="Bodytext21"/>
        <w:shd w:val="clear" w:color="auto" w:fill="auto"/>
        <w:spacing w:before="60" w:after="0" w:line="240" w:lineRule="auto"/>
        <w:ind w:firstLine="720"/>
        <w:jc w:val="both"/>
        <w:rPr>
          <w:sz w:val="24"/>
          <w:szCs w:val="24"/>
          <w:lang w:val="ru-RU"/>
        </w:rPr>
      </w:pPr>
      <w:r w:rsidRPr="007F1382">
        <w:rPr>
          <w:rStyle w:val="Bodytext20"/>
          <w:i/>
          <w:sz w:val="24"/>
          <w:szCs w:val="24"/>
          <w:lang w:val="ru-RU" w:eastAsia="sr-Cyrl-CS"/>
        </w:rPr>
        <w:t>Акционим планом за спровођење Стратегије развоја спорта у Републици Србији за период од 2014. до 201 8. године</w:t>
      </w:r>
      <w:r w:rsidRPr="007F1382">
        <w:rPr>
          <w:rStyle w:val="Bodytext20"/>
          <w:sz w:val="24"/>
          <w:szCs w:val="24"/>
          <w:lang w:val="ru-RU" w:eastAsia="sr-Cyrl-CS"/>
        </w:rPr>
        <w:t xml:space="preserve"> кроз опште и посебне циљеве је препознат значај:</w:t>
      </w:r>
      <w:r w:rsidR="00DE027C" w:rsidRPr="007F1382">
        <w:rPr>
          <w:rStyle w:val="Bodytext20"/>
          <w:sz w:val="24"/>
          <w:szCs w:val="24"/>
          <w:lang w:val="ru-RU" w:eastAsia="sr-Cyrl-CS"/>
        </w:rPr>
        <w:t xml:space="preserve"> </w:t>
      </w:r>
      <w:r w:rsidRPr="007F1382">
        <w:rPr>
          <w:rStyle w:val="Bodytext20"/>
          <w:sz w:val="24"/>
          <w:szCs w:val="24"/>
          <w:lang w:val="ru-RU" w:eastAsia="sr-Cyrl-CS"/>
        </w:rPr>
        <w:t>повећаног обухвата бављења спортом у свим сегментима становништва, посебно деце, младих, жена, особа са инвалидитетом и старих;</w:t>
      </w:r>
      <w:r w:rsidR="00DE027C" w:rsidRPr="007F1382">
        <w:rPr>
          <w:rStyle w:val="Bodytext20"/>
          <w:sz w:val="24"/>
          <w:szCs w:val="24"/>
          <w:lang w:val="ru-RU" w:eastAsia="sr-Cyrl-CS"/>
        </w:rPr>
        <w:t xml:space="preserve"> </w:t>
      </w:r>
      <w:r w:rsidRPr="007F1382">
        <w:rPr>
          <w:rStyle w:val="Bodytext20"/>
          <w:sz w:val="24"/>
          <w:szCs w:val="24"/>
          <w:lang w:val="ru-RU" w:eastAsia="sr-Cyrl-CS"/>
        </w:rPr>
        <w:t>успостављања конзистентног система управљања и финансирања система спорта у Републици Србији, перманентне едукације, већег укључивање жена, маргинализованих група и волонтера у систем спорта;</w:t>
      </w:r>
      <w:r w:rsidR="00DE027C" w:rsidRPr="007F1382">
        <w:rPr>
          <w:rStyle w:val="Bodytext20"/>
          <w:sz w:val="24"/>
          <w:szCs w:val="24"/>
          <w:lang w:val="ru-RU" w:eastAsia="sr-Cyrl-CS"/>
        </w:rPr>
        <w:t xml:space="preserve"> </w:t>
      </w:r>
      <w:r w:rsidRPr="007F1382">
        <w:rPr>
          <w:rStyle w:val="Bodytext20"/>
          <w:sz w:val="24"/>
          <w:szCs w:val="24"/>
          <w:lang w:val="ru-RU" w:eastAsia="sr-Cyrl-CS"/>
        </w:rPr>
        <w:t>остваривања родне равноправности жена у области спорта у Војсци;</w:t>
      </w:r>
      <w:r w:rsidR="00DE027C" w:rsidRPr="007F1382">
        <w:rPr>
          <w:rStyle w:val="Bodytext20"/>
          <w:sz w:val="24"/>
          <w:szCs w:val="24"/>
          <w:lang w:val="ru-RU" w:eastAsia="sr-Cyrl-CS"/>
        </w:rPr>
        <w:t xml:space="preserve"> </w:t>
      </w:r>
      <w:r w:rsidRPr="007F1382">
        <w:rPr>
          <w:rStyle w:val="Bodytext20"/>
          <w:sz w:val="24"/>
          <w:szCs w:val="24"/>
          <w:lang w:val="ru-RU" w:eastAsia="sr-Cyrl-CS"/>
        </w:rPr>
        <w:t>ојачавања капацитета запослених (жене и мушкарци) у МУП-у, да кроз учешће у спортским активностима допринесу развоју система спорта у Србији.</w:t>
      </w:r>
    </w:p>
    <w:p w:rsidR="00EE2BF3" w:rsidRPr="007F1382" w:rsidRDefault="00EE2BF3" w:rsidP="004358A3">
      <w:pPr>
        <w:pStyle w:val="Bodytext21"/>
        <w:shd w:val="clear" w:color="auto" w:fill="auto"/>
        <w:spacing w:before="60" w:after="0" w:line="240" w:lineRule="auto"/>
        <w:ind w:firstLine="720"/>
        <w:jc w:val="both"/>
        <w:rPr>
          <w:sz w:val="24"/>
          <w:szCs w:val="24"/>
          <w:lang w:val="ru-RU"/>
        </w:rPr>
      </w:pPr>
      <w:r w:rsidRPr="007F1382">
        <w:rPr>
          <w:rStyle w:val="Bodytext20"/>
          <w:sz w:val="24"/>
          <w:szCs w:val="24"/>
          <w:lang w:val="ru-RU" w:eastAsia="sr-Cyrl-CS"/>
        </w:rPr>
        <w:t xml:space="preserve">У вези са </w:t>
      </w:r>
      <w:r w:rsidR="00DE027C" w:rsidRPr="007F1382">
        <w:rPr>
          <w:rStyle w:val="Bodytext20"/>
          <w:sz w:val="24"/>
          <w:szCs w:val="24"/>
          <w:lang w:val="ru-RU" w:eastAsia="sr-Cyrl-CS"/>
        </w:rPr>
        <w:t>за</w:t>
      </w:r>
      <w:r w:rsidR="00B677F3" w:rsidRPr="007F1382">
        <w:rPr>
          <w:rStyle w:val="Bodytext20"/>
          <w:sz w:val="24"/>
          <w:szCs w:val="24"/>
          <w:lang w:val="ru-RU" w:eastAsia="sr-Cyrl-CS"/>
        </w:rPr>
        <w:t>х</w:t>
      </w:r>
      <w:r w:rsidR="00DE027C" w:rsidRPr="007F1382">
        <w:rPr>
          <w:rStyle w:val="Bodytext20"/>
          <w:sz w:val="24"/>
          <w:szCs w:val="24"/>
          <w:lang w:val="ru-RU" w:eastAsia="sr-Cyrl-CS"/>
        </w:rPr>
        <w:t xml:space="preserve">тевом ресорног </w:t>
      </w:r>
      <w:r w:rsidRPr="007F1382">
        <w:rPr>
          <w:rStyle w:val="Bodytext20"/>
          <w:sz w:val="24"/>
          <w:szCs w:val="24"/>
          <w:lang w:val="ru-RU" w:eastAsia="sr-Cyrl-CS"/>
        </w:rPr>
        <w:t xml:space="preserve">Министарства </w:t>
      </w:r>
      <w:r w:rsidR="00B677F3" w:rsidRPr="007F1382">
        <w:rPr>
          <w:rStyle w:val="Bodytext20"/>
          <w:sz w:val="24"/>
          <w:szCs w:val="24"/>
          <w:lang w:val="ru-RU" w:eastAsia="sr-Cyrl-CS"/>
        </w:rPr>
        <w:t xml:space="preserve">од 11. децембра 2018. године ради </w:t>
      </w:r>
      <w:r w:rsidRPr="007F1382">
        <w:rPr>
          <w:rStyle w:val="Bodytext20"/>
          <w:sz w:val="24"/>
          <w:szCs w:val="24"/>
          <w:lang w:val="ru-RU" w:eastAsia="sr-Cyrl-CS"/>
        </w:rPr>
        <w:t xml:space="preserve">извештавања о спровођењу </w:t>
      </w:r>
      <w:r w:rsidRPr="007F1382">
        <w:rPr>
          <w:rStyle w:val="Bodytext20"/>
          <w:i/>
          <w:sz w:val="24"/>
          <w:szCs w:val="24"/>
          <w:lang w:val="ru-RU" w:eastAsia="sr-Cyrl-CS"/>
        </w:rPr>
        <w:t>Закона о равноправности полова</w:t>
      </w:r>
      <w:r w:rsidR="00B677F3" w:rsidRPr="007F1382">
        <w:rPr>
          <w:rStyle w:val="Bodytext20"/>
          <w:sz w:val="24"/>
          <w:szCs w:val="24"/>
          <w:lang w:val="ru-RU" w:eastAsia="sr-Cyrl-CS"/>
        </w:rPr>
        <w:t xml:space="preserve"> у области спорта</w:t>
      </w:r>
      <w:r w:rsidRPr="007F1382">
        <w:rPr>
          <w:rStyle w:val="Bodytext20"/>
          <w:sz w:val="24"/>
          <w:szCs w:val="24"/>
          <w:lang w:val="ru-RU" w:eastAsia="sr-Cyrl-CS"/>
        </w:rPr>
        <w:t xml:space="preserve">, Министарство омладине и спорта </w:t>
      </w:r>
      <w:r w:rsidR="00B677F3" w:rsidRPr="007F1382">
        <w:rPr>
          <w:rStyle w:val="Bodytext20"/>
          <w:sz w:val="24"/>
          <w:szCs w:val="24"/>
          <w:lang w:val="ru-RU" w:eastAsia="sr-Cyrl-CS"/>
        </w:rPr>
        <w:lastRenderedPageBreak/>
        <w:t xml:space="preserve">је </w:t>
      </w:r>
      <w:r w:rsidRPr="007F1382">
        <w:rPr>
          <w:rStyle w:val="Bodytext20"/>
          <w:sz w:val="24"/>
          <w:szCs w:val="24"/>
          <w:lang w:val="ru-RU" w:eastAsia="sr-Cyrl-CS"/>
        </w:rPr>
        <w:t>упутило надлежним националним гранским спортским савезима 22. фебруара 2019. године захтев за достављањем података у вези са заступљеношћу жена</w:t>
      </w:r>
      <w:r w:rsidR="00DE027C" w:rsidRPr="007F1382">
        <w:rPr>
          <w:rStyle w:val="Bodytext20"/>
          <w:sz w:val="24"/>
          <w:szCs w:val="24"/>
          <w:lang w:val="ru-RU" w:eastAsia="sr-Cyrl-CS"/>
        </w:rPr>
        <w:t xml:space="preserve"> у</w:t>
      </w:r>
      <w:r w:rsidRPr="007F1382">
        <w:rPr>
          <w:rStyle w:val="Bodytext20"/>
          <w:sz w:val="24"/>
          <w:szCs w:val="24"/>
          <w:lang w:val="ru-RU" w:eastAsia="sr-Cyrl-CS"/>
        </w:rPr>
        <w:t xml:space="preserve"> спортским организацијама и удружењима у 2018. години. У</w:t>
      </w:r>
      <w:r w:rsidR="007F1382">
        <w:rPr>
          <w:rStyle w:val="Bodytext20"/>
          <w:sz w:val="24"/>
          <w:szCs w:val="24"/>
          <w:lang w:val="ru-RU" w:eastAsia="sr-Cyrl-CS"/>
        </w:rPr>
        <w:t xml:space="preserve"> вези са наведеним захтевом, у</w:t>
      </w:r>
      <w:r w:rsidRPr="007F1382">
        <w:rPr>
          <w:rStyle w:val="Bodytext20"/>
          <w:sz w:val="24"/>
          <w:szCs w:val="24"/>
          <w:lang w:val="ru-RU" w:eastAsia="sr-Cyrl-CS"/>
        </w:rPr>
        <w:t xml:space="preserve">купно 59 националних спортских савеза </w:t>
      </w:r>
      <w:r w:rsidR="00DE027C" w:rsidRPr="007F1382">
        <w:rPr>
          <w:rStyle w:val="Bodytext20"/>
          <w:sz w:val="24"/>
          <w:szCs w:val="24"/>
          <w:lang w:val="ru-RU" w:eastAsia="sr-Cyrl-CS"/>
        </w:rPr>
        <w:t xml:space="preserve">је </w:t>
      </w:r>
      <w:r w:rsidR="007F1382" w:rsidRPr="007F1382">
        <w:rPr>
          <w:rStyle w:val="Bodytext20"/>
          <w:sz w:val="24"/>
          <w:szCs w:val="24"/>
          <w:lang w:val="ru-RU" w:eastAsia="sr-Cyrl-CS"/>
        </w:rPr>
        <w:t xml:space="preserve">доставило </w:t>
      </w:r>
      <w:r w:rsidRPr="007F1382">
        <w:rPr>
          <w:rStyle w:val="Bodytext20"/>
          <w:sz w:val="24"/>
          <w:szCs w:val="24"/>
          <w:lang w:val="ru-RU" w:eastAsia="sr-Cyrl-CS"/>
        </w:rPr>
        <w:t xml:space="preserve">одговоре у задатом року и исправној форми, а након разврставања и </w:t>
      </w:r>
      <w:r w:rsidR="002669A9">
        <w:rPr>
          <w:rStyle w:val="Bodytext20"/>
          <w:sz w:val="24"/>
          <w:szCs w:val="24"/>
          <w:lang w:val="ru-RU" w:eastAsia="sr-Cyrl-CS"/>
        </w:rPr>
        <w:t>анализе,</w:t>
      </w:r>
      <w:r w:rsidRPr="007F1382">
        <w:rPr>
          <w:rStyle w:val="Bodytext20"/>
          <w:sz w:val="24"/>
          <w:szCs w:val="24"/>
          <w:lang w:val="ru-RU" w:eastAsia="sr-Cyrl-CS"/>
        </w:rPr>
        <w:t xml:space="preserve"> добијени су следећи подаци:</w:t>
      </w:r>
      <w:r w:rsidR="00DE027C" w:rsidRPr="007F1382">
        <w:rPr>
          <w:rStyle w:val="Bodytext20"/>
          <w:sz w:val="24"/>
          <w:szCs w:val="24"/>
          <w:lang w:val="ru-RU" w:eastAsia="sr-Cyrl-CS"/>
        </w:rPr>
        <w:t xml:space="preserve"> </w:t>
      </w:r>
      <w:r w:rsidRPr="007F1382">
        <w:rPr>
          <w:rStyle w:val="Bodytext20"/>
          <w:sz w:val="24"/>
          <w:szCs w:val="24"/>
          <w:lang w:val="ru-RU" w:eastAsia="sr-Cyrl-CS"/>
        </w:rPr>
        <w:t>од укупно 336.844 регистрованих спортиста у 2018. години, 89.924 су жене, што је у процентуалном износу 26,70%;</w:t>
      </w:r>
      <w:r w:rsidR="00DE027C" w:rsidRPr="007F1382">
        <w:rPr>
          <w:rStyle w:val="Bodytext20"/>
          <w:sz w:val="24"/>
          <w:szCs w:val="24"/>
          <w:lang w:val="ru-RU" w:eastAsia="sr-Cyrl-CS"/>
        </w:rPr>
        <w:t xml:space="preserve"> </w:t>
      </w:r>
      <w:r w:rsidRPr="007F1382">
        <w:rPr>
          <w:rStyle w:val="Bodytext20"/>
          <w:sz w:val="24"/>
          <w:szCs w:val="24"/>
          <w:lang w:val="ru-RU" w:eastAsia="sr-Cyrl-CS"/>
        </w:rPr>
        <w:t>од укупно 5.114 спортских стручњака, 862 су жене, што је у процентуалном износу 16,86%;</w:t>
      </w:r>
      <w:r w:rsidR="00DE027C" w:rsidRPr="007F1382">
        <w:rPr>
          <w:rStyle w:val="Bodytext20"/>
          <w:sz w:val="24"/>
          <w:szCs w:val="24"/>
          <w:lang w:val="ru-RU" w:eastAsia="sr-Cyrl-CS"/>
        </w:rPr>
        <w:t xml:space="preserve"> </w:t>
      </w:r>
      <w:r w:rsidRPr="007F1382">
        <w:rPr>
          <w:rStyle w:val="Bodytext20"/>
          <w:sz w:val="24"/>
          <w:szCs w:val="24"/>
          <w:lang w:val="ru-RU" w:eastAsia="sr-Cyrl-CS"/>
        </w:rPr>
        <w:t>од укупно 1.498 чланова управних и надзорних одбора, 169 су жене, што је у процентуалном износу 11,28%.</w:t>
      </w:r>
    </w:p>
    <w:p w:rsidR="00EE2BF3" w:rsidRPr="007F1382" w:rsidRDefault="00EE2BF3" w:rsidP="004358A3">
      <w:pPr>
        <w:pStyle w:val="Bodytext21"/>
        <w:shd w:val="clear" w:color="auto" w:fill="auto"/>
        <w:spacing w:before="60" w:after="0" w:line="240" w:lineRule="auto"/>
        <w:ind w:firstLine="720"/>
        <w:jc w:val="both"/>
        <w:rPr>
          <w:sz w:val="24"/>
          <w:szCs w:val="24"/>
          <w:lang w:val="ru-RU"/>
        </w:rPr>
      </w:pPr>
      <w:r w:rsidRPr="007F1382">
        <w:rPr>
          <w:rStyle w:val="Bodytext20"/>
          <w:sz w:val="24"/>
          <w:szCs w:val="24"/>
          <w:lang w:val="ru-RU" w:eastAsia="sr-Cyrl-CS"/>
        </w:rPr>
        <w:t xml:space="preserve">На основу члана 123. </w:t>
      </w:r>
      <w:r w:rsidRPr="007F1382">
        <w:rPr>
          <w:rStyle w:val="Bodytext20"/>
          <w:i/>
          <w:sz w:val="24"/>
          <w:szCs w:val="24"/>
          <w:lang w:val="ru-RU" w:eastAsia="sr-Cyrl-CS"/>
        </w:rPr>
        <w:t xml:space="preserve">Закона </w:t>
      </w:r>
      <w:proofErr w:type="gramStart"/>
      <w:r w:rsidR="004358A3" w:rsidRPr="007F1382">
        <w:rPr>
          <w:rStyle w:val="Bodytext20"/>
          <w:i/>
          <w:sz w:val="24"/>
          <w:szCs w:val="24"/>
          <w:lang w:val="sr-Cyrl-RS" w:eastAsia="sr-Cyrl-CS"/>
        </w:rPr>
        <w:t>о спорту</w:t>
      </w:r>
      <w:proofErr w:type="gramEnd"/>
      <w:r w:rsidR="00BE58A2" w:rsidRPr="007F1382">
        <w:rPr>
          <w:rStyle w:val="Bodytext20"/>
          <w:sz w:val="24"/>
          <w:szCs w:val="24"/>
          <w:lang w:val="ru-RU" w:eastAsia="sr-Cyrl-CS"/>
        </w:rPr>
        <w:t>, као</w:t>
      </w:r>
      <w:r w:rsidRPr="007F1382">
        <w:rPr>
          <w:rStyle w:val="Bodytext20"/>
          <w:sz w:val="24"/>
          <w:szCs w:val="24"/>
          <w:lang w:val="ru-RU" w:eastAsia="sr-Cyrl-CS"/>
        </w:rPr>
        <w:t xml:space="preserve"> и </w:t>
      </w:r>
      <w:r w:rsidRPr="002669A9">
        <w:rPr>
          <w:rStyle w:val="Bodytext20"/>
          <w:i/>
          <w:sz w:val="24"/>
          <w:szCs w:val="24"/>
          <w:lang w:val="ru-RU" w:eastAsia="sr-Cyrl-CS"/>
        </w:rPr>
        <w:t>Уредбе о националним спортским признањима и новчаним наградама</w:t>
      </w:r>
      <w:r w:rsidRPr="007F1382">
        <w:rPr>
          <w:rStyle w:val="Bodytext20"/>
          <w:sz w:val="24"/>
          <w:szCs w:val="24"/>
          <w:lang w:val="ru-RU" w:eastAsia="sr-Cyrl-CS"/>
        </w:rPr>
        <w:t xml:space="preserve"> („Службени гласник </w:t>
      </w:r>
      <w:r w:rsidRPr="007F1382">
        <w:rPr>
          <w:rStyle w:val="Bodytext20"/>
          <w:sz w:val="24"/>
          <w:szCs w:val="24"/>
        </w:rPr>
        <w:t>PC</w:t>
      </w:r>
      <w:r w:rsidRPr="007F1382">
        <w:rPr>
          <w:rStyle w:val="Bodytext20"/>
          <w:sz w:val="24"/>
          <w:szCs w:val="24"/>
          <w:lang w:val="ru-RU"/>
        </w:rPr>
        <w:t xml:space="preserve">”, </w:t>
      </w:r>
      <w:r w:rsidRPr="007F1382">
        <w:rPr>
          <w:rStyle w:val="Bodytext20"/>
          <w:sz w:val="24"/>
          <w:szCs w:val="24"/>
          <w:lang w:val="ru-RU" w:eastAsia="sr-Cyrl-CS"/>
        </w:rPr>
        <w:t>бр. 22/16), за постигнуте спортске резултате у олимпијским и параолимпијским спортским гранама додељује се новчана награда спортистима и тренерима држављанима Републике Србије, који као чланови националне спортске репрезентације на Олимпијским играма, Параолимпијским играма, Шаховској олимпијади и светским и европским првенствима освоје</w:t>
      </w:r>
      <w:r w:rsidR="00DE027C" w:rsidRPr="007F1382">
        <w:rPr>
          <w:rStyle w:val="Bodytext20"/>
          <w:sz w:val="24"/>
          <w:szCs w:val="24"/>
          <w:lang w:val="ru-RU" w:eastAsia="sr-Cyrl-CS"/>
        </w:rPr>
        <w:t xml:space="preserve"> неку од медаља. У 2018. години</w:t>
      </w:r>
      <w:r w:rsidRPr="007F1382">
        <w:rPr>
          <w:rStyle w:val="Bodytext20"/>
          <w:sz w:val="24"/>
          <w:szCs w:val="24"/>
          <w:lang w:val="ru-RU" w:eastAsia="sr-Cyrl-CS"/>
        </w:rPr>
        <w:t xml:space="preserve"> исплаћено је укупно 120 нов</w:t>
      </w:r>
      <w:r w:rsidR="002669A9">
        <w:rPr>
          <w:rStyle w:val="Bodytext20"/>
          <w:sz w:val="24"/>
          <w:szCs w:val="24"/>
          <w:lang w:val="ru-RU" w:eastAsia="sr-Cyrl-CS"/>
        </w:rPr>
        <w:t>чаних награда спортистима и трен</w:t>
      </w:r>
      <w:r w:rsidRPr="007F1382">
        <w:rPr>
          <w:rStyle w:val="Bodytext20"/>
          <w:sz w:val="24"/>
          <w:szCs w:val="24"/>
          <w:lang w:val="ru-RU" w:eastAsia="sr-Cyrl-CS"/>
        </w:rPr>
        <w:t>ерима, од чега је 35 награда исплаћено женама спортистима и тренерима, што је у процентуалном износу 29,17%.</w:t>
      </w:r>
    </w:p>
    <w:p w:rsidR="00EE2BF3" w:rsidRPr="007F1382" w:rsidRDefault="00EE2BF3" w:rsidP="004358A3">
      <w:pPr>
        <w:pStyle w:val="Bodytext21"/>
        <w:shd w:val="clear" w:color="auto" w:fill="auto"/>
        <w:spacing w:before="60" w:after="0" w:line="240" w:lineRule="auto"/>
        <w:ind w:firstLine="720"/>
        <w:jc w:val="both"/>
        <w:rPr>
          <w:rStyle w:val="Bodytext20"/>
          <w:sz w:val="24"/>
          <w:szCs w:val="24"/>
          <w:lang w:val="ru-RU" w:eastAsia="sr-Cyrl-CS"/>
        </w:rPr>
      </w:pPr>
      <w:r w:rsidRPr="007F1382">
        <w:rPr>
          <w:rStyle w:val="Bodytext20"/>
          <w:sz w:val="24"/>
          <w:szCs w:val="24"/>
          <w:lang w:val="ru-RU" w:eastAsia="sr-Cyrl-CS"/>
        </w:rPr>
        <w:t xml:space="preserve">У </w:t>
      </w:r>
      <w:r w:rsidR="00DE027C" w:rsidRPr="007F1382">
        <w:rPr>
          <w:rStyle w:val="Bodytext20"/>
          <w:sz w:val="24"/>
          <w:szCs w:val="24"/>
          <w:lang w:val="ru-RU" w:eastAsia="sr-Cyrl-CS"/>
        </w:rPr>
        <w:t xml:space="preserve">вези примене </w:t>
      </w:r>
      <w:r w:rsidRPr="007F1382">
        <w:rPr>
          <w:rStyle w:val="Bodytext20"/>
          <w:sz w:val="24"/>
          <w:szCs w:val="24"/>
          <w:lang w:val="ru-RU" w:eastAsia="sr-Cyrl-CS"/>
        </w:rPr>
        <w:t>члан</w:t>
      </w:r>
      <w:r w:rsidR="00DE027C" w:rsidRPr="007F1382">
        <w:rPr>
          <w:rStyle w:val="Bodytext20"/>
          <w:sz w:val="24"/>
          <w:szCs w:val="24"/>
          <w:lang w:val="ru-RU" w:eastAsia="sr-Cyrl-CS"/>
        </w:rPr>
        <w:t>а</w:t>
      </w:r>
      <w:r w:rsidRPr="007F1382">
        <w:rPr>
          <w:rStyle w:val="Bodytext20"/>
          <w:sz w:val="24"/>
          <w:szCs w:val="24"/>
          <w:lang w:val="ru-RU" w:eastAsia="sr-Cyrl-CS"/>
        </w:rPr>
        <w:t xml:space="preserve"> 126. </w:t>
      </w:r>
      <w:r w:rsidRPr="007F1382">
        <w:rPr>
          <w:rStyle w:val="Bodytext20"/>
          <w:i/>
          <w:sz w:val="24"/>
          <w:szCs w:val="24"/>
          <w:lang w:val="ru-RU" w:eastAsia="sr-Cyrl-CS"/>
        </w:rPr>
        <w:t>Закона</w:t>
      </w:r>
      <w:r w:rsidR="004358A3" w:rsidRPr="007F1382">
        <w:rPr>
          <w:rStyle w:val="Bodytext20"/>
          <w:i/>
          <w:sz w:val="24"/>
          <w:szCs w:val="24"/>
          <w:lang w:val="ru-RU" w:eastAsia="sr-Cyrl-CS"/>
        </w:rPr>
        <w:t xml:space="preserve"> </w:t>
      </w:r>
      <w:proofErr w:type="gramStart"/>
      <w:r w:rsidR="004358A3" w:rsidRPr="007F1382">
        <w:rPr>
          <w:rStyle w:val="Bodytext20"/>
          <w:i/>
          <w:sz w:val="24"/>
          <w:szCs w:val="24"/>
          <w:lang w:val="ru-RU" w:eastAsia="sr-Cyrl-CS"/>
        </w:rPr>
        <w:t>о спорту</w:t>
      </w:r>
      <w:proofErr w:type="gramEnd"/>
      <w:r w:rsidRPr="007F1382">
        <w:rPr>
          <w:rStyle w:val="Bodytext20"/>
          <w:sz w:val="24"/>
          <w:szCs w:val="24"/>
          <w:lang w:val="ru-RU" w:eastAsia="sr-Cyrl-CS"/>
        </w:rPr>
        <w:t xml:space="preserve"> који се односи на стипендирање врхунских спортиста аматера за спорт</w:t>
      </w:r>
      <w:r w:rsidR="007F1382">
        <w:rPr>
          <w:rStyle w:val="Bodytext20"/>
          <w:sz w:val="24"/>
          <w:szCs w:val="24"/>
          <w:lang w:val="ru-RU" w:eastAsia="sr-Cyrl-CS"/>
        </w:rPr>
        <w:t>с</w:t>
      </w:r>
      <w:r w:rsidRPr="007F1382">
        <w:rPr>
          <w:rStyle w:val="Bodytext20"/>
          <w:sz w:val="24"/>
          <w:szCs w:val="24"/>
          <w:lang w:val="ru-RU" w:eastAsia="sr-Cyrl-CS"/>
        </w:rPr>
        <w:t>ко усавршавање и доделу новчане помоћи врхунским спортистима са посебним заслугама, у 2018. години стипендирано је укупно 410 спортиста, а од тога 139 жена, што је у процентуалном износу 33,90%.</w:t>
      </w:r>
    </w:p>
    <w:p w:rsidR="00D153FF" w:rsidRPr="007F1382" w:rsidRDefault="00EE2BF3" w:rsidP="004358A3">
      <w:pPr>
        <w:pStyle w:val="Bodytext21"/>
        <w:shd w:val="clear" w:color="auto" w:fill="auto"/>
        <w:spacing w:before="60" w:after="0" w:line="240" w:lineRule="auto"/>
        <w:ind w:firstLine="720"/>
        <w:jc w:val="both"/>
        <w:rPr>
          <w:b w:val="0"/>
          <w:sz w:val="24"/>
          <w:szCs w:val="24"/>
          <w:lang w:val="sr-Latn-RS"/>
        </w:rPr>
      </w:pPr>
      <w:r w:rsidRPr="007F1382">
        <w:rPr>
          <w:rStyle w:val="Bodytext20"/>
          <w:sz w:val="24"/>
          <w:szCs w:val="24"/>
          <w:lang w:val="ru-RU" w:eastAsia="sr-Cyrl-CS"/>
        </w:rPr>
        <w:t>Имајући у виду да одређени број спортских организација којима је послат упит није доставио тражене информације, Министарство омладине и спорта наставиће да прикупља и ажурира податке о броју и проценту заступљености жена у спортским организацијама и удружењима, као и у надзорним и управним телима тих организација и удружења.</w:t>
      </w:r>
    </w:p>
    <w:p w:rsidR="00EC1846" w:rsidRPr="007F1382" w:rsidRDefault="00EC1846" w:rsidP="004358A3">
      <w:pPr>
        <w:pStyle w:val="BodyText2"/>
        <w:spacing w:before="60"/>
        <w:ind w:firstLine="720"/>
        <w:rPr>
          <w:lang w:val="sr-Cyrl-RS"/>
        </w:rPr>
      </w:pPr>
    </w:p>
    <w:p w:rsidR="00892ADC" w:rsidRPr="007F1382" w:rsidRDefault="00892ADC" w:rsidP="004358A3">
      <w:pPr>
        <w:pStyle w:val="BodyText2"/>
        <w:spacing w:before="60"/>
        <w:ind w:firstLine="720"/>
        <w:jc w:val="center"/>
        <w:rPr>
          <w:b/>
          <w:lang w:val="sr-Cyrl-RS"/>
        </w:rPr>
      </w:pPr>
      <w:r w:rsidRPr="007F1382">
        <w:rPr>
          <w:b/>
          <w:lang w:val="sr-Latn-RS"/>
        </w:rPr>
        <w:t xml:space="preserve">V </w:t>
      </w:r>
      <w:r w:rsidRPr="007F1382">
        <w:rPr>
          <w:b/>
          <w:lang w:val="sr-Cyrl-RS"/>
        </w:rPr>
        <w:t>ПОЛИТИЧКИ И ЈАВНИ ЖИВОТ</w:t>
      </w:r>
    </w:p>
    <w:p w:rsidR="00E26225" w:rsidRPr="007F1382" w:rsidRDefault="00E26225" w:rsidP="004358A3">
      <w:pPr>
        <w:pStyle w:val="BodyText2"/>
        <w:spacing w:before="60"/>
        <w:ind w:firstLine="720"/>
        <w:rPr>
          <w:lang w:val="sr-Cyrl-RS"/>
        </w:rPr>
      </w:pPr>
    </w:p>
    <w:p w:rsidR="00A94423" w:rsidRPr="007F1382" w:rsidRDefault="00E26225" w:rsidP="004358A3">
      <w:pPr>
        <w:pStyle w:val="BodyText2"/>
        <w:spacing w:before="60"/>
        <w:ind w:firstLine="720"/>
        <w:rPr>
          <w:color w:val="000000" w:themeColor="text1"/>
          <w:lang w:val="sr-Cyrl-RS"/>
        </w:rPr>
      </w:pPr>
      <w:r w:rsidRPr="007F1382">
        <w:rPr>
          <w:color w:val="000000" w:themeColor="text1"/>
          <w:lang w:val="sr-Cyrl-RS"/>
        </w:rPr>
        <w:t>Према подацима РЗС, у Индексу родне равноправности из 2018. године н</w:t>
      </w:r>
      <w:r w:rsidRPr="007F1382">
        <w:rPr>
          <w:color w:val="000000" w:themeColor="text1"/>
        </w:rPr>
        <w:t xml:space="preserve">ајбоље резултате </w:t>
      </w:r>
      <w:r w:rsidRPr="007F1382">
        <w:rPr>
          <w:color w:val="000000" w:themeColor="text1"/>
          <w:lang w:val="sr-Cyrl-RS"/>
        </w:rPr>
        <w:t xml:space="preserve">Република Србија </w:t>
      </w:r>
      <w:r w:rsidRPr="007F1382">
        <w:rPr>
          <w:color w:val="000000" w:themeColor="text1"/>
        </w:rPr>
        <w:t>има</w:t>
      </w:r>
      <w:r w:rsidRPr="007F1382">
        <w:rPr>
          <w:color w:val="000000" w:themeColor="text1"/>
          <w:lang w:val="sr-Cyrl-RS"/>
        </w:rPr>
        <w:t xml:space="preserve"> управо у</w:t>
      </w:r>
      <w:r w:rsidRPr="007F1382">
        <w:rPr>
          <w:color w:val="000000" w:themeColor="text1"/>
        </w:rPr>
        <w:t xml:space="preserve"> домен</w:t>
      </w:r>
      <w:r w:rsidRPr="007F1382">
        <w:rPr>
          <w:color w:val="000000" w:themeColor="text1"/>
          <w:lang w:val="sr-Cyrl-RS"/>
        </w:rPr>
        <w:t>у</w:t>
      </w:r>
      <w:r w:rsidR="00250186" w:rsidRPr="007F1382">
        <w:rPr>
          <w:color w:val="000000" w:themeColor="text1"/>
        </w:rPr>
        <w:t xml:space="preserve"> моћи због активног</w:t>
      </w:r>
      <w:r w:rsidRPr="007F1382">
        <w:rPr>
          <w:color w:val="000000" w:themeColor="text1"/>
        </w:rPr>
        <w:t xml:space="preserve"> укључивањ</w:t>
      </w:r>
      <w:r w:rsidR="00250186" w:rsidRPr="007F1382">
        <w:rPr>
          <w:color w:val="000000" w:themeColor="text1"/>
          <w:lang w:val="sr-Cyrl-RS"/>
        </w:rPr>
        <w:t>а</w:t>
      </w:r>
      <w:r w:rsidRPr="007F1382">
        <w:rPr>
          <w:color w:val="000000" w:themeColor="text1"/>
        </w:rPr>
        <w:t xml:space="preserve"> жена у политички живот и ту је за три године</w:t>
      </w:r>
      <w:r w:rsidRPr="007F1382">
        <w:rPr>
          <w:color w:val="000000" w:themeColor="text1"/>
          <w:lang w:val="sr-Cyrl-RS"/>
        </w:rPr>
        <w:t xml:space="preserve"> остварен</w:t>
      </w:r>
      <w:r w:rsidRPr="007F1382">
        <w:rPr>
          <w:color w:val="000000" w:themeColor="text1"/>
        </w:rPr>
        <w:t xml:space="preserve"> напредак од 9,3 поена</w:t>
      </w:r>
      <w:r w:rsidR="00250186" w:rsidRPr="007F1382">
        <w:rPr>
          <w:color w:val="000000" w:themeColor="text1"/>
          <w:lang w:val="sr-Cyrl-RS"/>
        </w:rPr>
        <w:t>,</w:t>
      </w:r>
      <w:r w:rsidRPr="007F1382">
        <w:rPr>
          <w:color w:val="000000" w:themeColor="text1"/>
        </w:rPr>
        <w:t xml:space="preserve"> </w:t>
      </w:r>
      <w:r w:rsidRPr="007F1382">
        <w:rPr>
          <w:color w:val="000000" w:themeColor="text1"/>
          <w:lang w:val="sr-Cyrl-RS"/>
        </w:rPr>
        <w:t>што значи да се Србија се</w:t>
      </w:r>
      <w:r w:rsidRPr="007F1382">
        <w:rPr>
          <w:color w:val="000000" w:themeColor="text1"/>
        </w:rPr>
        <w:t xml:space="preserve"> налази на 16. месту</w:t>
      </w:r>
      <w:r w:rsidRPr="007F1382">
        <w:rPr>
          <w:color w:val="000000" w:themeColor="text1"/>
          <w:lang w:val="sr-Cyrl-RS"/>
        </w:rPr>
        <w:t>, тј. има</w:t>
      </w:r>
      <w:r w:rsidRPr="007F1382">
        <w:rPr>
          <w:color w:val="000000" w:themeColor="text1"/>
        </w:rPr>
        <w:t xml:space="preserve"> бољи </w:t>
      </w:r>
      <w:r w:rsidRPr="007F1382">
        <w:rPr>
          <w:color w:val="000000" w:themeColor="text1"/>
          <w:lang w:val="sr-Cyrl-RS"/>
        </w:rPr>
        <w:t>резултат у том домену</w:t>
      </w:r>
      <w:r w:rsidRPr="007F1382">
        <w:rPr>
          <w:color w:val="000000" w:themeColor="text1"/>
        </w:rPr>
        <w:t xml:space="preserve"> од половине земаља </w:t>
      </w:r>
      <w:r w:rsidRPr="007F1382">
        <w:rPr>
          <w:color w:val="000000" w:themeColor="text1"/>
          <w:lang w:val="sr-Cyrl-RS"/>
        </w:rPr>
        <w:t xml:space="preserve">чланица </w:t>
      </w:r>
      <w:r w:rsidRPr="007F1382">
        <w:rPr>
          <w:color w:val="000000" w:themeColor="text1"/>
        </w:rPr>
        <w:t xml:space="preserve">ЕУ. </w:t>
      </w:r>
      <w:r w:rsidRPr="007F1382">
        <w:rPr>
          <w:color w:val="000000" w:themeColor="text1"/>
          <w:lang w:val="sr-Cyrl-RS"/>
        </w:rPr>
        <w:t>Овај напредак је остварен континуираним радом на унапређењу равноправности полова у политичком и јавном животу. Наиме, п</w:t>
      </w:r>
      <w:r w:rsidR="00A94423" w:rsidRPr="007F1382">
        <w:rPr>
          <w:color w:val="000000" w:themeColor="text1"/>
        </w:rPr>
        <w:t>осле избор</w:t>
      </w:r>
      <w:r w:rsidR="00A94423" w:rsidRPr="007F1382">
        <w:rPr>
          <w:color w:val="000000" w:themeColor="text1"/>
          <w:lang w:val="sr-Cyrl-RS"/>
        </w:rPr>
        <w:t>а</w:t>
      </w:r>
      <w:r w:rsidR="00A94423" w:rsidRPr="007F1382">
        <w:rPr>
          <w:color w:val="000000" w:themeColor="text1"/>
        </w:rPr>
        <w:t xml:space="preserve"> 2000. годи</w:t>
      </w:r>
      <w:r w:rsidR="00A94423" w:rsidRPr="007F1382">
        <w:rPr>
          <w:color w:val="000000" w:themeColor="text1"/>
          <w:lang w:val="sr-Cyrl-RS"/>
        </w:rPr>
        <w:t>н</w:t>
      </w:r>
      <w:r w:rsidR="00A94423" w:rsidRPr="007F1382">
        <w:rPr>
          <w:color w:val="000000" w:themeColor="text1"/>
        </w:rPr>
        <w:t>е, у Народној скупштини Републике Србије било је 12,4</w:t>
      </w:r>
      <w:r w:rsidR="00A94423" w:rsidRPr="007F1382">
        <w:rPr>
          <w:color w:val="000000" w:themeColor="text1"/>
          <w:lang w:val="sr-Cyrl-RS"/>
        </w:rPr>
        <w:t>0</w:t>
      </w:r>
      <w:r w:rsidR="00A94423" w:rsidRPr="007F1382">
        <w:rPr>
          <w:color w:val="000000" w:themeColor="text1"/>
        </w:rPr>
        <w:t>% народних посланица, док се након увођења квоте из 2007. године учешће жена повећа</w:t>
      </w:r>
      <w:r w:rsidR="00A94423" w:rsidRPr="007F1382">
        <w:rPr>
          <w:color w:val="000000" w:themeColor="text1"/>
          <w:lang w:val="sr-Cyrl-RS"/>
        </w:rPr>
        <w:t>н</w:t>
      </w:r>
      <w:r w:rsidR="00A94423" w:rsidRPr="007F1382">
        <w:rPr>
          <w:color w:val="000000" w:themeColor="text1"/>
        </w:rPr>
        <w:t>о на 21,2</w:t>
      </w:r>
      <w:r w:rsidR="00A94423" w:rsidRPr="007F1382">
        <w:rPr>
          <w:color w:val="000000" w:themeColor="text1"/>
          <w:lang w:val="sr-Cyrl-RS"/>
        </w:rPr>
        <w:t>0</w:t>
      </w:r>
      <w:r w:rsidR="00A94423" w:rsidRPr="007F1382">
        <w:rPr>
          <w:color w:val="000000" w:themeColor="text1"/>
        </w:rPr>
        <w:t>%. Измене изборног законодавства из 2011. године довеле су до повећања броја народних посланица на 34%</w:t>
      </w:r>
      <w:r w:rsidR="002669A9">
        <w:rPr>
          <w:color w:val="000000" w:themeColor="text1"/>
        </w:rPr>
        <w:t>. Из овога се може закључити да ће</w:t>
      </w:r>
      <w:r w:rsidR="00A94423" w:rsidRPr="007F1382">
        <w:rPr>
          <w:color w:val="000000" w:themeColor="text1"/>
          <w:lang w:val="sr-Latn-CS"/>
        </w:rPr>
        <w:t xml:space="preserve"> </w:t>
      </w:r>
      <w:r w:rsidR="00A94423" w:rsidRPr="007F1382">
        <w:rPr>
          <w:color w:val="000000" w:themeColor="text1"/>
        </w:rPr>
        <w:t>се број жена у највишем законодавном телу да</w:t>
      </w:r>
      <w:r w:rsidR="00A94423" w:rsidRPr="007F1382">
        <w:rPr>
          <w:color w:val="000000" w:themeColor="text1"/>
          <w:lang w:val="sr-Cyrl-RS"/>
        </w:rPr>
        <w:t>љ</w:t>
      </w:r>
      <w:r w:rsidR="00A94423" w:rsidRPr="007F1382">
        <w:rPr>
          <w:color w:val="000000" w:themeColor="text1"/>
        </w:rPr>
        <w:t>е повећавати само уколико то буде прописано изборним законодавством, односно уколико постојећа квота буде повећана.</w:t>
      </w:r>
    </w:p>
    <w:p w:rsidR="00A94423" w:rsidRPr="007F1382" w:rsidRDefault="00A94423" w:rsidP="00253858">
      <w:pPr>
        <w:pStyle w:val="BodyText2"/>
        <w:spacing w:before="60"/>
        <w:ind w:firstLine="720"/>
        <w:rPr>
          <w:lang w:val="sr-Cyrl-RS"/>
        </w:rPr>
      </w:pPr>
      <w:r w:rsidRPr="007F1382">
        <w:rPr>
          <w:lang w:val="sr-Cyrl-RS"/>
        </w:rPr>
        <w:t>Примера ради, у Републици Србији су 24. априла 2016. године одржани парл</w:t>
      </w:r>
      <w:r w:rsidR="00253858" w:rsidRPr="007F1382">
        <w:rPr>
          <w:lang w:val="sr-Cyrl-RS"/>
        </w:rPr>
        <w:t>аментарни и локални избори, након којих је п</w:t>
      </w:r>
      <w:r w:rsidRPr="007F1382">
        <w:rPr>
          <w:lang w:val="sr-Cyrl-RS"/>
        </w:rPr>
        <w:t>оред председнице Народне скупштине, од 250 народних посланика</w:t>
      </w:r>
      <w:r w:rsidR="00253858" w:rsidRPr="007F1382">
        <w:rPr>
          <w:lang w:val="sr-Cyrl-RS"/>
        </w:rPr>
        <w:t xml:space="preserve"> и посланица</w:t>
      </w:r>
      <w:r w:rsidR="007F1382">
        <w:rPr>
          <w:lang w:val="sr-Cyrl-RS"/>
        </w:rPr>
        <w:t xml:space="preserve"> у актуелном сазиву народне скупштине</w:t>
      </w:r>
      <w:r w:rsidR="00253858" w:rsidRPr="007F1382">
        <w:rPr>
          <w:lang w:val="sr-Cyrl-RS"/>
        </w:rPr>
        <w:t xml:space="preserve"> 93 жене (37,2%) и 157 мушкараца (62,8%). Посланице чине Женску парламентарну мрежу која функционише као неформална група, али је у предходном периоду постала важан чинилац  у унапређењу и промовисању политике родне равноправности.</w:t>
      </w:r>
    </w:p>
    <w:p w:rsidR="004358A3" w:rsidRPr="007F1382" w:rsidRDefault="00A94423" w:rsidP="004358A3">
      <w:pPr>
        <w:pStyle w:val="BodyText2"/>
        <w:spacing w:before="60"/>
        <w:ind w:firstLine="720"/>
        <w:rPr>
          <w:color w:val="000000" w:themeColor="text1"/>
        </w:rPr>
      </w:pPr>
      <w:r w:rsidRPr="007F1382">
        <w:t xml:space="preserve">Након председничких избора одржаних у мају 2017. године дошло је и до промена у Влади. По </w:t>
      </w:r>
      <w:r w:rsidRPr="007F1382">
        <w:rPr>
          <w:color w:val="000000" w:themeColor="text1"/>
        </w:rPr>
        <w:t xml:space="preserve">први пут у историји, Народна скупштина Републике Србије је 30. јуна 2017. године, изгласала </w:t>
      </w:r>
      <w:r w:rsidRPr="007F1382">
        <w:rPr>
          <w:color w:val="000000" w:themeColor="text1"/>
        </w:rPr>
        <w:lastRenderedPageBreak/>
        <w:t>жену за премијера. Од 21 ресора, Влада има четири министарке, од којих је једна и подп</w:t>
      </w:r>
      <w:r w:rsidR="00250186" w:rsidRPr="007F1382">
        <w:rPr>
          <w:color w:val="000000" w:themeColor="text1"/>
        </w:rPr>
        <w:t xml:space="preserve">редседница Владе и председница </w:t>
      </w:r>
      <w:r w:rsidRPr="007F1382">
        <w:rPr>
          <w:color w:val="000000" w:themeColor="text1"/>
        </w:rPr>
        <w:t>Координациног тела за родну равноправност.</w:t>
      </w:r>
    </w:p>
    <w:p w:rsidR="004358A3" w:rsidRPr="007F1382" w:rsidRDefault="00B643DC" w:rsidP="004358A3">
      <w:pPr>
        <w:pStyle w:val="BodyText2"/>
        <w:spacing w:before="60"/>
        <w:ind w:firstLine="720"/>
        <w:rPr>
          <w:rFonts w:eastAsiaTheme="minorHAnsi"/>
          <w:color w:val="000000" w:themeColor="text1"/>
          <w:lang w:val="sr-Latn-ME"/>
        </w:rPr>
      </w:pPr>
      <w:r w:rsidRPr="007F1382">
        <w:rPr>
          <w:rFonts w:eastAsiaTheme="minorHAnsi"/>
          <w:i/>
          <w:color w:val="000000" w:themeColor="text1"/>
          <w:lang w:val="sr-Latn-ME"/>
        </w:rPr>
        <w:t>Законом о локалним изборима</w:t>
      </w:r>
      <w:r w:rsidR="00250186" w:rsidRPr="007F1382">
        <w:rPr>
          <w:rFonts w:eastAsiaTheme="minorHAnsi"/>
          <w:i/>
          <w:color w:val="000000" w:themeColor="text1"/>
          <w:lang w:val="sr-Cyrl-RS"/>
        </w:rPr>
        <w:t xml:space="preserve"> </w:t>
      </w:r>
      <w:r w:rsidRPr="007F1382">
        <w:rPr>
          <w:rFonts w:eastAsiaTheme="minorHAnsi"/>
          <w:color w:val="000000" w:themeColor="text1"/>
          <w:lang w:val="sr-Latn-ME"/>
        </w:rPr>
        <w:t xml:space="preserve">(„Службени гласник PC”, број </w:t>
      </w:r>
      <w:r w:rsidRPr="007F1382">
        <w:rPr>
          <w:rFonts w:eastAsiaTheme="minorHAnsi"/>
          <w:color w:val="000000" w:themeColor="text1"/>
          <w:lang w:val="sr-Cyrl-RS"/>
        </w:rPr>
        <w:t>129</w:t>
      </w:r>
      <w:r w:rsidRPr="007F1382">
        <w:rPr>
          <w:rFonts w:eastAsiaTheme="minorHAnsi"/>
          <w:color w:val="000000" w:themeColor="text1"/>
          <w:lang w:val="sr-Latn-ME"/>
        </w:rPr>
        <w:t>/</w:t>
      </w:r>
      <w:r w:rsidRPr="007F1382">
        <w:rPr>
          <w:rFonts w:eastAsiaTheme="minorHAnsi"/>
          <w:color w:val="000000" w:themeColor="text1"/>
          <w:lang w:val="sr-Cyrl-RS"/>
        </w:rPr>
        <w:t>07, 34/10, 54/11</w:t>
      </w:r>
      <w:r w:rsidRPr="007F1382">
        <w:rPr>
          <w:rFonts w:eastAsiaTheme="minorHAnsi"/>
          <w:color w:val="000000" w:themeColor="text1"/>
          <w:lang w:val="sr-Latn-ME"/>
        </w:rPr>
        <w:t xml:space="preserve">) </w:t>
      </w:r>
      <w:r w:rsidR="00250186" w:rsidRPr="007F1382">
        <w:rPr>
          <w:rFonts w:eastAsiaTheme="minorHAnsi"/>
          <w:color w:val="000000" w:themeColor="text1"/>
          <w:lang w:val="sr-Cyrl-RS"/>
        </w:rPr>
        <w:t xml:space="preserve">у </w:t>
      </w:r>
      <w:r w:rsidR="00250186" w:rsidRPr="007F1382">
        <w:rPr>
          <w:rFonts w:eastAsiaTheme="minorHAnsi"/>
          <w:color w:val="000000" w:themeColor="text1"/>
          <w:lang w:val="sr-Latn-ME"/>
        </w:rPr>
        <w:t>члан</w:t>
      </w:r>
      <w:r w:rsidR="00250186" w:rsidRPr="007F1382">
        <w:rPr>
          <w:rFonts w:eastAsiaTheme="minorHAnsi"/>
          <w:color w:val="000000" w:themeColor="text1"/>
          <w:lang w:val="sr-Cyrl-RS"/>
        </w:rPr>
        <w:t>у</w:t>
      </w:r>
      <w:r w:rsidR="00250186" w:rsidRPr="007F1382">
        <w:rPr>
          <w:rFonts w:eastAsiaTheme="minorHAnsi"/>
          <w:color w:val="000000" w:themeColor="text1"/>
          <w:lang w:val="sr-Latn-ME"/>
        </w:rPr>
        <w:t xml:space="preserve"> 20. став 3</w:t>
      </w:r>
      <w:r w:rsidR="00250186" w:rsidRPr="007F1382">
        <w:rPr>
          <w:rFonts w:eastAsiaTheme="minorHAnsi"/>
          <w:color w:val="000000" w:themeColor="text1"/>
          <w:lang w:val="sr-Cyrl-RS"/>
        </w:rPr>
        <w:t>.</w:t>
      </w:r>
      <w:r w:rsidR="00250186" w:rsidRPr="007F1382">
        <w:rPr>
          <w:rFonts w:eastAsiaTheme="minorHAnsi"/>
          <w:color w:val="000000" w:themeColor="text1"/>
          <w:lang w:val="sr-Latn-ME"/>
        </w:rPr>
        <w:t xml:space="preserve"> </w:t>
      </w:r>
      <w:r w:rsidRPr="007F1382">
        <w:rPr>
          <w:rFonts w:eastAsiaTheme="minorHAnsi"/>
          <w:color w:val="000000" w:themeColor="text1"/>
          <w:lang w:val="sr-Cyrl-RS"/>
        </w:rPr>
        <w:t xml:space="preserve">прецизирано је да </w:t>
      </w:r>
      <w:r w:rsidRPr="007F1382">
        <w:rPr>
          <w:rFonts w:eastAsiaTheme="minorHAnsi"/>
          <w:color w:val="000000" w:themeColor="text1"/>
          <w:lang w:val="sr-Latn-ME"/>
        </w:rPr>
        <w:t>заступљеност жена у политичком животу на нивоу јединица локалне</w:t>
      </w:r>
      <w:r w:rsidR="00250186" w:rsidRPr="007F1382">
        <w:rPr>
          <w:rFonts w:eastAsiaTheme="minorHAnsi"/>
          <w:color w:val="000000" w:themeColor="text1"/>
          <w:lang w:val="sr-Latn-ME"/>
        </w:rPr>
        <w:t xml:space="preserve"> самоуправе регулисана тако да</w:t>
      </w:r>
      <w:r w:rsidRPr="007F1382">
        <w:rPr>
          <w:rFonts w:eastAsiaTheme="minorHAnsi"/>
          <w:color w:val="000000" w:themeColor="text1"/>
          <w:lang w:val="sr-Latn-ME"/>
        </w:rPr>
        <w:t xml:space="preserve"> је прописано да на изборној листи међу свака три кандидата по редоследу на листи (прва три места, друга три места и тако до краја листе) мора бити најмање по један кандидат, тј. припадник оног пола к</w:t>
      </w:r>
      <w:r w:rsidR="004358A3" w:rsidRPr="007F1382">
        <w:rPr>
          <w:rFonts w:eastAsiaTheme="minorHAnsi"/>
          <w:color w:val="000000" w:themeColor="text1"/>
          <w:lang w:val="sr-Latn-ME"/>
        </w:rPr>
        <w:t>оји је мање заступљен на листи.</w:t>
      </w:r>
    </w:p>
    <w:p w:rsidR="00B643DC" w:rsidRPr="007F1382" w:rsidRDefault="00B643DC" w:rsidP="004358A3">
      <w:pPr>
        <w:pStyle w:val="BodyText2"/>
        <w:spacing w:before="60"/>
        <w:ind w:firstLine="720"/>
        <w:rPr>
          <w:rFonts w:eastAsiaTheme="minorHAnsi"/>
          <w:color w:val="000000" w:themeColor="text1"/>
          <w:lang w:val="sr-Latn-ME"/>
        </w:rPr>
      </w:pPr>
      <w:r w:rsidRPr="007F1382">
        <w:rPr>
          <w:rFonts w:eastAsiaTheme="minorHAnsi"/>
          <w:color w:val="000000" w:themeColor="text1"/>
          <w:lang w:val="sr-Cyrl-RS"/>
        </w:rPr>
        <w:t>Према подацима из 2018. године, н</w:t>
      </w:r>
      <w:r w:rsidRPr="007F1382">
        <w:rPr>
          <w:rFonts w:eastAsiaTheme="minorHAnsi"/>
          <w:color w:val="000000" w:themeColor="text1"/>
          <w:lang w:val="sr-Latn-ME"/>
        </w:rPr>
        <w:t>а местима председница скупштина општина/градова има 14,4% жена</w:t>
      </w:r>
      <w:r w:rsidRPr="007F1382">
        <w:rPr>
          <w:color w:val="000000" w:themeColor="text1"/>
          <w:lang w:val="sr-Cyrl-RS"/>
        </w:rPr>
        <w:t>.</w:t>
      </w:r>
      <w:r w:rsidRPr="007F1382">
        <w:rPr>
          <w:rFonts w:eastAsiaTheme="minorHAnsi"/>
          <w:color w:val="000000" w:themeColor="text1"/>
          <w:lang w:val="sr-Cyrl-RS"/>
        </w:rPr>
        <w:t xml:space="preserve"> </w:t>
      </w:r>
      <w:r w:rsidRPr="007F1382">
        <w:rPr>
          <w:rFonts w:eastAsiaTheme="minorHAnsi"/>
          <w:color w:val="000000" w:themeColor="text1"/>
          <w:lang w:val="sr-Latn-ME"/>
        </w:rPr>
        <w:t>На позицијама заменика председника скупштина општина/градова има само 23,5% жена.</w:t>
      </w:r>
      <w:r w:rsidRPr="007F1382">
        <w:rPr>
          <w:rFonts w:eastAsiaTheme="minorHAnsi"/>
          <w:color w:val="000000" w:themeColor="text1"/>
          <w:lang w:val="sr-Cyrl-RS"/>
        </w:rPr>
        <w:t xml:space="preserve"> </w:t>
      </w:r>
      <w:r w:rsidRPr="007F1382">
        <w:rPr>
          <w:rFonts w:eastAsiaTheme="minorHAnsi"/>
          <w:color w:val="000000" w:themeColor="text1"/>
          <w:lang w:val="sr-Latn-ME"/>
        </w:rPr>
        <w:t>Међу одборницима има 32,7% жена, док на местима председника одборничких група има 18,6% жена. На позицијама градоначелника/председника општина има 7,9% жена, а на позицијама заменика градоначелника/председника општина има 18,5% жена. Жене су чланице савета месних заједница са заступљеношћу од 11%, док на  позицијама председница месних заједница има свега 5% жена.</w:t>
      </w:r>
    </w:p>
    <w:p w:rsidR="00A94423" w:rsidRPr="007F1382" w:rsidRDefault="00250186" w:rsidP="004358A3">
      <w:pPr>
        <w:pStyle w:val="BodyText2"/>
        <w:spacing w:before="60"/>
        <w:ind w:firstLine="720"/>
        <w:rPr>
          <w:color w:val="000000" w:themeColor="text1"/>
          <w:lang w:val="sr-Cyrl-RS"/>
        </w:rPr>
      </w:pPr>
      <w:r w:rsidRPr="007F1382">
        <w:rPr>
          <w:color w:val="000000" w:themeColor="text1"/>
          <w:lang w:val="sr-Cyrl-RS"/>
        </w:rPr>
        <w:t>Такође, према подацима из 2018. године, о</w:t>
      </w:r>
      <w:r w:rsidR="00A94423" w:rsidRPr="007F1382">
        <w:rPr>
          <w:color w:val="000000" w:themeColor="text1"/>
          <w:lang w:val="sr-Cyrl-RS"/>
        </w:rPr>
        <w:t xml:space="preserve">д укупног броја државних службеника 62,4% су жене, на руководећим радним местима </w:t>
      </w:r>
      <w:r w:rsidRPr="007F1382">
        <w:rPr>
          <w:color w:val="000000" w:themeColor="text1"/>
          <w:lang w:val="sr-Cyrl-RS"/>
        </w:rPr>
        <w:t xml:space="preserve">има </w:t>
      </w:r>
      <w:r w:rsidR="00A94423" w:rsidRPr="007F1382">
        <w:rPr>
          <w:color w:val="000000" w:themeColor="text1"/>
          <w:lang w:val="sr-Cyrl-RS"/>
        </w:rPr>
        <w:t xml:space="preserve">53,23% жена, а државних </w:t>
      </w:r>
      <w:r w:rsidRPr="007F1382">
        <w:rPr>
          <w:color w:val="000000" w:themeColor="text1"/>
          <w:lang w:val="sr-Cyrl-RS"/>
        </w:rPr>
        <w:t>службеница на положају има 45%.</w:t>
      </w:r>
      <w:r w:rsidR="00194B8A">
        <w:rPr>
          <w:color w:val="000000" w:themeColor="text1"/>
          <w:lang w:val="sr-Cyrl-RS"/>
        </w:rPr>
        <w:t xml:space="preserve"> Имајући наведене податке у виду, поводом подношења Редовног извештаја Повереника за заштиту равноправности за 2018. годину, актуелна</w:t>
      </w:r>
      <w:r w:rsidR="00194B8A" w:rsidRPr="00194B8A">
        <w:rPr>
          <w:color w:val="000000" w:themeColor="text1"/>
          <w:lang w:val="sr-Cyrl-RS"/>
        </w:rPr>
        <w:t xml:space="preserve"> </w:t>
      </w:r>
      <w:r w:rsidR="00194B8A">
        <w:rPr>
          <w:color w:val="000000" w:themeColor="text1"/>
          <w:lang w:val="sr-Cyrl-RS"/>
        </w:rPr>
        <w:t>повереница за заштиту равноправности је изнела став да су забраном пријема новозапослених у органе јавне власти у највећој мери погођене незапослене жене и да ту забрану треба укинути.</w:t>
      </w:r>
    </w:p>
    <w:p w:rsidR="00F11291" w:rsidRPr="00A94423" w:rsidRDefault="00F11291" w:rsidP="004358A3">
      <w:pPr>
        <w:pStyle w:val="BodyText2"/>
        <w:spacing w:before="60"/>
        <w:ind w:firstLine="720"/>
        <w:rPr>
          <w:lang w:val="sr-Cyrl-RS"/>
        </w:rPr>
      </w:pPr>
      <w:r>
        <w:rPr>
          <w:lang w:val="sr-Cyrl-RS"/>
        </w:rPr>
        <w:t xml:space="preserve">Према истраживању Заштитника грађана из 2017. године које је уз подршку Мисије ОЕБС-а у Србији публиковано у </w:t>
      </w:r>
      <w:r w:rsidR="00427CA8">
        <w:rPr>
          <w:lang w:val="sr-Cyrl-RS"/>
        </w:rPr>
        <w:t xml:space="preserve">мају </w:t>
      </w:r>
      <w:r>
        <w:rPr>
          <w:lang w:val="sr-Cyrl-RS"/>
        </w:rPr>
        <w:t xml:space="preserve">2018. године у оквиру </w:t>
      </w:r>
      <w:r w:rsidRPr="00427CA8">
        <w:rPr>
          <w:i/>
          <w:lang w:val="sr-Cyrl-RS"/>
        </w:rPr>
        <w:t>Посебног извештаја Заштитника грађана</w:t>
      </w:r>
      <w:r w:rsidR="00427CA8" w:rsidRPr="00427CA8">
        <w:rPr>
          <w:i/>
          <w:lang w:val="sr-Cyrl-RS"/>
        </w:rPr>
        <w:t xml:space="preserve"> – Заступљеност жена на местима одлучивања и позиција и активности локалних механизама у јединицама локалних самоуправа у Србији</w:t>
      </w:r>
      <w:r>
        <w:rPr>
          <w:lang w:val="sr-Cyrl-RS"/>
        </w:rPr>
        <w:t>, заступљеност жена</w:t>
      </w:r>
      <w:r w:rsidRPr="00F11291">
        <w:rPr>
          <w:lang w:val="sr-Cyrl-RS"/>
        </w:rPr>
        <w:t xml:space="preserve"> </w:t>
      </w:r>
      <w:r>
        <w:rPr>
          <w:lang w:val="sr-Cyrl-RS"/>
        </w:rPr>
        <w:t xml:space="preserve">у одлучивању у органима власти у јединицама локалне самоуправе је недовољна, а на нивоу месних заједница изузетно ниска. </w:t>
      </w:r>
    </w:p>
    <w:p w:rsidR="00A94423" w:rsidRPr="00A94423" w:rsidRDefault="00A94423" w:rsidP="004358A3">
      <w:pPr>
        <w:pStyle w:val="BodyText2"/>
        <w:spacing w:before="60"/>
        <w:ind w:firstLine="720"/>
      </w:pPr>
      <w:r w:rsidRPr="00A94423">
        <w:rPr>
          <w:i/>
        </w:rPr>
        <w:t xml:space="preserve">Законом о запосленима у аутономним покрајинама и јединицама локалне самоуправе </w:t>
      </w:r>
      <w:r w:rsidRPr="00A94423">
        <w:rPr>
          <w:lang w:val="sr-Cyrl-RS"/>
        </w:rPr>
        <w:t>(„</w:t>
      </w:r>
      <w:r w:rsidRPr="00A94423">
        <w:t>Службени гласник РС”, број 21/16</w:t>
      </w:r>
      <w:r w:rsidRPr="00A94423">
        <w:rPr>
          <w:lang w:val="sr-Cyrl-RS"/>
        </w:rPr>
        <w:t>)</w:t>
      </w:r>
      <w:r w:rsidRPr="00A94423">
        <w:t xml:space="preserve"> прописано је начело једнаке доступности радних места при запошљавању свим кандидатима, при запошљавању се мора водити рачуна о томе да национални састав, заступљеност полова и број особа са инвалидитетом, међу запосленим у највећој могућој мери одсликава структуру становништва. У складу са </w:t>
      </w:r>
      <w:r w:rsidRPr="00A94423">
        <w:rPr>
          <w:lang w:val="sr-Cyrl-RS"/>
        </w:rPr>
        <w:t>овим</w:t>
      </w:r>
      <w:r w:rsidRPr="00A94423">
        <w:t xml:space="preserve"> </w:t>
      </w:r>
      <w:r w:rsidRPr="00A94423">
        <w:rPr>
          <w:lang w:val="sr-Cyrl-RS"/>
        </w:rPr>
        <w:t>з</w:t>
      </w:r>
      <w:r w:rsidRPr="00A94423">
        <w:t>аконом</w:t>
      </w:r>
      <w:r w:rsidRPr="00A94423">
        <w:rPr>
          <w:lang w:val="sr-Cyrl-RS"/>
        </w:rPr>
        <w:t>,</w:t>
      </w:r>
      <w:r w:rsidRPr="00A94423">
        <w:t xml:space="preserve"> Влада је донела </w:t>
      </w:r>
      <w:r w:rsidRPr="00A94423">
        <w:rPr>
          <w:lang w:val="sr-Cyrl-RS"/>
        </w:rPr>
        <w:t>три у</w:t>
      </w:r>
      <w:r w:rsidRPr="00A94423">
        <w:t>редб</w:t>
      </w:r>
      <w:r w:rsidRPr="00A94423">
        <w:rPr>
          <w:lang w:val="en-US"/>
        </w:rPr>
        <w:t>e</w:t>
      </w:r>
      <w:r w:rsidRPr="00A94423">
        <w:t xml:space="preserve"> </w:t>
      </w:r>
      <w:r w:rsidRPr="00A94423">
        <w:rPr>
          <w:lang w:val="sr-Cyrl-RS"/>
        </w:rPr>
        <w:t>којима је уредила</w:t>
      </w:r>
      <w:r w:rsidRPr="00A94423">
        <w:t xml:space="preserve"> критеријум</w:t>
      </w:r>
      <w:r w:rsidRPr="00A94423">
        <w:rPr>
          <w:lang w:val="sr-Cyrl-RS"/>
        </w:rPr>
        <w:t>е</w:t>
      </w:r>
      <w:r w:rsidRPr="00A94423">
        <w:t xml:space="preserve"> за разврставање, </w:t>
      </w:r>
      <w:r w:rsidRPr="00A94423">
        <w:rPr>
          <w:lang w:val="sr-Cyrl-RS"/>
        </w:rPr>
        <w:t>опис и попуњавање</w:t>
      </w:r>
      <w:r w:rsidRPr="00A94423">
        <w:t xml:space="preserve"> радних места </w:t>
      </w:r>
      <w:r w:rsidRPr="00A94423">
        <w:rPr>
          <w:lang w:val="sr-Cyrl-RS"/>
        </w:rPr>
        <w:t xml:space="preserve">намештеника и службеника у </w:t>
      </w:r>
      <w:r w:rsidRPr="00A94423">
        <w:t>аутономним покрајинама и јединицама локалне самоуправе.</w:t>
      </w:r>
    </w:p>
    <w:p w:rsidR="00A94423" w:rsidRPr="00A94423" w:rsidRDefault="00A94423" w:rsidP="004358A3">
      <w:pPr>
        <w:pStyle w:val="BodyText2"/>
        <w:spacing w:before="60"/>
        <w:ind w:firstLine="720"/>
        <w:rPr>
          <w:lang w:val="sr-Cyrl-BA"/>
        </w:rPr>
      </w:pPr>
      <w:r w:rsidRPr="00A94423">
        <w:t>Покрајинска влада</w:t>
      </w:r>
      <w:r w:rsidRPr="00A94423">
        <w:rPr>
          <w:lang w:val="sr-Cyrl-BA"/>
        </w:rPr>
        <w:t xml:space="preserve"> Аутономне покрајине Војводине</w:t>
      </w:r>
      <w:r w:rsidRPr="00A94423">
        <w:t xml:space="preserve">, има укупно 11 чланова од којих је једна жена. Заступљеност посланица у Скупштини Аутономне Покрајине Војводине </w:t>
      </w:r>
      <w:r w:rsidRPr="00A94423">
        <w:rPr>
          <w:lang w:val="sr-Cyrl-BA"/>
        </w:rPr>
        <w:t xml:space="preserve">је </w:t>
      </w:r>
      <w:r w:rsidRPr="00A94423">
        <w:t>35,8%</w:t>
      </w:r>
      <w:r w:rsidRPr="00A94423">
        <w:rPr>
          <w:lang w:val="sr-Cyrl-BA"/>
        </w:rPr>
        <w:t>.</w:t>
      </w:r>
    </w:p>
    <w:p w:rsidR="00A94423" w:rsidRPr="00A94423" w:rsidRDefault="00A94423" w:rsidP="004358A3">
      <w:pPr>
        <w:pStyle w:val="BodyText2"/>
        <w:spacing w:before="60"/>
        <w:ind w:firstLine="720"/>
      </w:pPr>
      <w:r w:rsidRPr="00A94423">
        <w:t xml:space="preserve">У Градској управи града Београда </w:t>
      </w:r>
      <w:r w:rsidRPr="00A94423">
        <w:rPr>
          <w:lang w:val="sr-Cyrl-BA"/>
        </w:rPr>
        <w:t>од</w:t>
      </w:r>
      <w:r w:rsidRPr="00A94423">
        <w:t xml:space="preserve"> укупно 2.050 </w:t>
      </w:r>
      <w:r w:rsidRPr="00A94423">
        <w:rPr>
          <w:lang w:val="sr-Cyrl-BA"/>
        </w:rPr>
        <w:t>запослених</w:t>
      </w:r>
      <w:r w:rsidRPr="00A94423">
        <w:t xml:space="preserve"> 1.241 жена (60%). По полној структури руководилаца средњег и вишег нивоа, однос у корист жена је такође повољнији, 268 жена (63,8%) у односу на 171 (36,2%) мушкараца. Од наведеног броја жена на руководећим позицијама, њих 259 има високу стручну спрему. </w:t>
      </w:r>
    </w:p>
    <w:p w:rsidR="00862AC9" w:rsidRDefault="00900585" w:rsidP="004358A3">
      <w:pPr>
        <w:pStyle w:val="BodyText2"/>
        <w:spacing w:before="60"/>
        <w:ind w:firstLine="720"/>
        <w:rPr>
          <w:lang w:val="sr-Cyrl-RS"/>
        </w:rPr>
      </w:pPr>
      <w:r>
        <w:rPr>
          <w:lang w:val="sr-Cyrl-RS"/>
        </w:rPr>
        <w:t>Према подацима Министарства одбране</w:t>
      </w:r>
      <w:r w:rsidR="00862AC9">
        <w:rPr>
          <w:lang w:val="sr-Cyrl-RS"/>
        </w:rPr>
        <w:t>,</w:t>
      </w:r>
      <w:r>
        <w:rPr>
          <w:lang w:val="sr-Cyrl-RS"/>
        </w:rPr>
        <w:t xml:space="preserve"> проценат заступљености жена на руководећим позицијама</w:t>
      </w:r>
      <w:r w:rsidR="007747AB">
        <w:rPr>
          <w:lang w:val="sr-Cyrl-RS"/>
        </w:rPr>
        <w:t xml:space="preserve"> и командним дужностима</w:t>
      </w:r>
      <w:r>
        <w:rPr>
          <w:lang w:val="sr-Cyrl-RS"/>
        </w:rPr>
        <w:t xml:space="preserve"> </w:t>
      </w:r>
      <w:r w:rsidR="007747AB">
        <w:rPr>
          <w:lang w:val="sr-Cyrl-RS"/>
        </w:rPr>
        <w:t xml:space="preserve">у Министарству одбране и Војсци Србије (у даљем тексту: МО и ВС) </w:t>
      </w:r>
      <w:r w:rsidR="00250186">
        <w:rPr>
          <w:lang w:val="sr-Cyrl-RS"/>
        </w:rPr>
        <w:t xml:space="preserve">је </w:t>
      </w:r>
      <w:r>
        <w:rPr>
          <w:lang w:val="sr-Cyrl-RS"/>
        </w:rPr>
        <w:t>у континуи</w:t>
      </w:r>
      <w:r w:rsidR="00250186">
        <w:rPr>
          <w:lang w:val="sr-Cyrl-RS"/>
        </w:rPr>
        <w:t>р</w:t>
      </w:r>
      <w:r>
        <w:rPr>
          <w:lang w:val="sr-Cyrl-RS"/>
        </w:rPr>
        <w:t xml:space="preserve">аном </w:t>
      </w:r>
      <w:r w:rsidR="00250186">
        <w:rPr>
          <w:lang w:val="sr-Cyrl-RS"/>
        </w:rPr>
        <w:t>п</w:t>
      </w:r>
      <w:r>
        <w:rPr>
          <w:lang w:val="sr-Cyrl-RS"/>
        </w:rPr>
        <w:t xml:space="preserve">орасту. Примера ради, на дан 31.12.2017. године проценат заступљености жена у </w:t>
      </w:r>
      <w:r w:rsidR="00862AC9">
        <w:rPr>
          <w:lang w:val="sr-Cyrl-RS"/>
        </w:rPr>
        <w:t>МО и ВС</w:t>
      </w:r>
      <w:r>
        <w:rPr>
          <w:lang w:val="sr-Cyrl-RS"/>
        </w:rPr>
        <w:t xml:space="preserve"> је износио 20,53%, а на дан 30.11.2018. године 21,02%, што представља повећање од </w:t>
      </w:r>
      <w:r w:rsidR="00862AC9">
        <w:rPr>
          <w:lang w:val="sr-Cyrl-RS"/>
        </w:rPr>
        <w:t xml:space="preserve">0,51%. Такође, проценат заступљености жена на руководећим </w:t>
      </w:r>
      <w:r w:rsidR="007747AB">
        <w:rPr>
          <w:lang w:val="sr-Cyrl-RS"/>
        </w:rPr>
        <w:t xml:space="preserve">позицијама </w:t>
      </w:r>
      <w:r w:rsidR="00862AC9">
        <w:rPr>
          <w:lang w:val="sr-Cyrl-RS"/>
        </w:rPr>
        <w:t>и командним</w:t>
      </w:r>
      <w:r w:rsidR="007747AB">
        <w:rPr>
          <w:lang w:val="sr-Cyrl-RS"/>
        </w:rPr>
        <w:t xml:space="preserve"> дужностима</w:t>
      </w:r>
      <w:r w:rsidR="00862AC9">
        <w:rPr>
          <w:lang w:val="sr-Cyrl-RS"/>
        </w:rPr>
        <w:t xml:space="preserve"> у М</w:t>
      </w:r>
      <w:r w:rsidR="003B792A">
        <w:rPr>
          <w:lang w:val="sr-Cyrl-RS"/>
        </w:rPr>
        <w:t>О</w:t>
      </w:r>
      <w:r w:rsidR="00862AC9">
        <w:rPr>
          <w:lang w:val="sr-Cyrl-RS"/>
        </w:rPr>
        <w:t xml:space="preserve"> и В</w:t>
      </w:r>
      <w:r w:rsidR="003B792A">
        <w:rPr>
          <w:lang w:val="sr-Cyrl-RS"/>
        </w:rPr>
        <w:t xml:space="preserve">С </w:t>
      </w:r>
      <w:r w:rsidR="00862AC9">
        <w:rPr>
          <w:lang w:val="sr-Cyrl-RS"/>
        </w:rPr>
        <w:t>је</w:t>
      </w:r>
      <w:r w:rsidR="00862AC9" w:rsidRPr="00862AC9">
        <w:rPr>
          <w:lang w:val="sr-Cyrl-RS"/>
        </w:rPr>
        <w:t xml:space="preserve"> </w:t>
      </w:r>
      <w:r w:rsidR="00862AC9">
        <w:rPr>
          <w:lang w:val="sr-Cyrl-RS"/>
        </w:rPr>
        <w:t xml:space="preserve">на дан 31.12.2017. године износио 5,77%, а на дан 30.11.2018. године 6,44%, што представља повећање од 1,33%. </w:t>
      </w:r>
    </w:p>
    <w:p w:rsidR="00862AC9" w:rsidRDefault="00862AC9" w:rsidP="004358A3">
      <w:pPr>
        <w:pStyle w:val="BodyText2"/>
        <w:spacing w:before="60"/>
        <w:ind w:firstLine="720"/>
        <w:rPr>
          <w:lang w:val="sr-Cyrl-RS"/>
        </w:rPr>
      </w:pPr>
      <w:r>
        <w:rPr>
          <w:lang w:val="sr-Cyrl-RS"/>
        </w:rPr>
        <w:lastRenderedPageBreak/>
        <w:t>Поред наведеног, према подацима Министарства одбране, у 2017. години је у мултинационалним операцијама (</w:t>
      </w:r>
      <w:r w:rsidR="00250186">
        <w:rPr>
          <w:lang w:val="sr-Cyrl-RS"/>
        </w:rPr>
        <w:t xml:space="preserve">у даљем тексту: </w:t>
      </w:r>
      <w:r>
        <w:rPr>
          <w:lang w:val="sr-Cyrl-RS"/>
        </w:rPr>
        <w:t>МнОп) укупно учествовало 656 лица од којих 579 мушкараца (88,3%), а 77 учесни</w:t>
      </w:r>
      <w:r w:rsidR="003B792A">
        <w:rPr>
          <w:lang w:val="sr-Cyrl-RS"/>
        </w:rPr>
        <w:t>ца</w:t>
      </w:r>
      <w:r>
        <w:rPr>
          <w:lang w:val="sr-Cyrl-RS"/>
        </w:rPr>
        <w:t xml:space="preserve"> мисије су биле жене (11,7%). Две припаднице МО и ВС су у МнОп биле на командним дужностима. Годину </w:t>
      </w:r>
      <w:r w:rsidR="002669A9">
        <w:rPr>
          <w:lang w:val="sr-Cyrl-RS"/>
        </w:rPr>
        <w:t xml:space="preserve">дана касније, у 2018. години </w:t>
      </w:r>
      <w:r>
        <w:rPr>
          <w:lang w:val="sr-Cyrl-RS"/>
        </w:rPr>
        <w:t>у МнОп је укупно учествовало 559 лица</w:t>
      </w:r>
      <w:r w:rsidR="003B792A">
        <w:rPr>
          <w:lang w:val="sr-Cyrl-RS"/>
        </w:rPr>
        <w:t>,</w:t>
      </w:r>
      <w:r>
        <w:rPr>
          <w:lang w:val="sr-Cyrl-RS"/>
        </w:rPr>
        <w:t xml:space="preserve"> од којих 480 мушкараца (85,9%), а 79 учесни</w:t>
      </w:r>
      <w:r w:rsidR="003B792A">
        <w:rPr>
          <w:lang w:val="sr-Cyrl-RS"/>
        </w:rPr>
        <w:t>ца</w:t>
      </w:r>
      <w:r>
        <w:rPr>
          <w:lang w:val="sr-Cyrl-RS"/>
        </w:rPr>
        <w:t xml:space="preserve"> мисије су биле жене (14,1</w:t>
      </w:r>
      <w:r w:rsidR="003B792A">
        <w:rPr>
          <w:lang w:val="sr-Cyrl-RS"/>
        </w:rPr>
        <w:t>%). Јед</w:t>
      </w:r>
      <w:r>
        <w:rPr>
          <w:lang w:val="sr-Cyrl-RS"/>
        </w:rPr>
        <w:t>на припадница МО и ВС је у МнОп била на командној дужности.</w:t>
      </w:r>
    </w:p>
    <w:p w:rsidR="00250186" w:rsidRDefault="00250186" w:rsidP="004358A3">
      <w:pPr>
        <w:pStyle w:val="BodyText2"/>
        <w:spacing w:before="60"/>
        <w:ind w:firstLine="720"/>
        <w:rPr>
          <w:lang w:val="sr-Cyrl-RS"/>
        </w:rPr>
      </w:pPr>
      <w:r>
        <w:rPr>
          <w:lang w:val="sr-Cyrl-RS"/>
        </w:rPr>
        <w:t>Министарство</w:t>
      </w:r>
      <w:r w:rsidR="00194B8A">
        <w:rPr>
          <w:lang w:val="sr-Cyrl-RS"/>
        </w:rPr>
        <w:t xml:space="preserve"> за рад, запошљавање, борачка и социјална питања</w:t>
      </w:r>
      <w:r>
        <w:rPr>
          <w:lang w:val="sr-Cyrl-RS"/>
        </w:rPr>
        <w:t xml:space="preserve"> сваке године објављује јавне конкурсе намењене економском оснаживању жена, а годишњи износ буџетских средстава намењен за ову сврху износи 3.000.000,00 </w:t>
      </w:r>
      <w:r w:rsidR="00194B8A">
        <w:rPr>
          <w:lang w:val="sr-Cyrl-RS"/>
        </w:rPr>
        <w:t>динара.</w:t>
      </w:r>
      <w:r>
        <w:rPr>
          <w:lang w:val="sr-Cyrl-RS"/>
        </w:rPr>
        <w:t xml:space="preserve"> </w:t>
      </w:r>
    </w:p>
    <w:p w:rsidR="00B37CBA" w:rsidRPr="00026514" w:rsidRDefault="00B37CBA" w:rsidP="004358A3">
      <w:pPr>
        <w:pStyle w:val="BodyText2"/>
        <w:spacing w:before="60"/>
        <w:ind w:firstLine="720"/>
        <w:rPr>
          <w:lang w:val="sr-Cyrl-RS"/>
        </w:rPr>
      </w:pPr>
      <w:r>
        <w:rPr>
          <w:lang w:val="sr-Cyrl-RS"/>
        </w:rPr>
        <w:t>Према подацима Покрајинског</w:t>
      </w:r>
      <w:r w:rsidRPr="00026514">
        <w:rPr>
          <w:lang w:val="sr-Cyrl-RS"/>
        </w:rPr>
        <w:t xml:space="preserve"> секретаријат</w:t>
      </w:r>
      <w:r w:rsidR="00EA425E">
        <w:rPr>
          <w:lang w:val="sr-Cyrl-RS"/>
        </w:rPr>
        <w:t>а</w:t>
      </w:r>
      <w:r w:rsidRPr="00026514">
        <w:rPr>
          <w:lang w:val="sr-Cyrl-RS"/>
        </w:rPr>
        <w:t xml:space="preserve"> за привреду, запошљавање и равноправност полова </w:t>
      </w:r>
      <w:r>
        <w:rPr>
          <w:lang w:val="sr-Cyrl-RS"/>
        </w:rPr>
        <w:t>АП Војводина, ка</w:t>
      </w:r>
      <w:r w:rsidRPr="00026514">
        <w:rPr>
          <w:lang w:val="sr-Cyrl-RS"/>
        </w:rPr>
        <w:t>да је у питању подршка удружењима грађана/удружењима жена у области родне равноправности за активности које су усмерене на унапређе</w:t>
      </w:r>
      <w:r>
        <w:rPr>
          <w:lang w:val="sr-Cyrl-RS"/>
        </w:rPr>
        <w:t xml:space="preserve">ње положаја жена у АП Војводини, </w:t>
      </w:r>
      <w:r w:rsidRPr="00026514">
        <w:rPr>
          <w:lang w:val="sr-Cyrl-RS"/>
        </w:rPr>
        <w:t xml:space="preserve">од јесени 2016. године до </w:t>
      </w:r>
      <w:r>
        <w:rPr>
          <w:lang w:val="sr-Cyrl-RS"/>
        </w:rPr>
        <w:t>2018. године</w:t>
      </w:r>
      <w:r w:rsidRPr="00026514">
        <w:rPr>
          <w:lang w:val="sr-Cyrl-RS"/>
        </w:rPr>
        <w:t xml:space="preserve"> објављена су три конкурса за доделу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у АП Војводини у укупном износу од 16.400.000,00 динара. На ова три конкурса подржано је укупно 100 удружења грађана, односно удружења жена са територије АП Војводине са њиховим пројектима из различитих области:</w:t>
      </w:r>
      <w:r>
        <w:rPr>
          <w:lang w:val="sr-Cyrl-RS"/>
        </w:rPr>
        <w:t xml:space="preserve"> о</w:t>
      </w:r>
      <w:r w:rsidRPr="00026514">
        <w:rPr>
          <w:lang w:val="sr-Cyrl-RS"/>
        </w:rPr>
        <w:t>рганизовање обука, едукација, скупова и других активности са циљем унапређења области равноправности полова;</w:t>
      </w:r>
      <w:r>
        <w:rPr>
          <w:lang w:val="sr-Cyrl-RS"/>
        </w:rPr>
        <w:t xml:space="preserve"> п</w:t>
      </w:r>
      <w:r w:rsidRPr="00026514">
        <w:rPr>
          <w:lang w:val="sr-Cyrl-RS"/>
        </w:rPr>
        <w:t>одршка пројектима којима се подстиче економско оснаживање и едукација жена;</w:t>
      </w:r>
      <w:r>
        <w:rPr>
          <w:lang w:val="sr-Cyrl-RS"/>
        </w:rPr>
        <w:t xml:space="preserve"> п</w:t>
      </w:r>
      <w:r w:rsidRPr="00026514">
        <w:rPr>
          <w:lang w:val="sr-Cyrl-RS"/>
        </w:rPr>
        <w:t>одршка пројектима који се баве превенцијом и сузбијањем насиља над женама;</w:t>
      </w:r>
      <w:r>
        <w:rPr>
          <w:lang w:val="sr-Cyrl-RS"/>
        </w:rPr>
        <w:t xml:space="preserve"> п</w:t>
      </w:r>
      <w:r w:rsidRPr="00026514">
        <w:rPr>
          <w:lang w:val="sr-Cyrl-RS"/>
        </w:rPr>
        <w:t>одршка пројектима и активностима којима се унапређује сарадња цивилног и јавног сектора у области равноправности полова;</w:t>
      </w:r>
      <w:r>
        <w:rPr>
          <w:lang w:val="sr-Cyrl-RS"/>
        </w:rPr>
        <w:t xml:space="preserve"> п</w:t>
      </w:r>
      <w:r w:rsidRPr="00026514">
        <w:rPr>
          <w:lang w:val="sr-Cyrl-RS"/>
        </w:rPr>
        <w:t>одршка пројектима и активностима којима се јача</w:t>
      </w:r>
      <w:r w:rsidR="00FA6EE7">
        <w:rPr>
          <w:lang w:val="sr-Cyrl-RS"/>
        </w:rPr>
        <w:t>ју капацитети удружења грађана/</w:t>
      </w:r>
      <w:r w:rsidRPr="00026514">
        <w:rPr>
          <w:lang w:val="sr-Cyrl-RS"/>
        </w:rPr>
        <w:t>удружења жена, нарочито удружења чији су програми усмерени на рањиве групе жена;</w:t>
      </w:r>
      <w:r>
        <w:rPr>
          <w:lang w:val="sr-Cyrl-RS"/>
        </w:rPr>
        <w:t xml:space="preserve"> п</w:t>
      </w:r>
      <w:r w:rsidRPr="00026514">
        <w:rPr>
          <w:lang w:val="sr-Cyrl-RS"/>
        </w:rPr>
        <w:t>одршка пројектима којима се афирмише женско</w:t>
      </w:r>
      <w:r>
        <w:rPr>
          <w:lang w:val="sr-Cyrl-RS"/>
        </w:rPr>
        <w:t xml:space="preserve"> стваралаштво. </w:t>
      </w:r>
      <w:r w:rsidRPr="00026514">
        <w:rPr>
          <w:lang w:val="sr-Cyrl-RS"/>
        </w:rPr>
        <w:t>Подршка</w:t>
      </w:r>
      <w:r w:rsidR="00250186">
        <w:rPr>
          <w:lang w:val="sr-Cyrl-RS"/>
        </w:rPr>
        <w:t xml:space="preserve"> се пружа</w:t>
      </w:r>
      <w:r w:rsidRPr="00026514">
        <w:rPr>
          <w:lang w:val="sr-Cyrl-RS"/>
        </w:rPr>
        <w:t xml:space="preserve"> пројектима којима се</w:t>
      </w:r>
      <w:r>
        <w:rPr>
          <w:lang w:val="sr-Cyrl-RS"/>
        </w:rPr>
        <w:t xml:space="preserve"> промовише родна </w:t>
      </w:r>
      <w:r w:rsidRPr="00026514">
        <w:rPr>
          <w:lang w:val="sr-Cyrl-RS"/>
        </w:rPr>
        <w:t>равноправност,</w:t>
      </w:r>
      <w:r w:rsidR="00250186">
        <w:rPr>
          <w:lang w:val="sr-Cyrl-RS"/>
        </w:rPr>
        <w:t xml:space="preserve"> а</w:t>
      </w:r>
      <w:r w:rsidRPr="00026514">
        <w:rPr>
          <w:lang w:val="sr-Cyrl-RS"/>
        </w:rPr>
        <w:t xml:space="preserve"> нарочито јавним акцијама и кампањама за подизање свести о теми родне равноправности, као и елиминисању предрасуда и стереотипа о улози жена и мушкараца у породици и друштву.</w:t>
      </w:r>
    </w:p>
    <w:p w:rsidR="00E16528" w:rsidRDefault="00B37CBA" w:rsidP="00E16528">
      <w:pPr>
        <w:pStyle w:val="BodyText2"/>
        <w:spacing w:before="60"/>
        <w:ind w:firstLine="720"/>
        <w:rPr>
          <w:lang w:val="sr-Cyrl-RS"/>
        </w:rPr>
      </w:pPr>
      <w:r w:rsidRPr="00026514">
        <w:rPr>
          <w:lang w:val="sr-Cyrl-RS"/>
        </w:rPr>
        <w:t>Осим наведеног</w:t>
      </w:r>
      <w:r w:rsidR="00194B8A">
        <w:rPr>
          <w:lang w:val="sr-Cyrl-RS"/>
        </w:rPr>
        <w:t>,</w:t>
      </w:r>
      <w:r w:rsidR="00FA6EE7">
        <w:rPr>
          <w:lang w:val="sr-Cyrl-RS"/>
        </w:rPr>
        <w:t xml:space="preserve"> </w:t>
      </w:r>
      <w:r w:rsidRPr="00026514">
        <w:rPr>
          <w:lang w:val="sr-Cyrl-RS"/>
        </w:rPr>
        <w:t>Покрајински секратаријат за социјалну политику, демографију и равноправност полова пружа подршку процесу увођења родног буџетирања у оквиру израде програмског буџета АП Војводине.</w:t>
      </w:r>
      <w:r>
        <w:rPr>
          <w:lang w:val="sr-Cyrl-RS"/>
        </w:rPr>
        <w:t xml:space="preserve"> </w:t>
      </w:r>
      <w:r w:rsidRPr="00026514">
        <w:rPr>
          <w:lang w:val="sr-Cyrl-RS"/>
        </w:rPr>
        <w:t xml:space="preserve">У складу са </w:t>
      </w:r>
      <w:r w:rsidRPr="004358A3">
        <w:rPr>
          <w:i/>
          <w:lang w:val="sr-Cyrl-RS"/>
        </w:rPr>
        <w:t>Законом о буџетском систему</w:t>
      </w:r>
      <w:r w:rsidRPr="00026514">
        <w:rPr>
          <w:lang w:val="sr-Cyrl-RS"/>
        </w:rPr>
        <w:t xml:space="preserve"> пружена је подршка у реализацији Плана поступног увођења родно одговорног буџетирања за кориснике средстава Аутономне покрајине Војводине и обезбеђена консултантска подршка стручњаки</w:t>
      </w:r>
      <w:r w:rsidR="00FA6EE7">
        <w:rPr>
          <w:lang w:val="sr-Cyrl-RS"/>
        </w:rPr>
        <w:t xml:space="preserve">ња у области родног буџетирања. </w:t>
      </w:r>
      <w:r w:rsidRPr="00026514">
        <w:rPr>
          <w:lang w:val="sr-Cyrl-RS"/>
        </w:rPr>
        <w:t>Секретаријат је учествовао у организацији и реализацији радионица за кориснике буџетских средстава са циљем подршке у припреми родних индикатора.</w:t>
      </w:r>
    </w:p>
    <w:p w:rsidR="00EA425E" w:rsidRDefault="00EA425E" w:rsidP="00E16528">
      <w:pPr>
        <w:pStyle w:val="BodyText2"/>
        <w:spacing w:before="60"/>
        <w:ind w:firstLine="720"/>
        <w:rPr>
          <w:lang w:val="sr-Cyrl-RS"/>
        </w:rPr>
      </w:pPr>
      <w:r w:rsidRPr="006A5487">
        <w:rPr>
          <w:lang w:val="sr-Cyrl-RS"/>
        </w:rPr>
        <w:t>Такође, значајно место у области родне равноправности у Војводини има Покрајински завод за равноправност полова, који је у 2018. години реализовао бројне промотивне активности,</w:t>
      </w:r>
      <w:r w:rsidR="006A5487" w:rsidRPr="006A5487">
        <w:rPr>
          <w:lang w:val="sr-Cyrl-RS"/>
        </w:rPr>
        <w:t xml:space="preserve"> попут: </w:t>
      </w:r>
      <w:r w:rsidRPr="006A5487">
        <w:rPr>
          <w:lang w:val="sr-Cyrl-RS"/>
        </w:rPr>
        <w:t xml:space="preserve"> три округла стола под називом „Женино здравље је њена снага“, промоциј</w:t>
      </w:r>
      <w:r w:rsidR="006A5487" w:rsidRPr="006A5487">
        <w:rPr>
          <w:lang w:val="sr-Cyrl-RS"/>
        </w:rPr>
        <w:t>у</w:t>
      </w:r>
      <w:r w:rsidRPr="006A5487">
        <w:rPr>
          <w:lang w:val="sr-Cyrl-RS"/>
        </w:rPr>
        <w:t xml:space="preserve"> књиге Стојанке Лекић под називом</w:t>
      </w:r>
      <w:r w:rsidR="006A5487" w:rsidRPr="006A5487">
        <w:rPr>
          <w:lang w:val="sr-Cyrl-RS"/>
        </w:rPr>
        <w:t>:</w:t>
      </w:r>
      <w:r w:rsidRPr="006A5487">
        <w:rPr>
          <w:lang w:val="sr-Cyrl-RS"/>
        </w:rPr>
        <w:t xml:space="preserve"> „Знамените жене Великог Бечкерека</w:t>
      </w:r>
      <w:r w:rsidR="006A5487" w:rsidRPr="006A5487">
        <w:rPr>
          <w:lang w:val="sr-Cyrl-RS"/>
        </w:rPr>
        <w:t xml:space="preserve"> –</w:t>
      </w:r>
      <w:r w:rsidRPr="006A5487">
        <w:rPr>
          <w:lang w:val="sr-Cyrl-RS"/>
        </w:rPr>
        <w:t xml:space="preserve"> Петровграда</w:t>
      </w:r>
      <w:r w:rsidR="006A5487" w:rsidRPr="006A5487">
        <w:rPr>
          <w:lang w:val="sr-Cyrl-RS"/>
        </w:rPr>
        <w:t xml:space="preserve"> </w:t>
      </w:r>
      <w:r w:rsidR="00FA6EE7" w:rsidRPr="006A5487">
        <w:rPr>
          <w:lang w:val="sr-Cyrl-RS"/>
        </w:rPr>
        <w:t xml:space="preserve">– </w:t>
      </w:r>
      <w:r w:rsidR="00FA6EE7">
        <w:rPr>
          <w:lang w:val="sr-Cyrl-RS"/>
        </w:rPr>
        <w:t xml:space="preserve"> </w:t>
      </w:r>
      <w:r w:rsidRPr="006A5487">
        <w:rPr>
          <w:lang w:val="sr-Cyrl-RS"/>
        </w:rPr>
        <w:t xml:space="preserve">Зрењанина до половине </w:t>
      </w:r>
      <w:r w:rsidRPr="006A5487">
        <w:rPr>
          <w:lang w:val="sr-Latn-RS"/>
        </w:rPr>
        <w:t>XX</w:t>
      </w:r>
      <w:r w:rsidRPr="006A5487">
        <w:rPr>
          <w:lang w:val="sr-Cyrl-RS"/>
        </w:rPr>
        <w:t xml:space="preserve"> века“</w:t>
      </w:r>
      <w:r w:rsidRPr="006A5487">
        <w:rPr>
          <w:lang w:val="sr-Latn-RS"/>
        </w:rPr>
        <w:t>. У Новом Бечеју и Бачкој Паланци одржане су изложбе предузетничлких вештина жена села,</w:t>
      </w:r>
      <w:r w:rsidRPr="006A5487">
        <w:rPr>
          <w:lang w:val="sr-Cyrl-RS"/>
        </w:rPr>
        <w:t xml:space="preserve"> а поводом обележавања 15. октобра </w:t>
      </w:r>
      <w:r w:rsidR="006A5487" w:rsidRPr="006A5487">
        <w:rPr>
          <w:lang w:val="sr-Cyrl-RS"/>
        </w:rPr>
        <w:t xml:space="preserve">2018. године </w:t>
      </w:r>
      <w:r w:rsidRPr="006A5487">
        <w:rPr>
          <w:lang w:val="sr-Cyrl-RS"/>
        </w:rPr>
        <w:t xml:space="preserve">– Међународног дана сеоских жена, Завод за равноправност полова је </w:t>
      </w:r>
      <w:r w:rsidR="006A5487" w:rsidRPr="006A5487">
        <w:rPr>
          <w:lang w:val="sr-Cyrl-RS"/>
        </w:rPr>
        <w:t>реализовао</w:t>
      </w:r>
      <w:r w:rsidRPr="006A5487">
        <w:rPr>
          <w:lang w:val="sr-Cyrl-RS"/>
        </w:rPr>
        <w:t xml:space="preserve"> </w:t>
      </w:r>
      <w:r w:rsidR="006A5487" w:rsidRPr="006A5487">
        <w:rPr>
          <w:lang w:val="sr-Cyrl-RS"/>
        </w:rPr>
        <w:t xml:space="preserve">и </w:t>
      </w:r>
      <w:r w:rsidRPr="006A5487">
        <w:rPr>
          <w:lang w:val="sr-Cyrl-RS"/>
        </w:rPr>
        <w:t>јубиларни, десети по реду</w:t>
      </w:r>
      <w:r w:rsidR="00FA6EE7">
        <w:rPr>
          <w:lang w:val="sr-Cyrl-RS"/>
        </w:rPr>
        <w:t>,</w:t>
      </w:r>
      <w:r w:rsidRPr="006A5487">
        <w:rPr>
          <w:lang w:val="sr-Cyrl-RS"/>
        </w:rPr>
        <w:t xml:space="preserve"> Сајам стваралаштва сеоских жена</w:t>
      </w:r>
      <w:r w:rsidRPr="006A5487">
        <w:rPr>
          <w:lang w:val="sr-Latn-RS"/>
        </w:rPr>
        <w:t xml:space="preserve"> </w:t>
      </w:r>
      <w:r w:rsidRPr="006A5487">
        <w:rPr>
          <w:lang w:val="sr-Cyrl-RS"/>
        </w:rPr>
        <w:t>у Војводини</w:t>
      </w:r>
      <w:r w:rsidR="00FA6EE7">
        <w:rPr>
          <w:lang w:val="sr-Cyrl-RS"/>
        </w:rPr>
        <w:t>.</w:t>
      </w:r>
      <w:r w:rsidRPr="006A5487">
        <w:rPr>
          <w:lang w:val="sr-Cyrl-RS"/>
        </w:rPr>
        <w:t xml:space="preserve"> Изузев програмских активности, Покрајински завод спроводи и подстицајне активности у виду конкурса и то: Конкурс за доделу бесповратних средстава</w:t>
      </w:r>
      <w:r w:rsidRPr="006A5487">
        <w:rPr>
          <w:lang w:val="ru-RU"/>
        </w:rPr>
        <w:t xml:space="preserve"> </w:t>
      </w:r>
      <w:r w:rsidRPr="006A5487">
        <w:rPr>
          <w:lang w:val="sr-Cyrl-RS"/>
        </w:rPr>
        <w:t xml:space="preserve">удружењима грађана/удружењима жена за финансирање пројеката у области равноправности полова са циљем унапређења положаја жена припадница националних мањина на територији АП Војводине, Конкурс за доделу бесповратних средстава брачним паровима на територији АП Војводине за куповину сеоских кућа са окућницом, Јавни конкурс за доделу бесповратних средстава </w:t>
      </w:r>
      <w:r w:rsidRPr="006A5487">
        <w:rPr>
          <w:lang w:val="sr-Cyrl-RS"/>
        </w:rPr>
        <w:lastRenderedPageBreak/>
        <w:t>маркетиншким и консултантским агенцијама за промоцију производа жена предузетница, Конкурс за унапређење родне равношраности на територији АП Војводине.</w:t>
      </w:r>
      <w:r w:rsidR="006A5487" w:rsidRPr="006A5487">
        <w:rPr>
          <w:lang w:val="sr-Cyrl-RS"/>
        </w:rPr>
        <w:t xml:space="preserve"> </w:t>
      </w:r>
      <w:r w:rsidRPr="006A5487">
        <w:rPr>
          <w:lang w:val="sr-Cyrl-RS"/>
        </w:rPr>
        <w:t>Када је у питању издавачка делатност Покрајински завод за равноправност полова важно је поменутиафирмише стручне и научне литературе о родној равноправности. С тим у ве</w:t>
      </w:r>
      <w:r w:rsidR="00FA6EE7">
        <w:rPr>
          <w:lang w:val="sr-Cyrl-RS"/>
        </w:rPr>
        <w:t>зи у 2018. години објављена су три</w:t>
      </w:r>
      <w:r w:rsidRPr="006A5487">
        <w:rPr>
          <w:lang w:val="sr-Cyrl-RS"/>
        </w:rPr>
        <w:t xml:space="preserve"> рада у тиражу од 300 примерак</w:t>
      </w:r>
      <w:r w:rsidR="00FA6EE7">
        <w:rPr>
          <w:lang w:val="sr-Cyrl-RS"/>
        </w:rPr>
        <w:t xml:space="preserve">а и то: рад Браниславе Јовичић  под називом: </w:t>
      </w:r>
      <w:r w:rsidRPr="006A5487">
        <w:rPr>
          <w:lang w:val="sr-Cyrl-RS"/>
        </w:rPr>
        <w:t xml:space="preserve">,,Жене у одрживој енергетици, климатским променама и заштити животне средине – Лидерство за </w:t>
      </w:r>
      <w:r w:rsidR="00FA6EE7">
        <w:rPr>
          <w:lang w:val="sr-Cyrl-RS"/>
        </w:rPr>
        <w:t>промену“; рад Милице Тодоровић</w:t>
      </w:r>
      <w:r w:rsidRPr="006A5487">
        <w:rPr>
          <w:lang w:val="sr-Cyrl-RS"/>
        </w:rPr>
        <w:t xml:space="preserve"> ,,Значај родне опредељености програма буџета у</w:t>
      </w:r>
      <w:r w:rsidR="00FA6EE7">
        <w:rPr>
          <w:lang w:val="sr-Cyrl-RS"/>
        </w:rPr>
        <w:t xml:space="preserve"> Србији“; и рад Милене Дујовић</w:t>
      </w:r>
      <w:r w:rsidRPr="006A5487">
        <w:rPr>
          <w:lang w:val="sr-Cyrl-RS"/>
        </w:rPr>
        <w:t xml:space="preserve"> ,,Развој људских ресурса са аспекта родне равноправности“.</w:t>
      </w:r>
    </w:p>
    <w:p w:rsidR="00A35900" w:rsidRPr="00B85A38" w:rsidRDefault="00A35900" w:rsidP="00A35900">
      <w:pPr>
        <w:pStyle w:val="BodyText2"/>
        <w:spacing w:before="60"/>
        <w:ind w:firstLine="709"/>
        <w:rPr>
          <w:lang w:val="sr-Cyrl-RS"/>
        </w:rPr>
      </w:pPr>
      <w:r w:rsidRPr="00B85A38">
        <w:rPr>
          <w:lang w:val="sr-Cyrl-RS"/>
        </w:rPr>
        <w:t>Према подацима Покрајинског завода за равноправност полова</w:t>
      </w:r>
      <w:r w:rsidRPr="00B85A38">
        <w:rPr>
          <w:b/>
          <w:lang w:val="sr-Cyrl-RS"/>
        </w:rPr>
        <w:t xml:space="preserve"> </w:t>
      </w:r>
      <w:r w:rsidRPr="00B85A38">
        <w:rPr>
          <w:lang w:val="sr-Cyrl-RS"/>
        </w:rPr>
        <w:t>посебно истичемо да поменути завод у оквиру својих програма спроводи политику једнаких могућности путем истраживачких, едукативних, промотивних и подстицајних програма у области равноправности полова као и кроз јединствену издавачку делатност. Када су у питању истраживачке делатности, у оквиру спровођења реформе јавних финансија започет је процес унапређења програмског модела буџета кроз увођење родно одговорног буџетирања у буџетски процес на свим нивоима власти. С обзиром на законску надлежних органи локалне власти да на годишњем новоу донесу план за увођење родно одговорног буџетирања као, родно одговоран циљ као и индикаторе за мерење доприноса циља унапређењу равноправности полова, Покрајински завод за равноправност полова је спровео родну анализу програма и буџета 29 локалних самоуправа у Војводини. Резултати истраживања су показали да представници институција и установа нису упознати са практичном применом родно одговорног буџетирања</w:t>
      </w:r>
      <w:r w:rsidR="00FA6EE7">
        <w:rPr>
          <w:lang w:val="sr-Cyrl-RS"/>
        </w:rPr>
        <w:t>,</w:t>
      </w:r>
      <w:r w:rsidRPr="00B85A38">
        <w:rPr>
          <w:lang w:val="sr-Cyrl-RS"/>
        </w:rPr>
        <w:t xml:space="preserve"> али да се баве питањем родне равноправности на различите начине што је добар основ за развој родно одговорног буџетирања. Осим наведеног</w:t>
      </w:r>
      <w:r w:rsidRPr="00B85A38">
        <w:rPr>
          <w:lang w:val="sr-Latn-RS"/>
        </w:rPr>
        <w:t>,</w:t>
      </w:r>
      <w:r w:rsidRPr="00B85A38">
        <w:rPr>
          <w:lang w:val="sr-Cyrl-RS"/>
        </w:rPr>
        <w:t xml:space="preserve"> Покрајински завод за равноправност полова</w:t>
      </w:r>
      <w:r w:rsidRPr="00B85A38">
        <w:rPr>
          <w:b/>
          <w:lang w:val="sr-Cyrl-RS"/>
        </w:rPr>
        <w:t xml:space="preserve"> </w:t>
      </w:r>
      <w:r w:rsidRPr="00B85A38">
        <w:rPr>
          <w:lang w:val="sr-Cyrl-RS"/>
        </w:rPr>
        <w:t>спроводи низ програмских активности као што је оснивање Академије вештина у циљу окупљања мушкараца и жена који хоће да започну сопствени бизнис, затим спроведена је и обука под називом</w:t>
      </w:r>
      <w:r w:rsidR="00FA6EE7">
        <w:rPr>
          <w:lang w:val="sr-Cyrl-RS"/>
        </w:rPr>
        <w:t>:</w:t>
      </w:r>
      <w:r w:rsidRPr="00B85A38">
        <w:rPr>
          <w:lang w:val="sr-Cyrl-RS"/>
        </w:rPr>
        <w:t xml:space="preserve"> „Родно одговорно буџетирање у локалној самоуправи“ у 12 локалних самоуправа у циљу уппознавања са принципима родно одговорног буџетирања. </w:t>
      </w:r>
    </w:p>
    <w:p w:rsidR="00B37CBA" w:rsidRPr="00E16528" w:rsidRDefault="00E16528" w:rsidP="00E16528">
      <w:pPr>
        <w:pStyle w:val="BodyText2"/>
        <w:spacing w:before="60"/>
        <w:ind w:firstLine="720"/>
        <w:rPr>
          <w:lang w:val="sr-Cyrl-RS"/>
        </w:rPr>
      </w:pPr>
      <w:r w:rsidRPr="006A5487">
        <w:rPr>
          <w:lang w:val="sr-Cyrl-RS"/>
        </w:rPr>
        <w:t xml:space="preserve">Чланом 39. </w:t>
      </w:r>
      <w:r w:rsidRPr="006A5487">
        <w:rPr>
          <w:i/>
          <w:lang w:val="sr-Cyrl-RS"/>
        </w:rPr>
        <w:t>Закона о равноправности полова</w:t>
      </w:r>
      <w:r w:rsidRPr="006A5487">
        <w:rPr>
          <w:lang w:val="sr-Cyrl-RS"/>
        </w:rPr>
        <w:t xml:space="preserve"> </w:t>
      </w:r>
      <w:r w:rsidRPr="00E16528">
        <w:rPr>
          <w:lang w:val="sr-Cyrl-RS"/>
        </w:rPr>
        <w:t xml:space="preserve">предвиђене су обавезе органа јединица локалне самоуправе у спровођењу </w:t>
      </w:r>
      <w:r>
        <w:rPr>
          <w:lang w:val="sr-Cyrl-RS"/>
        </w:rPr>
        <w:t>политика родне равноправности и једнаких могућности. Такође, у члану 39. став 4. предвиђено је да се у органи</w:t>
      </w:r>
      <w:r w:rsidR="00B1586C">
        <w:rPr>
          <w:lang w:val="sr-Cyrl-RS"/>
        </w:rPr>
        <w:t xml:space="preserve">ма јединица локалних самоуправа актом о унутрашњој организацији и систематизацији радних места </w:t>
      </w:r>
      <w:r>
        <w:rPr>
          <w:lang w:val="sr-Cyrl-RS"/>
        </w:rPr>
        <w:t xml:space="preserve">образује стално радно тело </w:t>
      </w:r>
      <w:r w:rsidR="00B1586C">
        <w:rPr>
          <w:lang w:val="sr-Cyrl-RS"/>
        </w:rPr>
        <w:t xml:space="preserve">или одреди запослени за родну равноправност и обављање послова остваривања једнаких могућности. У вези са наведеним, према подацима Министарства </w:t>
      </w:r>
      <w:r w:rsidR="0072028B">
        <w:rPr>
          <w:lang w:val="sr-Cyrl-RS"/>
        </w:rPr>
        <w:t xml:space="preserve">за рад, запошља ваење, борачка и социјална питања </w:t>
      </w:r>
      <w:r w:rsidR="00EB4F89">
        <w:rPr>
          <w:lang w:val="sr-Cyrl-RS"/>
        </w:rPr>
        <w:t>у</w:t>
      </w:r>
      <w:r w:rsidR="00B1586C">
        <w:rPr>
          <w:lang w:val="sr-Cyrl-RS"/>
        </w:rPr>
        <w:t xml:space="preserve"> 145 ј</w:t>
      </w:r>
      <w:r w:rsidR="00FA6EE7">
        <w:rPr>
          <w:lang w:val="sr-Cyrl-RS"/>
        </w:rPr>
        <w:t>единица локалних самоуправа у Републици</w:t>
      </w:r>
      <w:r w:rsidR="00B1586C">
        <w:rPr>
          <w:lang w:val="sr-Cyrl-RS"/>
        </w:rPr>
        <w:t xml:space="preserve"> Србији</w:t>
      </w:r>
      <w:r w:rsidR="0028577D">
        <w:rPr>
          <w:lang w:val="sr-Cyrl-RS"/>
        </w:rPr>
        <w:t xml:space="preserve"> (без Косова и Метохије) и 25 градова, што</w:t>
      </w:r>
      <w:r w:rsidR="00EB4F89">
        <w:rPr>
          <w:lang w:val="sr-Cyrl-RS"/>
        </w:rPr>
        <w:t xml:space="preserve"> са </w:t>
      </w:r>
      <w:r w:rsidR="0028577D">
        <w:rPr>
          <w:lang w:val="sr-Cyrl-RS"/>
        </w:rPr>
        <w:t>градским општинама укупно чини 170</w:t>
      </w:r>
      <w:r w:rsidR="00EB4F89">
        <w:rPr>
          <w:lang w:val="sr-Cyrl-RS"/>
        </w:rPr>
        <w:t xml:space="preserve"> </w:t>
      </w:r>
      <w:r w:rsidR="007C2C4D">
        <w:rPr>
          <w:lang w:val="sr-Cyrl-RS"/>
        </w:rPr>
        <w:t>л</w:t>
      </w:r>
      <w:r w:rsidR="00EB4F89">
        <w:rPr>
          <w:lang w:val="sr-Cyrl-RS"/>
        </w:rPr>
        <w:t>окалних самоуправа</w:t>
      </w:r>
      <w:r w:rsidR="0028577D">
        <w:rPr>
          <w:lang w:val="sr-Cyrl-RS"/>
        </w:rPr>
        <w:t xml:space="preserve"> (без Косова и Метохије</w:t>
      </w:r>
      <w:r w:rsidR="007C2C4D">
        <w:rPr>
          <w:lang w:val="sr-Cyrl-RS"/>
        </w:rPr>
        <w:t>)</w:t>
      </w:r>
      <w:r w:rsidR="00EB4F89">
        <w:rPr>
          <w:lang w:val="sr-Cyrl-RS"/>
        </w:rPr>
        <w:t xml:space="preserve"> које су анкетиран</w:t>
      </w:r>
      <w:r w:rsidR="007C2C4D">
        <w:rPr>
          <w:lang w:val="sr-Cyrl-RS"/>
        </w:rPr>
        <w:t>е</w:t>
      </w:r>
      <w:r w:rsidR="00EB4F89">
        <w:rPr>
          <w:lang w:val="sr-Cyrl-RS"/>
        </w:rPr>
        <w:t xml:space="preserve"> у 2018. години</w:t>
      </w:r>
      <w:r w:rsidR="0072028B">
        <w:rPr>
          <w:lang w:val="sr-Cyrl-RS"/>
        </w:rPr>
        <w:t xml:space="preserve"> од стране наведеног министарства, </w:t>
      </w:r>
      <w:r w:rsidR="00EB4F89">
        <w:rPr>
          <w:lang w:val="sr-Cyrl-RS"/>
        </w:rPr>
        <w:t>има 97 успостављен</w:t>
      </w:r>
      <w:r w:rsidR="0072028B">
        <w:rPr>
          <w:lang w:val="sr-Cyrl-RS"/>
        </w:rPr>
        <w:t>их</w:t>
      </w:r>
      <w:r w:rsidR="00EB4F89">
        <w:rPr>
          <w:lang w:val="sr-Cyrl-RS"/>
        </w:rPr>
        <w:t xml:space="preserve"> сталн</w:t>
      </w:r>
      <w:r w:rsidR="0072028B">
        <w:rPr>
          <w:lang w:val="sr-Cyrl-RS"/>
        </w:rPr>
        <w:t>их</w:t>
      </w:r>
      <w:r w:rsidR="00EB4F89">
        <w:rPr>
          <w:lang w:val="sr-Cyrl-RS"/>
        </w:rPr>
        <w:t xml:space="preserve"> тела за родну равноправност, као и 106 контакт особа</w:t>
      </w:r>
      <w:r w:rsidR="0072028B">
        <w:rPr>
          <w:lang w:val="sr-Cyrl-RS"/>
        </w:rPr>
        <w:t>,</w:t>
      </w:r>
      <w:r w:rsidR="00EB4F89">
        <w:rPr>
          <w:lang w:val="sr-Cyrl-RS"/>
        </w:rPr>
        <w:t xml:space="preserve"> односно запослених који су задужени за родну равноправност и обављање послова остваривања једнаких могућности. На нивоу јединица локалних самоуправа има</w:t>
      </w:r>
      <w:r w:rsidR="0072028B">
        <w:rPr>
          <w:lang w:val="sr-Cyrl-RS"/>
        </w:rPr>
        <w:t xml:space="preserve"> и</w:t>
      </w:r>
      <w:r w:rsidR="00EB4F89">
        <w:rPr>
          <w:lang w:val="sr-Cyrl-RS"/>
        </w:rPr>
        <w:t xml:space="preserve"> 34 донетих локалних </w:t>
      </w:r>
      <w:r w:rsidR="00F11291">
        <w:rPr>
          <w:lang w:val="sr-Cyrl-RS"/>
        </w:rPr>
        <w:t xml:space="preserve">акционих </w:t>
      </w:r>
      <w:r w:rsidR="00EB4F89">
        <w:rPr>
          <w:lang w:val="sr-Cyrl-RS"/>
        </w:rPr>
        <w:t>планова за остваривање политике родне равноправности</w:t>
      </w:r>
      <w:r w:rsidR="00F11291">
        <w:rPr>
          <w:lang w:val="sr-Cyrl-RS"/>
        </w:rPr>
        <w:t xml:space="preserve"> (ЛАП)</w:t>
      </w:r>
      <w:r w:rsidR="00EB4F89">
        <w:rPr>
          <w:lang w:val="sr-Cyrl-RS"/>
        </w:rPr>
        <w:t xml:space="preserve">, </w:t>
      </w:r>
      <w:r w:rsidR="00F11291">
        <w:rPr>
          <w:lang w:val="sr-Cyrl-RS"/>
        </w:rPr>
        <w:t>а на основу Европске повеље о родној равноправности на локал</w:t>
      </w:r>
      <w:r w:rsidR="00FA6EE7">
        <w:rPr>
          <w:lang w:val="sr-Cyrl-RS"/>
        </w:rPr>
        <w:t>ном нивоу у Републици</w:t>
      </w:r>
      <w:r w:rsidR="00F11291">
        <w:rPr>
          <w:lang w:val="sr-Cyrl-RS"/>
        </w:rPr>
        <w:t xml:space="preserve"> Србији има </w:t>
      </w:r>
      <w:r w:rsidR="00EB4F89">
        <w:rPr>
          <w:lang w:val="sr-Cyrl-RS"/>
        </w:rPr>
        <w:t xml:space="preserve">45 </w:t>
      </w:r>
      <w:r w:rsidR="0072028B">
        <w:rPr>
          <w:lang w:val="sr-Cyrl-RS"/>
        </w:rPr>
        <w:t xml:space="preserve">потписаних </w:t>
      </w:r>
      <w:r w:rsidR="00EB4F89">
        <w:rPr>
          <w:lang w:val="sr-Cyrl-RS"/>
        </w:rPr>
        <w:t>повеља којима је регулисана примена политика родне равноправности и једнаких могућности</w:t>
      </w:r>
      <w:r w:rsidR="0072028B">
        <w:rPr>
          <w:lang w:val="sr-Cyrl-RS"/>
        </w:rPr>
        <w:t xml:space="preserve"> </w:t>
      </w:r>
      <w:r w:rsidR="007C2C4D">
        <w:rPr>
          <w:lang w:val="sr-Cyrl-RS"/>
        </w:rPr>
        <w:t xml:space="preserve"> уз укључивање свих надлежних актера </w:t>
      </w:r>
      <w:r w:rsidR="0072028B">
        <w:rPr>
          <w:lang w:val="sr-Cyrl-RS"/>
        </w:rPr>
        <w:t>на локалном нивоу</w:t>
      </w:r>
      <w:r w:rsidR="007C2C4D">
        <w:rPr>
          <w:lang w:val="sr-Cyrl-RS"/>
        </w:rPr>
        <w:t>, укључујући и организације цивилног друштва. Ипак, чињеница је да се питања родне равноправности на локалном нивоу различито уређују (статут, одлуке, уредбе и сл), због недевољно јасне регулативе у вези механизама родне равноправности и описа послова запослених надлежних за родну равноправност и обављање послова остваривања једнаких могућности. Посебно нису довољно разграничена надел</w:t>
      </w:r>
      <w:r w:rsidR="00E642CA">
        <w:rPr>
          <w:lang w:val="sr-Cyrl-RS"/>
        </w:rPr>
        <w:t>еж</w:t>
      </w:r>
      <w:r w:rsidR="007C2C4D">
        <w:rPr>
          <w:lang w:val="sr-Cyrl-RS"/>
        </w:rPr>
        <w:t xml:space="preserve">ности механизама и тела који се образују у области родне равноправности у скупштинским и извршним органима на локалу и њихова вертикална </w:t>
      </w:r>
      <w:r w:rsidR="007C2C4D">
        <w:rPr>
          <w:lang w:val="sr-Cyrl-RS"/>
        </w:rPr>
        <w:lastRenderedPageBreak/>
        <w:t>повезаност са одговарајућим телима и механизмима на покр</w:t>
      </w:r>
      <w:r w:rsidR="00E642CA">
        <w:rPr>
          <w:lang w:val="sr-Cyrl-RS"/>
        </w:rPr>
        <w:t>а</w:t>
      </w:r>
      <w:r w:rsidR="007C2C4D">
        <w:rPr>
          <w:lang w:val="sr-Cyrl-RS"/>
        </w:rPr>
        <w:t>јинском, односно републичком нивоу.</w:t>
      </w:r>
    </w:p>
    <w:p w:rsidR="00E16528" w:rsidRPr="00C70F5E" w:rsidRDefault="00E16528" w:rsidP="00E16528">
      <w:pPr>
        <w:spacing w:before="100" w:beforeAutospacing="1"/>
        <w:jc w:val="both"/>
        <w:rPr>
          <w:sz w:val="16"/>
          <w:szCs w:val="16"/>
          <w:lang w:val="sr-Cyrl-RS"/>
        </w:rPr>
      </w:pPr>
    </w:p>
    <w:p w:rsidR="0071374A" w:rsidRPr="000F1892" w:rsidRDefault="0071374A" w:rsidP="004358A3">
      <w:pPr>
        <w:pStyle w:val="BodyText2"/>
        <w:spacing w:before="60"/>
        <w:ind w:firstLine="720"/>
        <w:jc w:val="center"/>
        <w:rPr>
          <w:b/>
          <w:lang w:val="sr-Cyrl-RS"/>
        </w:rPr>
      </w:pPr>
      <w:r w:rsidRPr="000F1892">
        <w:rPr>
          <w:b/>
          <w:lang w:val="sr-Latn-RS"/>
        </w:rPr>
        <w:t xml:space="preserve">VI </w:t>
      </w:r>
      <w:r w:rsidRPr="000F1892">
        <w:rPr>
          <w:b/>
          <w:lang w:val="sr-Cyrl-RS"/>
        </w:rPr>
        <w:t>СУДСКА ЗАШТИТА</w:t>
      </w:r>
    </w:p>
    <w:p w:rsidR="0071374A" w:rsidRDefault="0071374A" w:rsidP="004358A3">
      <w:pPr>
        <w:pStyle w:val="BodyText2"/>
        <w:spacing w:before="60"/>
        <w:rPr>
          <w:lang w:val="sr-Cyrl-RS"/>
        </w:rPr>
      </w:pPr>
    </w:p>
    <w:p w:rsidR="0071374A" w:rsidRPr="000E0F45" w:rsidRDefault="00242D95" w:rsidP="004358A3">
      <w:pPr>
        <w:pStyle w:val="BodyText2"/>
        <w:spacing w:before="60"/>
        <w:ind w:firstLine="720"/>
        <w:rPr>
          <w:i/>
          <w:iCs/>
          <w:lang w:val="sr-Cyrl-RS"/>
        </w:rPr>
      </w:pPr>
      <w:r>
        <w:rPr>
          <w:lang w:val="sr-Cyrl-RS"/>
        </w:rPr>
        <w:t xml:space="preserve">У шестом поглављу </w:t>
      </w:r>
      <w:r w:rsidR="0071374A" w:rsidRPr="00CC5D73">
        <w:rPr>
          <w:i/>
          <w:lang w:val="sr-Cyrl-RS"/>
        </w:rPr>
        <w:t>Закона о равноправности полова</w:t>
      </w:r>
      <w:r>
        <w:rPr>
          <w:lang w:val="sr-Cyrl-RS"/>
        </w:rPr>
        <w:t xml:space="preserve"> регулисана је судска заштита од дискриминације на основу </w:t>
      </w:r>
      <w:r w:rsidR="00CC5D73">
        <w:rPr>
          <w:lang w:val="sr-Cyrl-RS"/>
        </w:rPr>
        <w:t>пола</w:t>
      </w:r>
      <w:r w:rsidR="000E0F45">
        <w:rPr>
          <w:lang w:val="sr-Latn-RS"/>
        </w:rPr>
        <w:t xml:space="preserve"> (</w:t>
      </w:r>
      <w:r w:rsidR="000E0F45">
        <w:rPr>
          <w:lang w:val="sr-Cyrl-RS"/>
        </w:rPr>
        <w:t>чл.</w:t>
      </w:r>
      <w:r w:rsidR="00CC5D73">
        <w:rPr>
          <w:lang w:val="sr-Cyrl-RS"/>
        </w:rPr>
        <w:t xml:space="preserve"> </w:t>
      </w:r>
      <w:r w:rsidR="000E0F45">
        <w:rPr>
          <w:lang w:val="sr-Cyrl-RS"/>
        </w:rPr>
        <w:t>43-45)</w:t>
      </w:r>
      <w:r>
        <w:rPr>
          <w:lang w:val="sr-Cyrl-RS"/>
        </w:rPr>
        <w:t>. Према овом закону, грађанскоправна заштита од дискриминације</w:t>
      </w:r>
      <w:r w:rsidR="000E0F45">
        <w:rPr>
          <w:lang w:val="sr-Cyrl-RS"/>
        </w:rPr>
        <w:t xml:space="preserve"> на основу пола</w:t>
      </w:r>
      <w:r>
        <w:rPr>
          <w:lang w:val="sr-Cyrl-RS"/>
        </w:rPr>
        <w:t xml:space="preserve"> покреће</w:t>
      </w:r>
      <w:r w:rsidR="000E0F45">
        <w:rPr>
          <w:lang w:val="sr-Cyrl-RS"/>
        </w:rPr>
        <w:t xml:space="preserve"> се</w:t>
      </w:r>
      <w:r>
        <w:rPr>
          <w:lang w:val="sr-Cyrl-RS"/>
        </w:rPr>
        <w:t xml:space="preserve"> тужбом пред надлежним судом. У </w:t>
      </w:r>
      <w:r w:rsidR="00F4462B">
        <w:rPr>
          <w:lang w:val="sr-Cyrl-RS"/>
        </w:rPr>
        <w:t xml:space="preserve">оваквим поступцима примењују се одредбе </w:t>
      </w:r>
      <w:r w:rsidR="00F4462B" w:rsidRPr="00CC5D73">
        <w:rPr>
          <w:i/>
          <w:lang w:val="sr-Cyrl-RS"/>
        </w:rPr>
        <w:t>Закона о парничном поступку</w:t>
      </w:r>
      <w:r w:rsidR="00BE58A2">
        <w:rPr>
          <w:i/>
          <w:lang w:val="sr-Cyrl-RS"/>
        </w:rPr>
        <w:t xml:space="preserve"> </w:t>
      </w:r>
      <w:r w:rsidR="00CC5D73" w:rsidRPr="00CC5D73">
        <w:rPr>
          <w:iCs/>
          <w:lang w:val="ru-RU"/>
        </w:rPr>
        <w:t>(</w:t>
      </w:r>
      <w:r w:rsidR="00CC5D73" w:rsidRPr="00CC5D73">
        <w:rPr>
          <w:lang w:val="sr-Cyrl-RS"/>
        </w:rPr>
        <w:t>„</w:t>
      </w:r>
      <w:r w:rsidR="00CC5D73" w:rsidRPr="00CC5D73">
        <w:t xml:space="preserve">Службени гласник РС”, </w:t>
      </w:r>
      <w:r w:rsidR="00F4462B" w:rsidRPr="00CC5D73">
        <w:rPr>
          <w:iCs/>
          <w:lang w:val="ru-RU"/>
        </w:rPr>
        <w:t xml:space="preserve">бр. 72/2011, 49/2013 – одлука </w:t>
      </w:r>
      <w:r w:rsidR="00F4462B" w:rsidRPr="00CC5D73">
        <w:rPr>
          <w:iCs/>
          <w:lang w:val="sr-Cyrl-RS"/>
        </w:rPr>
        <w:t>УС</w:t>
      </w:r>
      <w:r w:rsidR="00F4462B" w:rsidRPr="00CC5D73">
        <w:rPr>
          <w:iCs/>
          <w:lang w:val="ru-RU"/>
        </w:rPr>
        <w:t>, 74/2013 -</w:t>
      </w:r>
      <w:r w:rsidR="00F4462B" w:rsidRPr="00CC5D73">
        <w:t xml:space="preserve"> </w:t>
      </w:r>
      <w:r w:rsidR="00F4462B" w:rsidRPr="00CC5D73">
        <w:rPr>
          <w:iCs/>
          <w:lang w:val="ru-RU"/>
        </w:rPr>
        <w:t>одлука УС, 55/2014 и 87/2018)</w:t>
      </w:r>
      <w:r w:rsidR="000E0F45" w:rsidRPr="00CC5D73">
        <w:rPr>
          <w:iCs/>
          <w:lang w:val="sr-Cyrl-RS"/>
        </w:rPr>
        <w:t>.</w:t>
      </w:r>
      <w:r w:rsidR="00C17E71">
        <w:rPr>
          <w:i/>
          <w:iCs/>
          <w:lang w:val="sr-Cyrl-RS"/>
        </w:rPr>
        <w:t xml:space="preserve"> </w:t>
      </w:r>
    </w:p>
    <w:p w:rsidR="00C17E71" w:rsidRDefault="000E0F45" w:rsidP="004358A3">
      <w:pPr>
        <w:pStyle w:val="BodyText2"/>
        <w:spacing w:before="60"/>
        <w:ind w:firstLine="720"/>
        <w:rPr>
          <w:i/>
          <w:iCs/>
          <w:lang w:val="sr-Cyrl-RS"/>
        </w:rPr>
      </w:pPr>
      <w:r>
        <w:rPr>
          <w:iCs/>
          <w:lang w:val="sr-Cyrl-RS"/>
        </w:rPr>
        <w:t>Када је у питању остваривање судске</w:t>
      </w:r>
      <w:r w:rsidR="00E529C4">
        <w:rPr>
          <w:iCs/>
          <w:lang w:val="sr-Cyrl-RS"/>
        </w:rPr>
        <w:t xml:space="preserve"> заштите у 2018. години</w:t>
      </w:r>
      <w:r w:rsidR="00CC5D73">
        <w:rPr>
          <w:iCs/>
          <w:lang w:val="sr-Cyrl-RS"/>
        </w:rPr>
        <w:t>,</w:t>
      </w:r>
      <w:r w:rsidR="00E529C4">
        <w:rPr>
          <w:iCs/>
          <w:lang w:val="sr-Cyrl-RS"/>
        </w:rPr>
        <w:t xml:space="preserve"> a у вези са извештавањем о правосудним одлукама судова донетим у парницама за остваривање грађанскоправне заштите због дискриминације по основу пола</w:t>
      </w:r>
      <w:r w:rsidR="00BC3C31">
        <w:rPr>
          <w:iCs/>
          <w:lang w:val="sr-Cyrl-RS"/>
        </w:rPr>
        <w:t xml:space="preserve">, Министарству </w:t>
      </w:r>
      <w:r w:rsidR="006D1600">
        <w:rPr>
          <w:iCs/>
          <w:lang w:val="sr-Cyrl-RS"/>
        </w:rPr>
        <w:t xml:space="preserve">надлежном за равноправност полова </w:t>
      </w:r>
      <w:r w:rsidR="00BC3C31">
        <w:rPr>
          <w:iCs/>
          <w:lang w:val="sr-Cyrl-RS"/>
        </w:rPr>
        <w:t>достављени су подаци од стране</w:t>
      </w:r>
      <w:r w:rsidR="00AB27FE">
        <w:rPr>
          <w:lang w:val="sr-Cyrl-RS"/>
        </w:rPr>
        <w:t xml:space="preserve"> следећих о</w:t>
      </w:r>
      <w:r w:rsidR="0071374A" w:rsidRPr="0071374A">
        <w:rPr>
          <w:lang w:val="sr-Cyrl-RS"/>
        </w:rPr>
        <w:t>сновн</w:t>
      </w:r>
      <w:r w:rsidR="00AB27FE">
        <w:rPr>
          <w:lang w:val="sr-Cyrl-RS"/>
        </w:rPr>
        <w:t xml:space="preserve">их судова у: </w:t>
      </w:r>
      <w:r w:rsidR="0071374A" w:rsidRPr="0071374A">
        <w:rPr>
          <w:lang w:val="sr-Cyrl-RS"/>
        </w:rPr>
        <w:t>Ужицу, Крагујевцу, Чачку, Аранђеловцу, Пожеги, Краљеву, Параћину, Петровцу на Млави, Ив</w:t>
      </w:r>
      <w:r w:rsidR="00E642CA">
        <w:rPr>
          <w:lang w:val="sr-Cyrl-RS"/>
        </w:rPr>
        <w:t>ањици, Јагодини</w:t>
      </w:r>
      <w:r w:rsidR="00AB27FE">
        <w:rPr>
          <w:lang w:val="sr-Cyrl-RS"/>
        </w:rPr>
        <w:t>,</w:t>
      </w:r>
      <w:r w:rsidR="0071374A" w:rsidRPr="0071374A">
        <w:rPr>
          <w:lang w:val="sr-Cyrl-RS"/>
        </w:rPr>
        <w:t xml:space="preserve"> Деспотовцу, Брусу, Пр</w:t>
      </w:r>
      <w:r w:rsidR="00E642CA">
        <w:rPr>
          <w:lang w:val="sr-Cyrl-RS"/>
        </w:rPr>
        <w:t>окупљу</w:t>
      </w:r>
      <w:r w:rsidR="00AB27FE">
        <w:rPr>
          <w:lang w:val="sr-Cyrl-RS"/>
        </w:rPr>
        <w:t xml:space="preserve"> и</w:t>
      </w:r>
      <w:r w:rsidR="0071374A" w:rsidRPr="0071374A">
        <w:rPr>
          <w:lang w:val="sr-Cyrl-RS"/>
        </w:rPr>
        <w:t xml:space="preserve"> </w:t>
      </w:r>
      <w:r w:rsidR="00E642CA">
        <w:rPr>
          <w:lang w:val="sr-Cyrl-RS"/>
        </w:rPr>
        <w:t>Пријепољу,</w:t>
      </w:r>
      <w:r w:rsidR="00AB27FE">
        <w:rPr>
          <w:lang w:val="sr-Cyrl-RS"/>
        </w:rPr>
        <w:t xml:space="preserve"> као и виших судова у: </w:t>
      </w:r>
      <w:r w:rsidR="00E642CA">
        <w:rPr>
          <w:lang w:val="sr-Cyrl-RS"/>
        </w:rPr>
        <w:t xml:space="preserve">Прокупљу, </w:t>
      </w:r>
      <w:r w:rsidR="0071374A" w:rsidRPr="0071374A">
        <w:rPr>
          <w:lang w:val="sr-Cyrl-RS"/>
        </w:rPr>
        <w:t xml:space="preserve">Јагодини, Краљеву, Пожаревцу, </w:t>
      </w:r>
      <w:r w:rsidR="00AB27FE">
        <w:rPr>
          <w:lang w:val="sr-Cyrl-RS"/>
        </w:rPr>
        <w:t>Пожеги и</w:t>
      </w:r>
      <w:r w:rsidR="0071374A" w:rsidRPr="0071374A">
        <w:rPr>
          <w:lang w:val="sr-Cyrl-RS"/>
        </w:rPr>
        <w:t xml:space="preserve"> Крагујевцу.</w:t>
      </w:r>
    </w:p>
    <w:p w:rsidR="00AB27FE" w:rsidRDefault="00C17E71" w:rsidP="004358A3">
      <w:pPr>
        <w:pStyle w:val="BodyText2"/>
        <w:spacing w:before="60"/>
        <w:ind w:firstLine="720"/>
        <w:rPr>
          <w:iCs/>
          <w:lang w:val="sr-Cyrl-RS"/>
        </w:rPr>
      </w:pPr>
      <w:r w:rsidRPr="00C17E71">
        <w:rPr>
          <w:iCs/>
          <w:lang w:val="sr-Cyrl-RS"/>
        </w:rPr>
        <w:t xml:space="preserve">На основу члана 51. </w:t>
      </w:r>
      <w:r w:rsidRPr="006D1600">
        <w:rPr>
          <w:i/>
          <w:iCs/>
          <w:lang w:val="sr-Cyrl-RS"/>
        </w:rPr>
        <w:t>Закона о равноправности полова</w:t>
      </w:r>
      <w:r w:rsidR="006D1600">
        <w:rPr>
          <w:iCs/>
          <w:lang w:val="sr-Cyrl-RS"/>
        </w:rPr>
        <w:t xml:space="preserve"> и</w:t>
      </w:r>
      <w:r>
        <w:rPr>
          <w:iCs/>
          <w:lang w:val="sr-Cyrl-RS"/>
        </w:rPr>
        <w:t xml:space="preserve"> </w:t>
      </w:r>
      <w:r w:rsidR="006D1600" w:rsidRPr="006D1600">
        <w:rPr>
          <w:i/>
          <w:lang w:val="sr-Cyrl-RS"/>
        </w:rPr>
        <w:t>Правилника о евиденцији и документацији о правоснажним одлукама судова о заштити због дискриминације полова</w:t>
      </w:r>
      <w:r w:rsidR="006D1600">
        <w:rPr>
          <w:lang w:val="sr-Cyrl-RS"/>
        </w:rPr>
        <w:t xml:space="preserve"> („Службени гласник РС“, број 98/2010) </w:t>
      </w:r>
      <w:r w:rsidR="006D1600">
        <w:rPr>
          <w:iCs/>
          <w:lang w:val="sr-Cyrl-RS"/>
        </w:rPr>
        <w:t>судови дужни су да м</w:t>
      </w:r>
      <w:r w:rsidR="006D1600">
        <w:rPr>
          <w:lang w:val="sr-Cyrl-RS"/>
        </w:rPr>
        <w:t>инистарству надлежном за послове равноправности полова</w:t>
      </w:r>
      <w:r w:rsidRPr="00C17E71">
        <w:rPr>
          <w:iCs/>
          <w:lang w:val="sr-Cyrl-RS"/>
        </w:rPr>
        <w:t xml:space="preserve"> доставе све правоснажне одлуке донете у парницама</w:t>
      </w:r>
      <w:r w:rsidR="00CC5D73">
        <w:rPr>
          <w:iCs/>
          <w:lang w:val="sr-Cyrl-RS"/>
        </w:rPr>
        <w:t>.</w:t>
      </w:r>
      <w:r w:rsidR="006D1600">
        <w:rPr>
          <w:iCs/>
          <w:lang w:val="sr-Cyrl-RS"/>
        </w:rPr>
        <w:t xml:space="preserve"> </w:t>
      </w:r>
    </w:p>
    <w:p w:rsidR="006D1600" w:rsidRDefault="0071374A" w:rsidP="004358A3">
      <w:pPr>
        <w:pStyle w:val="BodyText2"/>
        <w:spacing w:before="60"/>
        <w:ind w:firstLine="720"/>
        <w:rPr>
          <w:lang w:val="sr-Cyrl-RS"/>
        </w:rPr>
      </w:pPr>
      <w:r w:rsidRPr="0071374A">
        <w:rPr>
          <w:lang w:val="sr-Cyrl-RS"/>
        </w:rPr>
        <w:t xml:space="preserve">Према </w:t>
      </w:r>
      <w:r w:rsidR="00AB27FE">
        <w:rPr>
          <w:lang w:val="sr-Cyrl-RS"/>
        </w:rPr>
        <w:t xml:space="preserve">расположивим </w:t>
      </w:r>
      <w:r w:rsidR="00BC3C31" w:rsidRPr="00BC3C31">
        <w:rPr>
          <w:lang w:val="sr-Cyrl-RS"/>
        </w:rPr>
        <w:t>подацима</w:t>
      </w:r>
      <w:r w:rsidR="00AB27FE" w:rsidRPr="00AB27FE">
        <w:rPr>
          <w:lang w:val="sr-Cyrl-RS"/>
        </w:rPr>
        <w:t xml:space="preserve"> </w:t>
      </w:r>
      <w:r w:rsidR="00AB27FE" w:rsidRPr="00CC5D73">
        <w:rPr>
          <w:lang w:val="sr-Cyrl-RS"/>
        </w:rPr>
        <w:t>Сектор</w:t>
      </w:r>
      <w:r w:rsidR="00AB27FE">
        <w:rPr>
          <w:lang w:val="sr-Cyrl-RS"/>
        </w:rPr>
        <w:t>а за правосуђе</w:t>
      </w:r>
      <w:r w:rsidR="00AB27FE" w:rsidRPr="00CC5D73">
        <w:rPr>
          <w:lang w:val="sr-Cyrl-RS"/>
        </w:rPr>
        <w:t xml:space="preserve"> Министарства правде</w:t>
      </w:r>
      <w:r w:rsidR="00BC3C31">
        <w:rPr>
          <w:lang w:val="sr-Cyrl-RS"/>
        </w:rPr>
        <w:t>, током 2018.</w:t>
      </w:r>
      <w:r w:rsidRPr="0071374A">
        <w:rPr>
          <w:lang w:val="sr-Cyrl-RS"/>
        </w:rPr>
        <w:t xml:space="preserve"> године </w:t>
      </w:r>
      <w:r w:rsidR="00CC5D73">
        <w:rPr>
          <w:lang w:val="sr-Cyrl-RS"/>
        </w:rPr>
        <w:t xml:space="preserve">вођене су две </w:t>
      </w:r>
      <w:r w:rsidRPr="0071374A">
        <w:rPr>
          <w:lang w:val="sr-Cyrl-RS"/>
        </w:rPr>
        <w:t>парниц</w:t>
      </w:r>
      <w:r w:rsidR="00CC5D73">
        <w:rPr>
          <w:lang w:val="sr-Cyrl-RS"/>
        </w:rPr>
        <w:t>е</w:t>
      </w:r>
      <w:r w:rsidRPr="0071374A">
        <w:rPr>
          <w:lang w:val="sr-Cyrl-RS"/>
        </w:rPr>
        <w:t xml:space="preserve"> за остваривање грађанскоправн</w:t>
      </w:r>
      <w:r w:rsidR="0072028B">
        <w:rPr>
          <w:lang w:val="sr-Cyrl-RS"/>
        </w:rPr>
        <w:t>е заштите због дискриминације по</w:t>
      </w:r>
      <w:r w:rsidRPr="0071374A">
        <w:rPr>
          <w:lang w:val="sr-Cyrl-RS"/>
        </w:rPr>
        <w:t xml:space="preserve"> основу пола</w:t>
      </w:r>
      <w:r w:rsidR="00CC5D73">
        <w:rPr>
          <w:lang w:val="sr-Cyrl-RS"/>
        </w:rPr>
        <w:t>, од којих је једна</w:t>
      </w:r>
      <w:r w:rsidRPr="0071374A">
        <w:rPr>
          <w:lang w:val="sr-Cyrl-RS"/>
        </w:rPr>
        <w:t xml:space="preserve"> </w:t>
      </w:r>
      <w:r w:rsidR="00CC5D73" w:rsidRPr="0071374A">
        <w:rPr>
          <w:lang w:val="sr-Cyrl-RS"/>
        </w:rPr>
        <w:t>пресуда по овом основу</w:t>
      </w:r>
      <w:r w:rsidR="00CC5D73">
        <w:rPr>
          <w:lang w:val="sr-Cyrl-RS"/>
        </w:rPr>
        <w:t xml:space="preserve"> постала</w:t>
      </w:r>
      <w:r w:rsidRPr="0071374A">
        <w:rPr>
          <w:lang w:val="sr-Cyrl-RS"/>
        </w:rPr>
        <w:t xml:space="preserve"> правосн</w:t>
      </w:r>
      <w:r w:rsidR="006D1600">
        <w:rPr>
          <w:lang w:val="sr-Cyrl-RS"/>
        </w:rPr>
        <w:t>а</w:t>
      </w:r>
      <w:r w:rsidR="00CC5D73">
        <w:rPr>
          <w:lang w:val="sr-Cyrl-RS"/>
        </w:rPr>
        <w:t>жн</w:t>
      </w:r>
      <w:r w:rsidRPr="0071374A">
        <w:rPr>
          <w:lang w:val="sr-Cyrl-RS"/>
        </w:rPr>
        <w:t>а</w:t>
      </w:r>
      <w:r w:rsidR="00CC5D73">
        <w:rPr>
          <w:lang w:val="sr-Cyrl-RS"/>
        </w:rPr>
        <w:t xml:space="preserve">. </w:t>
      </w:r>
      <w:r w:rsidR="00C0407E" w:rsidRPr="00CC5D73">
        <w:rPr>
          <w:lang w:val="sr-Cyrl-RS"/>
        </w:rPr>
        <w:t>С тим у вези, достављен је одговор из Апелационог суда у Новом Саду уз обавештење да у судовима са овог подручја није било п</w:t>
      </w:r>
      <w:r w:rsidR="00CC5D73" w:rsidRPr="00CC5D73">
        <w:rPr>
          <w:lang w:val="sr-Cyrl-RS"/>
        </w:rPr>
        <w:t>равоснажних</w:t>
      </w:r>
      <w:r w:rsidR="00C0407E" w:rsidRPr="00CC5D73">
        <w:rPr>
          <w:lang w:val="sr-Cyrl-RS"/>
        </w:rPr>
        <w:t xml:space="preserve"> одлука, док је из Апелационог суда у Ниш</w:t>
      </w:r>
      <w:r w:rsidR="00CC5D73" w:rsidRPr="00CC5D73">
        <w:rPr>
          <w:lang w:val="sr-Cyrl-RS"/>
        </w:rPr>
        <w:t>у</w:t>
      </w:r>
      <w:r w:rsidR="00C0407E" w:rsidRPr="00CC5D73">
        <w:rPr>
          <w:lang w:val="sr-Cyrl-RS"/>
        </w:rPr>
        <w:t xml:space="preserve"> достављена копија правоснажне одлуке Вишег суда у Прокупљу.</w:t>
      </w:r>
      <w:r w:rsidR="00CC5D73">
        <w:rPr>
          <w:lang w:val="sr-Cyrl-RS"/>
        </w:rPr>
        <w:t xml:space="preserve"> </w:t>
      </w:r>
      <w:r w:rsidR="00C0407E" w:rsidRPr="00A74CB7">
        <w:rPr>
          <w:lang w:val="sr-Cyrl-RS"/>
        </w:rPr>
        <w:t xml:space="preserve">Када је у питању правоснажна одлука Вишег суда у Прокупљу, ради се о </w:t>
      </w:r>
      <w:r w:rsidR="00CC5D73" w:rsidRPr="00A74CB7">
        <w:rPr>
          <w:lang w:val="sr-Cyrl-RS"/>
        </w:rPr>
        <w:t>наставници</w:t>
      </w:r>
      <w:r w:rsidR="00C0407E" w:rsidRPr="00A74CB7">
        <w:rPr>
          <w:lang w:val="sr-Cyrl-RS"/>
        </w:rPr>
        <w:t xml:space="preserve"> В</w:t>
      </w:r>
      <w:r w:rsidR="00CC5D73" w:rsidRPr="00A74CB7">
        <w:rPr>
          <w:lang w:val="sr-Cyrl-RS"/>
        </w:rPr>
        <w:t>.</w:t>
      </w:r>
      <w:r w:rsidR="00C0407E" w:rsidRPr="00A74CB7">
        <w:rPr>
          <w:lang w:val="sr-Cyrl-RS"/>
        </w:rPr>
        <w:t>М</w:t>
      </w:r>
      <w:r w:rsidR="00CC5D73" w:rsidRPr="00A74CB7">
        <w:rPr>
          <w:lang w:val="sr-Cyrl-RS"/>
        </w:rPr>
        <w:t>.</w:t>
      </w:r>
      <w:r w:rsidR="00C0407E" w:rsidRPr="00A74CB7">
        <w:rPr>
          <w:lang w:val="sr-Cyrl-RS"/>
        </w:rPr>
        <w:t xml:space="preserve"> из Прокупља која је тужила</w:t>
      </w:r>
      <w:r w:rsidR="001179FE" w:rsidRPr="00A74CB7">
        <w:rPr>
          <w:lang w:val="sr-Cyrl-RS"/>
        </w:rPr>
        <w:t xml:space="preserve"> 2014. године</w:t>
      </w:r>
      <w:r w:rsidR="00C0407E" w:rsidRPr="00A74CB7">
        <w:rPr>
          <w:lang w:val="sr-Cyrl-RS"/>
        </w:rPr>
        <w:t xml:space="preserve"> </w:t>
      </w:r>
      <w:r w:rsidR="00DF262D">
        <w:rPr>
          <w:lang w:val="sr-Cyrl-RS"/>
        </w:rPr>
        <w:t>о</w:t>
      </w:r>
      <w:r w:rsidR="00C0407E" w:rsidRPr="00A74CB7">
        <w:rPr>
          <w:lang w:val="sr-Cyrl-RS"/>
        </w:rPr>
        <w:t xml:space="preserve">сновну школу </w:t>
      </w:r>
      <w:r w:rsidR="00DF262D">
        <w:rPr>
          <w:lang w:val="sr-Cyrl-RS"/>
        </w:rPr>
        <w:t>у Прокупљу у којој је запослена</w:t>
      </w:r>
      <w:r w:rsidR="00C0407E" w:rsidRPr="00A74CB7">
        <w:rPr>
          <w:lang w:val="sr-Cyrl-RS"/>
        </w:rPr>
        <w:t>,</w:t>
      </w:r>
      <w:r w:rsidR="00DF262D">
        <w:rPr>
          <w:lang w:val="sr-Cyrl-RS"/>
        </w:rPr>
        <w:t xml:space="preserve"> а</w:t>
      </w:r>
      <w:r w:rsidR="00C0407E" w:rsidRPr="00A74CB7">
        <w:rPr>
          <w:lang w:val="sr-Cyrl-RS"/>
        </w:rPr>
        <w:t xml:space="preserve"> чији је заступник директорка школе. Наиме, </w:t>
      </w:r>
      <w:r w:rsidR="00CC5D73" w:rsidRPr="00A74CB7">
        <w:rPr>
          <w:lang w:val="sr-Cyrl-RS"/>
        </w:rPr>
        <w:t>В.М.,</w:t>
      </w:r>
      <w:r w:rsidR="00C0407E" w:rsidRPr="00A74CB7">
        <w:rPr>
          <w:lang w:val="sr-Cyrl-RS"/>
        </w:rPr>
        <w:t xml:space="preserve"> тужи</w:t>
      </w:r>
      <w:r w:rsidR="006D1600">
        <w:rPr>
          <w:lang w:val="sr-Cyrl-RS"/>
        </w:rPr>
        <w:t>ла је послодавца због позивања на закључење А</w:t>
      </w:r>
      <w:r w:rsidR="00C0407E" w:rsidRPr="00A74CB7">
        <w:rPr>
          <w:lang w:val="sr-Cyrl-RS"/>
        </w:rPr>
        <w:t>некса уговора о раду којим јој је промењено место рада, тако што је упућена да обавља послове у сеоском одељењу у месту Р</w:t>
      </w:r>
      <w:r w:rsidR="00DF262D">
        <w:rPr>
          <w:lang w:val="sr-Cyrl-RS"/>
        </w:rPr>
        <w:t xml:space="preserve">. </w:t>
      </w:r>
      <w:r w:rsidR="00C0407E" w:rsidRPr="00A74CB7">
        <w:rPr>
          <w:lang w:val="sr-Cyrl-RS"/>
        </w:rPr>
        <w:t>(удаљено мање од 50</w:t>
      </w:r>
      <w:r w:rsidR="00CC5D73" w:rsidRPr="00A74CB7">
        <w:rPr>
          <w:lang w:val="sr-Cyrl-RS"/>
        </w:rPr>
        <w:t xml:space="preserve"> </w:t>
      </w:r>
      <w:r w:rsidR="00C0407E" w:rsidRPr="00A74CB7">
        <w:rPr>
          <w:lang w:val="sr-Cyrl-RS"/>
        </w:rPr>
        <w:t>км, од матичне школе у Прокупљу)</w:t>
      </w:r>
      <w:r w:rsidR="00CC5D73" w:rsidRPr="00A74CB7">
        <w:rPr>
          <w:lang w:val="sr-Cyrl-RS"/>
        </w:rPr>
        <w:t>,</w:t>
      </w:r>
      <w:r w:rsidR="00C0407E" w:rsidRPr="00A74CB7">
        <w:rPr>
          <w:lang w:val="sr-Cyrl-RS"/>
        </w:rPr>
        <w:t xml:space="preserve"> упркос чињеници да је тужиља била у другом стању</w:t>
      </w:r>
      <w:r w:rsidR="00A74CB7" w:rsidRPr="00A74CB7">
        <w:rPr>
          <w:lang w:val="sr-Cyrl-RS"/>
        </w:rPr>
        <w:t xml:space="preserve"> са трећим дететом</w:t>
      </w:r>
      <w:r w:rsidR="00C0407E" w:rsidRPr="00A74CB7">
        <w:rPr>
          <w:lang w:val="sr-Cyrl-RS"/>
        </w:rPr>
        <w:t xml:space="preserve">. Разлог премештаја био је став директорке да је тужиља упућена на друго место рада искључиво због организационих потреба и чињенице да ће </w:t>
      </w:r>
      <w:r w:rsidR="00CC5D73" w:rsidRPr="00A74CB7">
        <w:rPr>
          <w:lang w:val="sr-Cyrl-RS"/>
        </w:rPr>
        <w:t>В.М.</w:t>
      </w:r>
      <w:r w:rsidR="003D07BC">
        <w:rPr>
          <w:lang w:val="sr-Cyrl-RS"/>
        </w:rPr>
        <w:t xml:space="preserve"> у дужем</w:t>
      </w:r>
      <w:r w:rsidR="00C0407E" w:rsidRPr="00A74CB7">
        <w:rPr>
          <w:lang w:val="sr-Cyrl-RS"/>
        </w:rPr>
        <w:t xml:space="preserve"> периоду бити одсутна, те да ће постојати потреба за пријем нових лица у радни одн</w:t>
      </w:r>
      <w:r w:rsidR="00CC5D73" w:rsidRPr="00A74CB7">
        <w:rPr>
          <w:lang w:val="sr-Cyrl-RS"/>
        </w:rPr>
        <w:t xml:space="preserve">ос. </w:t>
      </w:r>
    </w:p>
    <w:p w:rsidR="001179FE" w:rsidRPr="00A74CB7" w:rsidRDefault="00CC5D73" w:rsidP="004358A3">
      <w:pPr>
        <w:pStyle w:val="BodyText2"/>
        <w:spacing w:before="60"/>
        <w:ind w:firstLine="720"/>
        <w:rPr>
          <w:lang w:val="sr-Cyrl-RS"/>
        </w:rPr>
      </w:pPr>
      <w:r w:rsidRPr="00A74CB7">
        <w:rPr>
          <w:lang w:val="sr-Cyrl-RS"/>
        </w:rPr>
        <w:t>Према првостепеној пресуди О</w:t>
      </w:r>
      <w:r w:rsidR="00C0407E" w:rsidRPr="00A74CB7">
        <w:rPr>
          <w:lang w:val="sr-Cyrl-RS"/>
        </w:rPr>
        <w:t xml:space="preserve">сновног суда </w:t>
      </w:r>
      <w:r w:rsidR="001179FE" w:rsidRPr="00A74CB7">
        <w:rPr>
          <w:lang w:val="sr-Cyrl-RS"/>
        </w:rPr>
        <w:t xml:space="preserve">у </w:t>
      </w:r>
      <w:r w:rsidR="00C0407E" w:rsidRPr="00A74CB7">
        <w:rPr>
          <w:lang w:val="sr-Cyrl-RS"/>
        </w:rPr>
        <w:t xml:space="preserve">Прокупљу одбијен је као неоснован тужбени захтев тужиље да се поништи </w:t>
      </w:r>
      <w:r w:rsidRPr="00A74CB7">
        <w:rPr>
          <w:lang w:val="sr-Cyrl-RS"/>
        </w:rPr>
        <w:t>А</w:t>
      </w:r>
      <w:r w:rsidR="00C0407E" w:rsidRPr="00A74CB7">
        <w:rPr>
          <w:lang w:val="sr-Cyrl-RS"/>
        </w:rPr>
        <w:t>некс уговора о раду</w:t>
      </w:r>
      <w:r w:rsidR="001179FE" w:rsidRPr="00A74CB7">
        <w:rPr>
          <w:lang w:val="sr-Cyrl-RS"/>
        </w:rPr>
        <w:t>,</w:t>
      </w:r>
      <w:r w:rsidR="00DF262D">
        <w:rPr>
          <w:lang w:val="sr-Cyrl-RS"/>
        </w:rPr>
        <w:t xml:space="preserve"> с тим да се обавеже директорка школе</w:t>
      </w:r>
      <w:r w:rsidR="00C0407E" w:rsidRPr="00A74CB7">
        <w:rPr>
          <w:lang w:val="sr-Cyrl-RS"/>
        </w:rPr>
        <w:t xml:space="preserve"> да се </w:t>
      </w:r>
      <w:r w:rsidRPr="00A74CB7">
        <w:rPr>
          <w:lang w:val="sr-Cyrl-RS"/>
        </w:rPr>
        <w:t>В.М.</w:t>
      </w:r>
      <w:r w:rsidR="00C0407E" w:rsidRPr="00A74CB7">
        <w:rPr>
          <w:lang w:val="sr-Cyrl-RS"/>
        </w:rPr>
        <w:t xml:space="preserve"> распореди на рад у матичну шко</w:t>
      </w:r>
      <w:r w:rsidR="001179FE" w:rsidRPr="00A74CB7">
        <w:rPr>
          <w:lang w:val="sr-Cyrl-RS"/>
        </w:rPr>
        <w:t xml:space="preserve">лу и изриче </w:t>
      </w:r>
      <w:r w:rsidR="00DF262D">
        <w:rPr>
          <w:lang w:val="sr-Cyrl-RS"/>
        </w:rPr>
        <w:t xml:space="preserve">јој </w:t>
      </w:r>
      <w:r w:rsidR="001179FE" w:rsidRPr="00A74CB7">
        <w:rPr>
          <w:lang w:val="sr-Cyrl-RS"/>
        </w:rPr>
        <w:t>се забрана понављања радње дискриминације.</w:t>
      </w:r>
    </w:p>
    <w:p w:rsidR="006D1600" w:rsidRDefault="00C0407E" w:rsidP="0028577D">
      <w:pPr>
        <w:pStyle w:val="BodyText2"/>
        <w:spacing w:before="60"/>
        <w:ind w:firstLine="720"/>
        <w:rPr>
          <w:lang w:val="sr-Cyrl-RS"/>
        </w:rPr>
      </w:pPr>
      <w:r w:rsidRPr="00A74CB7">
        <w:rPr>
          <w:lang w:val="sr-Cyrl-RS"/>
        </w:rPr>
        <w:t xml:space="preserve">Пресудом Апелационог суда у Нишу </w:t>
      </w:r>
      <w:r w:rsidR="001179FE" w:rsidRPr="00A74CB7">
        <w:rPr>
          <w:lang w:val="sr-Cyrl-RS"/>
        </w:rPr>
        <w:t xml:space="preserve">делимично је </w:t>
      </w:r>
      <w:r w:rsidRPr="00A74CB7">
        <w:rPr>
          <w:lang w:val="sr-Cyrl-RS"/>
        </w:rPr>
        <w:t>одбијена жалба тужиље</w:t>
      </w:r>
      <w:r w:rsidR="001179FE" w:rsidRPr="00A74CB7">
        <w:rPr>
          <w:lang w:val="sr-Cyrl-RS"/>
        </w:rPr>
        <w:t xml:space="preserve"> у делу у којом је затражила материјалну надокнаду због повређене части и угледа у износу од 120.000,00</w:t>
      </w:r>
      <w:r w:rsidR="00E642CA">
        <w:rPr>
          <w:lang w:val="sr-Cyrl-RS"/>
        </w:rPr>
        <w:t xml:space="preserve"> динара</w:t>
      </w:r>
      <w:r w:rsidR="001179FE" w:rsidRPr="00A74CB7">
        <w:rPr>
          <w:lang w:val="sr-Cyrl-RS"/>
        </w:rPr>
        <w:t xml:space="preserve">, а обавезана је тужена да тужиљи надокнади трошкове парничног поступка у износу 29.600,00 </w:t>
      </w:r>
      <w:r w:rsidR="00E642CA">
        <w:rPr>
          <w:lang w:val="sr-Cyrl-RS"/>
        </w:rPr>
        <w:t>динара</w:t>
      </w:r>
      <w:r w:rsidR="00A74CB7" w:rsidRPr="00A74CB7">
        <w:rPr>
          <w:lang w:val="sr-Cyrl-RS"/>
        </w:rPr>
        <w:t>.</w:t>
      </w:r>
      <w:r w:rsidR="001179FE" w:rsidRPr="00A74CB7">
        <w:rPr>
          <w:lang w:val="sr-Cyrl-RS"/>
        </w:rPr>
        <w:t xml:space="preserve"> </w:t>
      </w:r>
    </w:p>
    <w:p w:rsidR="00C0407E" w:rsidRPr="00A74CB7" w:rsidRDefault="006D1600" w:rsidP="004358A3">
      <w:pPr>
        <w:pStyle w:val="BodyText2"/>
        <w:spacing w:before="60"/>
        <w:ind w:firstLine="720"/>
        <w:rPr>
          <w:lang w:val="sr-Cyrl-RS"/>
        </w:rPr>
      </w:pPr>
      <w:r>
        <w:rPr>
          <w:lang w:val="sr-Cyrl-RS"/>
        </w:rPr>
        <w:t>Пр</w:t>
      </w:r>
      <w:r w:rsidR="00C0407E" w:rsidRPr="00A74CB7">
        <w:rPr>
          <w:lang w:val="sr-Cyrl-RS"/>
        </w:rPr>
        <w:t>есудом Врховног касационог суда прихваћено је одлучивање о ревизији тужиље и преиначене су наведене пре</w:t>
      </w:r>
      <w:r w:rsidR="00A74CB7" w:rsidRPr="00A74CB7">
        <w:rPr>
          <w:lang w:val="sr-Cyrl-RS"/>
        </w:rPr>
        <w:t>суде Апелационог суда у Нишу и О</w:t>
      </w:r>
      <w:r w:rsidR="00C0407E" w:rsidRPr="00A74CB7">
        <w:rPr>
          <w:lang w:val="sr-Cyrl-RS"/>
        </w:rPr>
        <w:t>сновног суда у Прокупљу, тако што је усвојен захтева тужиље и</w:t>
      </w:r>
      <w:r w:rsidR="001179FE" w:rsidRPr="00A74CB7">
        <w:rPr>
          <w:lang w:val="sr-Cyrl-RS"/>
        </w:rPr>
        <w:t xml:space="preserve"> наложено је да се</w:t>
      </w:r>
      <w:r w:rsidR="00C0407E" w:rsidRPr="00A74CB7">
        <w:rPr>
          <w:lang w:val="sr-Cyrl-RS"/>
        </w:rPr>
        <w:t xml:space="preserve"> поништ</w:t>
      </w:r>
      <w:r w:rsidR="001179FE" w:rsidRPr="00A74CB7">
        <w:rPr>
          <w:lang w:val="sr-Cyrl-RS"/>
        </w:rPr>
        <w:t>и</w:t>
      </w:r>
      <w:r w:rsidR="00C0407E" w:rsidRPr="00A74CB7">
        <w:rPr>
          <w:lang w:val="sr-Cyrl-RS"/>
        </w:rPr>
        <w:t xml:space="preserve"> Анекс уговора о раду као незаконит</w:t>
      </w:r>
      <w:r w:rsidR="00A74CB7" w:rsidRPr="00A74CB7">
        <w:rPr>
          <w:lang w:val="sr-Cyrl-RS"/>
        </w:rPr>
        <w:t>,</w:t>
      </w:r>
      <w:r w:rsidR="00C0407E" w:rsidRPr="00A74CB7">
        <w:rPr>
          <w:lang w:val="sr-Cyrl-RS"/>
        </w:rPr>
        <w:t xml:space="preserve"> а директорка школе је обавезана да распореди </w:t>
      </w:r>
      <w:r w:rsidR="00A74CB7" w:rsidRPr="00A74CB7">
        <w:rPr>
          <w:lang w:val="sr-Cyrl-RS"/>
        </w:rPr>
        <w:t>тужиљу</w:t>
      </w:r>
      <w:r w:rsidR="00DF262D">
        <w:rPr>
          <w:lang w:val="sr-Cyrl-RS"/>
        </w:rPr>
        <w:t xml:space="preserve"> на рад у матичну о</w:t>
      </w:r>
      <w:r w:rsidR="00C0407E" w:rsidRPr="00A74CB7">
        <w:rPr>
          <w:lang w:val="sr-Cyrl-RS"/>
        </w:rPr>
        <w:t>сновну школу у Прокупљу.</w:t>
      </w:r>
      <w:r w:rsidR="001179FE" w:rsidRPr="00A74CB7">
        <w:rPr>
          <w:lang w:val="sr-Cyrl-RS"/>
        </w:rPr>
        <w:t xml:space="preserve"> </w:t>
      </w:r>
      <w:r w:rsidR="00C0407E" w:rsidRPr="00A74CB7">
        <w:rPr>
          <w:lang w:val="sr-Cyrl-RS"/>
        </w:rPr>
        <w:lastRenderedPageBreak/>
        <w:t xml:space="preserve">У пресуди Апелационог суда се наводи да је правилан закључак првостепеног суда да постоји дискриминаторско поступање директорке школе према тужиљи </w:t>
      </w:r>
      <w:r w:rsidR="001179FE" w:rsidRPr="00A74CB7">
        <w:rPr>
          <w:lang w:val="sr-Cyrl-RS"/>
        </w:rPr>
        <w:t>будући да је А</w:t>
      </w:r>
      <w:r w:rsidR="00C0407E" w:rsidRPr="00A74CB7">
        <w:rPr>
          <w:lang w:val="sr-Cyrl-RS"/>
        </w:rPr>
        <w:t>нексом уговора о раду била упућена да обавља послове у одељење школе у селу Р</w:t>
      </w:r>
      <w:r w:rsidR="00DF262D">
        <w:rPr>
          <w:lang w:val="sr-Cyrl-RS"/>
        </w:rPr>
        <w:t>.</w:t>
      </w:r>
      <w:r w:rsidR="00C0407E" w:rsidRPr="00A74CB7">
        <w:rPr>
          <w:lang w:val="sr-Cyrl-RS"/>
        </w:rPr>
        <w:t xml:space="preserve"> само на основу чињенице да је била у другом стању и на одржавању трудноће.</w:t>
      </w:r>
      <w:r w:rsidR="001179FE" w:rsidRPr="00A74CB7">
        <w:rPr>
          <w:lang w:val="sr-Cyrl-RS"/>
        </w:rPr>
        <w:t xml:space="preserve"> </w:t>
      </w:r>
      <w:r w:rsidR="00C0407E" w:rsidRPr="00A74CB7">
        <w:rPr>
          <w:lang w:val="sr-Cyrl-RS"/>
        </w:rPr>
        <w:t>Како је утврђено да је тужена школа поступила</w:t>
      </w:r>
      <w:r w:rsidR="00A74CB7" w:rsidRPr="00A74CB7">
        <w:rPr>
          <w:lang w:val="sr-Cyrl-RS"/>
        </w:rPr>
        <w:t xml:space="preserve"> дискриминаторски према В.М.</w:t>
      </w:r>
      <w:r w:rsidR="00C0407E" w:rsidRPr="00A74CB7">
        <w:rPr>
          <w:lang w:val="sr-Cyrl-RS"/>
        </w:rPr>
        <w:t>, основани су и жалбени наводи тужиље да јој припада и накнада нематеријалне штете за претрпљене душевне болове. С тим у вези тужена школа је обавезана да тужиљи</w:t>
      </w:r>
      <w:r w:rsidR="00A74CB7" w:rsidRPr="00A74CB7">
        <w:rPr>
          <w:lang w:val="sr-Cyrl-RS"/>
        </w:rPr>
        <w:t xml:space="preserve"> надокнади нематеријалну штету у</w:t>
      </w:r>
      <w:r w:rsidR="00C0407E" w:rsidRPr="00A74CB7">
        <w:rPr>
          <w:lang w:val="sr-Cyrl-RS"/>
        </w:rPr>
        <w:t xml:space="preserve"> износу 50.000,00 </w:t>
      </w:r>
      <w:r w:rsidR="00E642CA">
        <w:rPr>
          <w:lang w:val="sr-Cyrl-RS"/>
        </w:rPr>
        <w:t>динара</w:t>
      </w:r>
      <w:r w:rsidR="00C0407E" w:rsidRPr="00A74CB7">
        <w:rPr>
          <w:lang w:val="sr-Cyrl-RS"/>
        </w:rPr>
        <w:t>.</w:t>
      </w:r>
    </w:p>
    <w:p w:rsidR="00B57E4D" w:rsidRDefault="00B57E4D" w:rsidP="004358A3">
      <w:pPr>
        <w:pStyle w:val="BodyText2"/>
        <w:spacing w:before="60"/>
        <w:ind w:firstLine="720"/>
        <w:rPr>
          <w:lang w:val="sr-Cyrl-RS"/>
        </w:rPr>
      </w:pPr>
      <w:r>
        <w:rPr>
          <w:lang w:val="sr-Cyrl-RS"/>
        </w:rPr>
        <w:t xml:space="preserve">Наведени подаци </w:t>
      </w:r>
      <w:r w:rsidR="00A74CB7">
        <w:rPr>
          <w:lang w:val="sr-Cyrl-RS"/>
        </w:rPr>
        <w:t>који сведоче о малом броју правосудних пресуда до</w:t>
      </w:r>
      <w:r w:rsidR="006D1600">
        <w:rPr>
          <w:lang w:val="sr-Cyrl-RS"/>
        </w:rPr>
        <w:t>нетих на основу дискриминације по</w:t>
      </w:r>
      <w:r w:rsidR="00A74CB7">
        <w:rPr>
          <w:lang w:val="sr-Cyrl-RS"/>
        </w:rPr>
        <w:t xml:space="preserve"> основу пола </w:t>
      </w:r>
      <w:r w:rsidR="00DF262D">
        <w:rPr>
          <w:lang w:val="sr-Cyrl-RS"/>
        </w:rPr>
        <w:t xml:space="preserve">јер </w:t>
      </w:r>
      <w:r>
        <w:rPr>
          <w:lang w:val="sr-Cyrl-RS"/>
        </w:rPr>
        <w:t xml:space="preserve">лица </w:t>
      </w:r>
      <w:r w:rsidRPr="00B57E4D">
        <w:rPr>
          <w:lang w:val="sr-Cyrl-RS"/>
        </w:rPr>
        <w:t xml:space="preserve">са искуством дискриминације </w:t>
      </w:r>
      <w:r w:rsidR="00A74CB7">
        <w:rPr>
          <w:lang w:val="sr-Cyrl-RS"/>
        </w:rPr>
        <w:t xml:space="preserve">по основу пола </w:t>
      </w:r>
      <w:r w:rsidR="0072028B">
        <w:rPr>
          <w:lang w:val="sr-Cyrl-RS"/>
        </w:rPr>
        <w:t>често</w:t>
      </w:r>
      <w:r w:rsidR="007820F2">
        <w:rPr>
          <w:lang w:val="sr-Cyrl-RS"/>
        </w:rPr>
        <w:t xml:space="preserve"> </w:t>
      </w:r>
      <w:r w:rsidR="00A74CB7">
        <w:rPr>
          <w:lang w:val="sr-Cyrl-RS"/>
        </w:rPr>
        <w:t xml:space="preserve">нису мотивисана </w:t>
      </w:r>
      <w:r w:rsidR="005B578B">
        <w:rPr>
          <w:lang w:val="sr-Cyrl-RS"/>
        </w:rPr>
        <w:t>да</w:t>
      </w:r>
      <w:r w:rsidR="00A74CB7">
        <w:rPr>
          <w:lang w:val="sr-Cyrl-RS"/>
        </w:rPr>
        <w:t xml:space="preserve"> пријав</w:t>
      </w:r>
      <w:r w:rsidR="005B578B">
        <w:rPr>
          <w:lang w:val="sr-Cyrl-RS"/>
        </w:rPr>
        <w:t>е дискриминаторно понашање</w:t>
      </w:r>
      <w:r w:rsidRPr="00B57E4D">
        <w:rPr>
          <w:lang w:val="sr-Cyrl-RS"/>
        </w:rPr>
        <w:t xml:space="preserve"> </w:t>
      </w:r>
      <w:r w:rsidR="007820F2">
        <w:rPr>
          <w:lang w:val="sr-Cyrl-RS"/>
        </w:rPr>
        <w:t>и/</w:t>
      </w:r>
      <w:r w:rsidR="005B578B">
        <w:rPr>
          <w:lang w:val="sr-Cyrl-RS"/>
        </w:rPr>
        <w:t xml:space="preserve">или </w:t>
      </w:r>
      <w:r w:rsidR="0072028B">
        <w:rPr>
          <w:lang w:val="sr-Cyrl-RS"/>
        </w:rPr>
        <w:t xml:space="preserve">да </w:t>
      </w:r>
      <w:r w:rsidRPr="00B57E4D">
        <w:rPr>
          <w:lang w:val="sr-Cyrl-RS"/>
        </w:rPr>
        <w:t>покре</w:t>
      </w:r>
      <w:r w:rsidR="005B578B">
        <w:rPr>
          <w:lang w:val="sr-Cyrl-RS"/>
        </w:rPr>
        <w:t>ну</w:t>
      </w:r>
      <w:r w:rsidRPr="00B57E4D">
        <w:rPr>
          <w:lang w:val="sr-Cyrl-RS"/>
        </w:rPr>
        <w:t xml:space="preserve"> </w:t>
      </w:r>
      <w:r w:rsidR="00A74CB7">
        <w:rPr>
          <w:lang w:val="sr-Cyrl-RS"/>
        </w:rPr>
        <w:t>и во</w:t>
      </w:r>
      <w:r w:rsidR="005B578B">
        <w:rPr>
          <w:lang w:val="sr-Cyrl-RS"/>
        </w:rPr>
        <w:t>де</w:t>
      </w:r>
      <w:r w:rsidRPr="00B57E4D">
        <w:rPr>
          <w:lang w:val="sr-Cyrl-RS"/>
        </w:rPr>
        <w:t xml:space="preserve"> </w:t>
      </w:r>
      <w:r w:rsidR="005B578B">
        <w:rPr>
          <w:lang w:val="sr-Cyrl-RS"/>
        </w:rPr>
        <w:t>судски</w:t>
      </w:r>
      <w:r w:rsidRPr="00B57E4D">
        <w:rPr>
          <w:lang w:val="sr-Cyrl-RS"/>
        </w:rPr>
        <w:t xml:space="preserve"> поступ</w:t>
      </w:r>
      <w:r w:rsidR="005B578B">
        <w:rPr>
          <w:lang w:val="sr-Cyrl-RS"/>
        </w:rPr>
        <w:t>а</w:t>
      </w:r>
      <w:r w:rsidRPr="00B57E4D">
        <w:rPr>
          <w:lang w:val="sr-Cyrl-RS"/>
        </w:rPr>
        <w:t>к</w:t>
      </w:r>
      <w:r w:rsidR="00A74CB7">
        <w:rPr>
          <w:lang w:val="sr-Cyrl-RS"/>
        </w:rPr>
        <w:t xml:space="preserve"> који </w:t>
      </w:r>
      <w:r w:rsidR="007820F2">
        <w:rPr>
          <w:lang w:val="sr-Cyrl-RS"/>
        </w:rPr>
        <w:t xml:space="preserve">може да </w:t>
      </w:r>
      <w:r w:rsidR="00A74CB7">
        <w:rPr>
          <w:lang w:val="sr-Cyrl-RS"/>
        </w:rPr>
        <w:t xml:space="preserve">траје </w:t>
      </w:r>
      <w:r w:rsidR="007820F2">
        <w:rPr>
          <w:lang w:val="sr-Cyrl-RS"/>
        </w:rPr>
        <w:t xml:space="preserve">и </w:t>
      </w:r>
      <w:r w:rsidR="00A74CB7">
        <w:rPr>
          <w:lang w:val="sr-Cyrl-RS"/>
        </w:rPr>
        <w:t>више година, што се види из наведеног случаја</w:t>
      </w:r>
      <w:r w:rsidRPr="00B57E4D">
        <w:rPr>
          <w:lang w:val="sr-Cyrl-RS"/>
        </w:rPr>
        <w:t>.</w:t>
      </w:r>
      <w:r w:rsidR="00A1308C">
        <w:rPr>
          <w:lang w:val="sr-Cyrl-RS"/>
        </w:rPr>
        <w:t xml:space="preserve"> У вези са наведеним,</w:t>
      </w:r>
      <w:r w:rsidR="005848AF">
        <w:rPr>
          <w:lang w:val="sr-Cyrl-RS"/>
        </w:rPr>
        <w:t xml:space="preserve"> посебно се указује на то да </w:t>
      </w:r>
      <w:r w:rsidR="005848AF" w:rsidRPr="005848AF">
        <w:rPr>
          <w:i/>
          <w:lang w:val="sr-Cyrl-RS"/>
        </w:rPr>
        <w:t>Закон о равноправности полова</w:t>
      </w:r>
      <w:r w:rsidR="005848AF">
        <w:rPr>
          <w:lang w:val="sr-Cyrl-RS"/>
        </w:rPr>
        <w:t xml:space="preserve"> у члану 47. садржи</w:t>
      </w:r>
      <w:r w:rsidR="00A1308C">
        <w:rPr>
          <w:lang w:val="sr-Cyrl-RS"/>
        </w:rPr>
        <w:t xml:space="preserve"> </w:t>
      </w:r>
      <w:r w:rsidR="005848AF">
        <w:rPr>
          <w:lang w:val="sr-Cyrl-RS"/>
        </w:rPr>
        <w:t>одредбу која се односи на хитности поступка, док у члану 48. одредбу која се односи на ослобађање тужиоца од претходног плаћања трошкова поступка у парницама за остваривање грађанскоправне заштите због дискриминације, јер се ти трошкови исплаћују из средстава суда.</w:t>
      </w:r>
    </w:p>
    <w:p w:rsidR="0072028B" w:rsidRPr="005B578B" w:rsidRDefault="0072028B" w:rsidP="004358A3">
      <w:pPr>
        <w:pStyle w:val="BodyText2"/>
        <w:spacing w:before="60"/>
        <w:rPr>
          <w:b/>
          <w:lang w:val="sr-Cyrl-RS"/>
        </w:rPr>
      </w:pPr>
    </w:p>
    <w:p w:rsidR="007A151A" w:rsidRPr="000F1892" w:rsidRDefault="007A151A" w:rsidP="004358A3">
      <w:pPr>
        <w:pStyle w:val="BodyText2"/>
        <w:spacing w:before="60"/>
        <w:ind w:firstLine="720"/>
        <w:jc w:val="center"/>
        <w:rPr>
          <w:b/>
          <w:lang w:val="sr-Cyrl-RS"/>
        </w:rPr>
      </w:pPr>
      <w:r w:rsidRPr="000F1892">
        <w:rPr>
          <w:b/>
          <w:lang w:val="sr-Latn-RS"/>
        </w:rPr>
        <w:t xml:space="preserve">VII </w:t>
      </w:r>
      <w:r w:rsidRPr="000F1892">
        <w:rPr>
          <w:b/>
          <w:lang w:val="sr-Cyrl-RS"/>
        </w:rPr>
        <w:t>НАДЗОР НАД ПРИМЕНОМ ЗАКОНА</w:t>
      </w:r>
    </w:p>
    <w:p w:rsidR="00DA1226" w:rsidRDefault="00DA1226" w:rsidP="004358A3">
      <w:pPr>
        <w:pStyle w:val="BodyText2"/>
        <w:spacing w:before="60"/>
        <w:rPr>
          <w:lang w:val="sr-Cyrl-RS"/>
        </w:rPr>
      </w:pPr>
    </w:p>
    <w:p w:rsidR="007A151A" w:rsidRPr="00A74CB7" w:rsidRDefault="00DA1226" w:rsidP="004358A3">
      <w:pPr>
        <w:pStyle w:val="BodyText2"/>
        <w:numPr>
          <w:ilvl w:val="0"/>
          <w:numId w:val="8"/>
        </w:numPr>
        <w:spacing w:before="60"/>
        <w:ind w:hanging="11"/>
        <w:rPr>
          <w:b/>
          <w:lang w:val="sr-Cyrl-RS"/>
        </w:rPr>
      </w:pPr>
      <w:r w:rsidRPr="00A74CB7">
        <w:rPr>
          <w:b/>
          <w:lang w:val="sr-Cyrl-RS"/>
        </w:rPr>
        <w:t>Министарство надлежно за послове равноправности</w:t>
      </w:r>
    </w:p>
    <w:p w:rsidR="00DA1226" w:rsidRPr="00A74CB7" w:rsidRDefault="00DA1226" w:rsidP="004358A3">
      <w:pPr>
        <w:pStyle w:val="BodyText2"/>
        <w:spacing w:before="60"/>
        <w:rPr>
          <w:b/>
          <w:lang w:val="sr-Cyrl-RS"/>
        </w:rPr>
      </w:pPr>
    </w:p>
    <w:p w:rsidR="004C35D9" w:rsidRDefault="003B42F2" w:rsidP="004C35D9">
      <w:pPr>
        <w:pStyle w:val="BodyText2"/>
        <w:spacing w:before="60"/>
        <w:ind w:firstLine="720"/>
        <w:rPr>
          <w:lang w:val="sr-Cyrl-RS"/>
        </w:rPr>
      </w:pPr>
      <w:r>
        <w:rPr>
          <w:lang w:val="sr-Cyrl-RS"/>
        </w:rPr>
        <w:t>У складу са чланом 52</w:t>
      </w:r>
      <w:r w:rsidR="00AC6F6B">
        <w:rPr>
          <w:lang w:val="sr-Cyrl-RS"/>
        </w:rPr>
        <w:t xml:space="preserve">. </w:t>
      </w:r>
      <w:r w:rsidR="00AC6F6B" w:rsidRPr="004C7D68">
        <w:rPr>
          <w:i/>
          <w:lang w:val="sr-Cyrl-RS"/>
        </w:rPr>
        <w:t>Закона о равноправности полова</w:t>
      </w:r>
      <w:r w:rsidR="00AC6F6B">
        <w:rPr>
          <w:lang w:val="sr-Cyrl-RS"/>
        </w:rPr>
        <w:t xml:space="preserve"> надзор над применом овог закона спроводи министарство надлежно за послове равнопра</w:t>
      </w:r>
      <w:r w:rsidR="00B57E4D">
        <w:rPr>
          <w:lang w:val="sr-Cyrl-RS"/>
        </w:rPr>
        <w:t>вности полова. Према члану 16. З</w:t>
      </w:r>
      <w:r w:rsidR="00A74CB7">
        <w:rPr>
          <w:lang w:val="sr-Cyrl-RS"/>
        </w:rPr>
        <w:t>акона о м</w:t>
      </w:r>
      <w:r w:rsidR="00AC6F6B">
        <w:rPr>
          <w:lang w:val="sr-Cyrl-RS"/>
        </w:rPr>
        <w:t>инистарствима</w:t>
      </w:r>
      <w:r w:rsidR="007A6727">
        <w:rPr>
          <w:lang w:val="sr-Cyrl-RS"/>
        </w:rPr>
        <w:t>, за послове равноправности полова надлежно је Министарство за рад, запошљавање, борачка и социјална питања.</w:t>
      </w:r>
      <w:r w:rsidR="00D167C7">
        <w:rPr>
          <w:lang w:val="sr-Cyrl-RS"/>
        </w:rPr>
        <w:t xml:space="preserve"> </w:t>
      </w:r>
    </w:p>
    <w:p w:rsidR="004C35D9" w:rsidRPr="004C35D9" w:rsidRDefault="004C35D9" w:rsidP="004C35D9">
      <w:pPr>
        <w:pStyle w:val="BodyText2"/>
        <w:spacing w:before="60"/>
        <w:ind w:firstLine="720"/>
        <w:rPr>
          <w:lang w:val="sr-Cyrl-RS"/>
        </w:rPr>
      </w:pPr>
      <w:r w:rsidRPr="004C35D9">
        <w:rPr>
          <w:lang w:val="sr-Cyrl-RS"/>
        </w:rPr>
        <w:t>Када је у питању дискриминација по основу пола, случајеви узнемиравања, сексуалног узнемиравања и сексуалног уцењивања на раду или у вези са радом, према подацима Инспектората рада Министарства за рад, запошљавање, борачка и социјална питања, у 2018.</w:t>
      </w:r>
      <w:r w:rsidR="003D07BC">
        <w:rPr>
          <w:lang w:val="sr-Cyrl-RS"/>
        </w:rPr>
        <w:t xml:space="preserve"> </w:t>
      </w:r>
      <w:r w:rsidR="007820F2">
        <w:rPr>
          <w:lang w:val="sr-Cyrl-RS"/>
        </w:rPr>
        <w:t>години</w:t>
      </w:r>
      <w:r w:rsidRPr="004C35D9">
        <w:rPr>
          <w:lang w:val="sr-Cyrl-RS"/>
        </w:rPr>
        <w:t xml:space="preserve"> пријављена су два случаја дискриминације и то један по основу повреда једнаких могућности и права у области рада и запошљавања (чл. 11-22. Закона о равноправности полова) и сексуалног узнемиравања, а други по основу повреда једнаких могућности и права у области рада и запошљавања. Случајеве дискриминације су пријавиле две особе различитог пола и то</w:t>
      </w:r>
      <w:r w:rsidR="00B85A38">
        <w:rPr>
          <w:lang w:val="sr-Cyrl-RS"/>
        </w:rPr>
        <w:t>: први случај</w:t>
      </w:r>
      <w:r w:rsidRPr="004C35D9">
        <w:rPr>
          <w:lang w:val="sr-Cyrl-RS"/>
        </w:rPr>
        <w:t xml:space="preserve"> </w:t>
      </w:r>
      <w:r w:rsidR="00B85A38" w:rsidRPr="004C35D9">
        <w:rPr>
          <w:lang w:val="sr-Cyrl-RS"/>
        </w:rPr>
        <w:t xml:space="preserve">дискриминације пријавила је једна особа женског пола </w:t>
      </w:r>
      <w:r w:rsidRPr="004C35D9">
        <w:rPr>
          <w:lang w:val="sr-Cyrl-RS"/>
        </w:rPr>
        <w:t xml:space="preserve">Одсеку инспекције рада Чачак </w:t>
      </w:r>
      <w:r w:rsidR="00B85A38">
        <w:rPr>
          <w:lang w:val="sr-Cyrl-RS"/>
        </w:rPr>
        <w:t xml:space="preserve">због </w:t>
      </w:r>
      <w:r w:rsidRPr="004C35D9">
        <w:rPr>
          <w:lang w:val="sr-Cyrl-RS"/>
        </w:rPr>
        <w:t>повреда једнаких могућности и права у области рада и запошљавања</w:t>
      </w:r>
      <w:r w:rsidR="00B85A38">
        <w:rPr>
          <w:lang w:val="sr-Cyrl-RS"/>
        </w:rPr>
        <w:t>; а</w:t>
      </w:r>
      <w:r w:rsidRPr="004C35D9">
        <w:rPr>
          <w:lang w:val="sr-Cyrl-RS"/>
        </w:rPr>
        <w:t xml:space="preserve"> други</w:t>
      </w:r>
      <w:r w:rsidR="00B85A38">
        <w:rPr>
          <w:lang w:val="sr-Cyrl-RS"/>
        </w:rPr>
        <w:t xml:space="preserve"> случај</w:t>
      </w:r>
      <w:r w:rsidRPr="004C35D9">
        <w:rPr>
          <w:lang w:val="sr-Cyrl-RS"/>
        </w:rPr>
        <w:t xml:space="preserve"> </w:t>
      </w:r>
      <w:r w:rsidR="00B85A38" w:rsidRPr="004C35D9">
        <w:rPr>
          <w:lang w:val="sr-Cyrl-RS"/>
        </w:rPr>
        <w:t>дискриминације пријавила</w:t>
      </w:r>
      <w:r w:rsidR="00B85A38">
        <w:rPr>
          <w:lang w:val="sr-Cyrl-RS"/>
        </w:rPr>
        <w:t xml:space="preserve"> је</w:t>
      </w:r>
      <w:r w:rsidR="00B85A38" w:rsidRPr="004C35D9">
        <w:rPr>
          <w:lang w:val="sr-Cyrl-RS"/>
        </w:rPr>
        <w:t xml:space="preserve"> једна особа мушког пола </w:t>
      </w:r>
      <w:r w:rsidRPr="004C35D9">
        <w:rPr>
          <w:lang w:val="sr-Cyrl-RS"/>
        </w:rPr>
        <w:t xml:space="preserve">Одсеку инспекције рада Зајечар, </w:t>
      </w:r>
      <w:r w:rsidR="00B85A38">
        <w:rPr>
          <w:lang w:val="sr-Cyrl-RS"/>
        </w:rPr>
        <w:t xml:space="preserve">због </w:t>
      </w:r>
      <w:r w:rsidRPr="004C35D9">
        <w:rPr>
          <w:lang w:val="sr-Cyrl-RS"/>
        </w:rPr>
        <w:t>повреда једнаких могућности и права у области рада и запош</w:t>
      </w:r>
      <w:r w:rsidR="00B85A38">
        <w:rPr>
          <w:lang w:val="sr-Cyrl-RS"/>
        </w:rPr>
        <w:t>љавања и сексуално узнемиравање</w:t>
      </w:r>
      <w:r w:rsidRPr="004C35D9">
        <w:rPr>
          <w:lang w:val="sr-Cyrl-RS"/>
        </w:rPr>
        <w:t>. У оба пријављена случаја дискриминације, у поступку инспекцијског надзора није утврђен основ за предузимање мера из надлежности инспекције рада. У 2018.</w:t>
      </w:r>
      <w:r w:rsidR="00B85A38">
        <w:rPr>
          <w:lang w:val="sr-Cyrl-RS"/>
        </w:rPr>
        <w:t xml:space="preserve"> </w:t>
      </w:r>
      <w:r w:rsidRPr="004C35D9">
        <w:rPr>
          <w:lang w:val="sr-Cyrl-RS"/>
        </w:rPr>
        <w:t>години није било других пријављених случајева дискриминације по основу пола, узнемиравања и сексуалног уцењивања на раду или у вези са радом.</w:t>
      </w:r>
      <w:r>
        <w:rPr>
          <w:lang w:val="sr-Cyrl-RS"/>
        </w:rPr>
        <w:t xml:space="preserve"> Недостаци у спровођењу надзора над применом овог закона је што и остали инспекцијски органи у областима образовања, културе, спорта итд. нису </w:t>
      </w:r>
      <w:r w:rsidR="00EA425E">
        <w:rPr>
          <w:lang w:val="sr-Cyrl-RS"/>
        </w:rPr>
        <w:t>препознати као надлежни за поступање у његовој примени, осим инспекције рада.</w:t>
      </w:r>
    </w:p>
    <w:p w:rsidR="007820F2" w:rsidRDefault="00D167C7" w:rsidP="00ED5B07">
      <w:pPr>
        <w:pStyle w:val="Bodytext210"/>
        <w:shd w:val="clear" w:color="auto" w:fill="auto"/>
        <w:spacing w:before="0" w:line="240" w:lineRule="auto"/>
        <w:ind w:firstLine="720"/>
        <w:rPr>
          <w:sz w:val="24"/>
          <w:szCs w:val="24"/>
          <w:lang w:val="sr-Cyrl-RS"/>
        </w:rPr>
      </w:pPr>
      <w:r w:rsidRPr="007507D0">
        <w:rPr>
          <w:sz w:val="24"/>
          <w:szCs w:val="24"/>
          <w:lang w:val="sr-Cyrl-RS"/>
        </w:rPr>
        <w:t xml:space="preserve">На основу члана 13. став 2. </w:t>
      </w:r>
      <w:r w:rsidRPr="007507D0">
        <w:rPr>
          <w:i/>
          <w:sz w:val="24"/>
          <w:szCs w:val="24"/>
          <w:lang w:val="sr-Cyrl-RS"/>
        </w:rPr>
        <w:t xml:space="preserve">Закона </w:t>
      </w:r>
      <w:r w:rsidR="00A74CB7" w:rsidRPr="007507D0">
        <w:rPr>
          <w:i/>
          <w:sz w:val="24"/>
          <w:szCs w:val="24"/>
          <w:lang w:val="sr-Cyrl-RS"/>
        </w:rPr>
        <w:t>о равноправности полова</w:t>
      </w:r>
      <w:r w:rsidR="00A74CB7" w:rsidRPr="007507D0">
        <w:rPr>
          <w:sz w:val="24"/>
          <w:szCs w:val="24"/>
          <w:lang w:val="sr-Cyrl-RS"/>
        </w:rPr>
        <w:t xml:space="preserve"> </w:t>
      </w:r>
      <w:r w:rsidRPr="007507D0">
        <w:rPr>
          <w:sz w:val="24"/>
          <w:szCs w:val="24"/>
          <w:lang w:val="sr-Cyrl-RS"/>
        </w:rPr>
        <w:t>и чл</w:t>
      </w:r>
      <w:r w:rsidR="004C7D68" w:rsidRPr="007507D0">
        <w:rPr>
          <w:sz w:val="24"/>
          <w:szCs w:val="24"/>
          <w:lang w:val="sr-Cyrl-RS"/>
        </w:rPr>
        <w:t>.</w:t>
      </w:r>
      <w:r w:rsidRPr="007507D0">
        <w:rPr>
          <w:sz w:val="24"/>
          <w:szCs w:val="24"/>
          <w:lang w:val="sr-Cyrl-RS"/>
        </w:rPr>
        <w:t xml:space="preserve"> 4. и 5. </w:t>
      </w:r>
      <w:r w:rsidRPr="007507D0">
        <w:rPr>
          <w:i/>
          <w:sz w:val="24"/>
          <w:szCs w:val="24"/>
          <w:lang w:val="sr-Cyrl-RS"/>
        </w:rPr>
        <w:t>Правилника о садржају ни начину достављања плана мера за отклањање и и ублажавање неравномерне заступљености полова</w:t>
      </w:r>
      <w:r w:rsidRPr="007507D0">
        <w:rPr>
          <w:sz w:val="24"/>
          <w:szCs w:val="24"/>
          <w:lang w:val="sr-Cyrl-RS"/>
        </w:rPr>
        <w:t xml:space="preserve"> </w:t>
      </w:r>
      <w:r w:rsidRPr="007507D0">
        <w:rPr>
          <w:i/>
          <w:sz w:val="24"/>
          <w:szCs w:val="24"/>
          <w:lang w:val="sr-Cyrl-RS"/>
        </w:rPr>
        <w:t>и годишњем извештају о његовом спровођењу</w:t>
      </w:r>
      <w:r w:rsidRPr="007507D0">
        <w:rPr>
          <w:sz w:val="24"/>
          <w:szCs w:val="24"/>
          <w:lang w:val="sr-Cyrl-RS"/>
        </w:rPr>
        <w:t>, послодавци су дужни да до 31. јануара усвоје извештај о спровођењу плана мера за предходну годину</w:t>
      </w:r>
      <w:r w:rsidR="004C7D68" w:rsidRPr="007507D0">
        <w:rPr>
          <w:sz w:val="24"/>
          <w:szCs w:val="24"/>
          <w:lang w:val="sr-Cyrl-RS"/>
        </w:rPr>
        <w:t xml:space="preserve"> и да донесу</w:t>
      </w:r>
      <w:r w:rsidRPr="007507D0">
        <w:rPr>
          <w:sz w:val="24"/>
          <w:szCs w:val="24"/>
          <w:lang w:val="sr-Cyrl-RS"/>
        </w:rPr>
        <w:t xml:space="preserve"> план мера за текућу годину. Правилник детаљно регулише садржај плана и извештаја који се доставља </w:t>
      </w:r>
      <w:r w:rsidRPr="007507D0">
        <w:rPr>
          <w:sz w:val="24"/>
          <w:szCs w:val="24"/>
          <w:lang w:val="sr-Cyrl-RS"/>
        </w:rPr>
        <w:lastRenderedPageBreak/>
        <w:t>ресорном Минис</w:t>
      </w:r>
      <w:r w:rsidR="00A74CB7" w:rsidRPr="007507D0">
        <w:rPr>
          <w:sz w:val="24"/>
          <w:szCs w:val="24"/>
          <w:lang w:val="sr-Cyrl-RS"/>
        </w:rPr>
        <w:t>тарству</w:t>
      </w:r>
      <w:r w:rsidR="003D07BC">
        <w:rPr>
          <w:sz w:val="24"/>
          <w:szCs w:val="24"/>
          <w:lang w:val="sr-Cyrl-RS"/>
        </w:rPr>
        <w:t>,</w:t>
      </w:r>
      <w:r w:rsidR="00A74CB7" w:rsidRPr="007507D0">
        <w:rPr>
          <w:sz w:val="24"/>
          <w:szCs w:val="24"/>
          <w:lang w:val="sr-Cyrl-RS"/>
        </w:rPr>
        <w:t xml:space="preserve"> најкасније до 31. марта текуће године. </w:t>
      </w:r>
      <w:r w:rsidRPr="007507D0">
        <w:rPr>
          <w:sz w:val="24"/>
          <w:szCs w:val="24"/>
          <w:lang w:val="sr-Cyrl-RS"/>
        </w:rPr>
        <w:t>У складу са наведеним,</w:t>
      </w:r>
      <w:r w:rsidR="00A74CB7" w:rsidRPr="007507D0">
        <w:rPr>
          <w:sz w:val="24"/>
          <w:szCs w:val="24"/>
          <w:lang w:val="sr-Cyrl-RS"/>
        </w:rPr>
        <w:t xml:space="preserve"> ресорном</w:t>
      </w:r>
      <w:r w:rsidRPr="007507D0">
        <w:rPr>
          <w:sz w:val="24"/>
          <w:szCs w:val="24"/>
          <w:lang w:val="sr-Cyrl-RS"/>
        </w:rPr>
        <w:t xml:space="preserve"> Министарству</w:t>
      </w:r>
      <w:r w:rsidR="005848AF" w:rsidRPr="007507D0">
        <w:rPr>
          <w:sz w:val="24"/>
          <w:szCs w:val="24"/>
          <w:lang w:val="sr-Cyrl-RS"/>
        </w:rPr>
        <w:t>, закључно са 31. мартом 2019. године</w:t>
      </w:r>
      <w:r w:rsidRPr="007507D0">
        <w:rPr>
          <w:sz w:val="24"/>
          <w:szCs w:val="24"/>
          <w:lang w:val="sr-Cyrl-RS"/>
        </w:rPr>
        <w:t xml:space="preserve"> достављено је укупно 186 </w:t>
      </w:r>
      <w:r w:rsidR="004C7D68" w:rsidRPr="007507D0">
        <w:rPr>
          <w:sz w:val="24"/>
          <w:szCs w:val="24"/>
          <w:lang w:val="sr-Cyrl-RS"/>
        </w:rPr>
        <w:t xml:space="preserve">извештаја о реализацији планираних мера у 2018. години, као </w:t>
      </w:r>
      <w:r w:rsidRPr="007507D0">
        <w:rPr>
          <w:sz w:val="24"/>
          <w:szCs w:val="24"/>
          <w:lang w:val="sr-Cyrl-RS"/>
        </w:rPr>
        <w:t>планова</w:t>
      </w:r>
      <w:r w:rsidR="005848AF" w:rsidRPr="007507D0">
        <w:rPr>
          <w:sz w:val="24"/>
          <w:szCs w:val="24"/>
          <w:lang w:val="sr-Cyrl-RS"/>
        </w:rPr>
        <w:t xml:space="preserve"> </w:t>
      </w:r>
      <w:r w:rsidR="004C7D68" w:rsidRPr="007507D0">
        <w:rPr>
          <w:sz w:val="24"/>
          <w:szCs w:val="24"/>
          <w:lang w:val="sr-Cyrl-RS"/>
        </w:rPr>
        <w:t>за 2019. годину</w:t>
      </w:r>
      <w:r w:rsidRPr="007507D0">
        <w:rPr>
          <w:sz w:val="24"/>
          <w:szCs w:val="24"/>
          <w:lang w:val="sr-Cyrl-RS"/>
        </w:rPr>
        <w:t>.</w:t>
      </w:r>
      <w:r w:rsidR="007507D0" w:rsidRPr="007507D0">
        <w:rPr>
          <w:sz w:val="24"/>
          <w:szCs w:val="24"/>
          <w:lang w:val="sr-Cyrl-RS"/>
        </w:rPr>
        <w:t xml:space="preserve"> </w:t>
      </w:r>
    </w:p>
    <w:p w:rsidR="00464A5A" w:rsidRDefault="00660B17" w:rsidP="00660B17">
      <w:pPr>
        <w:pStyle w:val="BodyText2"/>
        <w:spacing w:before="60"/>
        <w:ind w:firstLine="720"/>
        <w:rPr>
          <w:rFonts w:eastAsiaTheme="minorHAnsi"/>
          <w:color w:val="000000"/>
          <w:shd w:val="clear" w:color="auto" w:fill="FFFFFF"/>
          <w:lang w:val="sr-Cyrl-RS" w:eastAsia="sr-Cyrl-CS"/>
        </w:rPr>
      </w:pPr>
      <w:r w:rsidRPr="00B85A38">
        <w:rPr>
          <w:rFonts w:eastAsiaTheme="minorHAnsi"/>
          <w:color w:val="000000"/>
          <w:shd w:val="clear" w:color="auto" w:fill="FFFFFF"/>
          <w:lang w:val="sr-Cyrl-RS" w:eastAsia="sr-Cyrl-CS"/>
        </w:rPr>
        <w:t>Осим наведеног, треба имати у виду да „послодавци“ могу бити физичка и правна лица, али</w:t>
      </w:r>
      <w:r>
        <w:rPr>
          <w:rFonts w:eastAsiaTheme="minorHAnsi"/>
          <w:color w:val="000000"/>
          <w:shd w:val="clear" w:color="auto" w:fill="FFFFFF"/>
          <w:lang w:val="sr-Cyrl-RS" w:eastAsia="sr-Cyrl-CS"/>
        </w:rPr>
        <w:t xml:space="preserve"> и домаћи и страни привредни субјекти, тј. предузетници и привредна друштва, мала, средња и велика предузећа, али и задужбине, фондације и удружења, као и представништва страних удружења, спортска удружења и савези, о којима су подаци воде и ажурирају у регистру Агенције за привредне регистре (у даљем тексту: АПР). Према подацима АПР-а достављеним по захтеву Министарства, са пресеком стања на дан 31. децембар 2018. године, у Републици Србији има регистрованих: укупно 257.629 активних предузетника, од којих са 50 и више запослених 47; укупно 134.067 активних привредних друштава од којих са 50 и више запослених 2.881; укупно 846 активних задужбина и фондација, од којих са 50 и више запослених 3; укупно 32.209 удружења од којих са 50 и више запослених 7; укупно 70 активних представника страних удружења, од којих ни једно није са 50 и више запослених, као и укупно 14.116 активних спортских удружења и савеза, од којих са 50 и више запослених има 5. У вези са наведеним, указујемо да </w:t>
      </w:r>
      <w:r w:rsidR="00F47944">
        <w:rPr>
          <w:rFonts w:eastAsiaTheme="minorHAnsi"/>
          <w:color w:val="000000"/>
          <w:shd w:val="clear" w:color="auto" w:fill="FFFFFF"/>
          <w:lang w:val="sr-Cyrl-RS" w:eastAsia="sr-Cyrl-CS"/>
        </w:rPr>
        <w:t>би</w:t>
      </w:r>
      <w:r>
        <w:rPr>
          <w:rFonts w:eastAsiaTheme="minorHAnsi"/>
          <w:color w:val="000000"/>
          <w:shd w:val="clear" w:color="auto" w:fill="FFFFFF"/>
          <w:lang w:val="sr-Cyrl-RS" w:eastAsia="sr-Cyrl-CS"/>
        </w:rPr>
        <w:t xml:space="preserve"> подаци о послодавцима који запошљавају 50 и више запослених треба</w:t>
      </w:r>
      <w:r w:rsidR="00F47944">
        <w:rPr>
          <w:rFonts w:eastAsiaTheme="minorHAnsi"/>
          <w:color w:val="000000"/>
          <w:shd w:val="clear" w:color="auto" w:fill="FFFFFF"/>
          <w:lang w:val="sr-Cyrl-RS" w:eastAsia="sr-Cyrl-CS"/>
        </w:rPr>
        <w:t>ло</w:t>
      </w:r>
      <w:r>
        <w:rPr>
          <w:rFonts w:eastAsiaTheme="minorHAnsi"/>
          <w:color w:val="000000"/>
          <w:shd w:val="clear" w:color="auto" w:fill="FFFFFF"/>
          <w:lang w:val="sr-Cyrl-RS" w:eastAsia="sr-Cyrl-CS"/>
        </w:rPr>
        <w:t xml:space="preserve"> да</w:t>
      </w:r>
      <w:r w:rsidR="00F47944">
        <w:rPr>
          <w:rFonts w:eastAsiaTheme="minorHAnsi"/>
          <w:color w:val="000000"/>
          <w:shd w:val="clear" w:color="auto" w:fill="FFFFFF"/>
          <w:lang w:val="sr-Cyrl-RS" w:eastAsia="sr-Cyrl-CS"/>
        </w:rPr>
        <w:t xml:space="preserve"> се</w:t>
      </w:r>
      <w:r w:rsidR="00464A5A">
        <w:rPr>
          <w:rFonts w:eastAsiaTheme="minorHAnsi"/>
          <w:color w:val="000000"/>
          <w:shd w:val="clear" w:color="auto" w:fill="FFFFFF"/>
          <w:lang w:val="sr-Cyrl-RS" w:eastAsia="sr-Cyrl-CS"/>
        </w:rPr>
        <w:t xml:space="preserve"> </w:t>
      </w:r>
      <w:r w:rsidR="00F47944">
        <w:rPr>
          <w:rFonts w:eastAsiaTheme="minorHAnsi"/>
          <w:color w:val="000000"/>
          <w:shd w:val="clear" w:color="auto" w:fill="FFFFFF"/>
          <w:lang w:val="sr-Cyrl-RS" w:eastAsia="sr-Cyrl-CS"/>
        </w:rPr>
        <w:t>новим законским решењима</w:t>
      </w:r>
      <w:r w:rsidR="00464A5A">
        <w:rPr>
          <w:rFonts w:eastAsiaTheme="minorHAnsi"/>
          <w:color w:val="000000"/>
          <w:shd w:val="clear" w:color="auto" w:fill="FFFFFF"/>
          <w:lang w:val="sr-Cyrl-RS" w:eastAsia="sr-Cyrl-CS"/>
        </w:rPr>
        <w:t xml:space="preserve"> </w:t>
      </w:r>
      <w:r>
        <w:rPr>
          <w:rFonts w:eastAsiaTheme="minorHAnsi"/>
          <w:color w:val="000000"/>
          <w:shd w:val="clear" w:color="auto" w:fill="FFFFFF"/>
          <w:lang w:val="sr-Cyrl-RS" w:eastAsia="sr-Cyrl-CS"/>
        </w:rPr>
        <w:t>односе и на органе јавне власти</w:t>
      </w:r>
      <w:r w:rsidR="00464A5A">
        <w:rPr>
          <w:rFonts w:eastAsiaTheme="minorHAnsi"/>
          <w:color w:val="000000"/>
          <w:shd w:val="clear" w:color="auto" w:fill="FFFFFF"/>
          <w:lang w:val="sr-Cyrl-RS" w:eastAsia="sr-Cyrl-CS"/>
        </w:rPr>
        <w:t>.</w:t>
      </w:r>
    </w:p>
    <w:p w:rsidR="00464A5A" w:rsidRDefault="00464A5A" w:rsidP="00660B17">
      <w:pPr>
        <w:pStyle w:val="BodyText2"/>
        <w:spacing w:before="60"/>
        <w:ind w:firstLine="720"/>
        <w:rPr>
          <w:rFonts w:eastAsiaTheme="minorHAnsi"/>
          <w:color w:val="000000"/>
          <w:shd w:val="clear" w:color="auto" w:fill="FFFFFF"/>
          <w:lang w:val="sr-Cyrl-RS" w:eastAsia="sr-Cyrl-CS"/>
        </w:rPr>
      </w:pPr>
    </w:p>
    <w:p w:rsidR="00FF659D" w:rsidRPr="00B85A38" w:rsidRDefault="00FF659D" w:rsidP="006A5487">
      <w:pPr>
        <w:pStyle w:val="BodyText2"/>
        <w:numPr>
          <w:ilvl w:val="0"/>
          <w:numId w:val="8"/>
        </w:numPr>
        <w:spacing w:before="60"/>
        <w:ind w:hanging="11"/>
        <w:rPr>
          <w:b/>
          <w:lang w:val="sr-Cyrl-RS"/>
        </w:rPr>
      </w:pPr>
      <w:r w:rsidRPr="00B85A38">
        <w:rPr>
          <w:b/>
          <w:lang w:val="sr-Cyrl-RS"/>
        </w:rPr>
        <w:t>Надзор у јединици аутономне покрајине</w:t>
      </w:r>
    </w:p>
    <w:p w:rsidR="00FF659D" w:rsidRPr="00B85A38" w:rsidRDefault="00FF659D" w:rsidP="006A5487">
      <w:pPr>
        <w:pStyle w:val="BodyText2"/>
        <w:spacing w:before="60"/>
        <w:ind w:left="1080"/>
        <w:rPr>
          <w:lang w:val="sr-Cyrl-RS"/>
        </w:rPr>
      </w:pPr>
    </w:p>
    <w:p w:rsidR="00494103" w:rsidRPr="00B85A38" w:rsidRDefault="003B42F2" w:rsidP="006A5487">
      <w:pPr>
        <w:pStyle w:val="BodyText2"/>
        <w:spacing w:before="60"/>
        <w:ind w:firstLine="709"/>
        <w:rPr>
          <w:lang w:val="sr-Cyrl-RS"/>
        </w:rPr>
      </w:pPr>
      <w:r w:rsidRPr="00B85A38">
        <w:rPr>
          <w:lang w:val="sr-Cyrl-RS"/>
        </w:rPr>
        <w:t>Према члану 52. став 3</w:t>
      </w:r>
      <w:r w:rsidR="00980B74" w:rsidRPr="00B85A38">
        <w:rPr>
          <w:lang w:val="sr-Cyrl-RS"/>
        </w:rPr>
        <w:t>.</w:t>
      </w:r>
      <w:r w:rsidRPr="00B85A38">
        <w:rPr>
          <w:lang w:val="sr-Cyrl-RS"/>
        </w:rPr>
        <w:t xml:space="preserve"> надзор над применом </w:t>
      </w:r>
      <w:r w:rsidRPr="00A35900">
        <w:rPr>
          <w:i/>
          <w:lang w:val="sr-Cyrl-RS"/>
        </w:rPr>
        <w:t>Закона о равноправности полова</w:t>
      </w:r>
      <w:r w:rsidRPr="00B85A38">
        <w:rPr>
          <w:lang w:val="sr-Cyrl-RS"/>
        </w:rPr>
        <w:t xml:space="preserve"> </w:t>
      </w:r>
      <w:r w:rsidR="006A5487" w:rsidRPr="00B85A38">
        <w:rPr>
          <w:lang w:val="sr-Cyrl-RS"/>
        </w:rPr>
        <w:t xml:space="preserve">на </w:t>
      </w:r>
      <w:r w:rsidRPr="00B85A38">
        <w:rPr>
          <w:lang w:val="sr-Cyrl-RS"/>
        </w:rPr>
        <w:t>територији аутономне покрај</w:t>
      </w:r>
      <w:r w:rsidR="00F70BF5">
        <w:rPr>
          <w:lang w:val="sr-Cyrl-RS"/>
        </w:rPr>
        <w:t>и</w:t>
      </w:r>
      <w:r w:rsidRPr="00B85A38">
        <w:rPr>
          <w:lang w:val="sr-Cyrl-RS"/>
        </w:rPr>
        <w:t>не врши покрајински орган.</w:t>
      </w:r>
      <w:r w:rsidR="004C7D68" w:rsidRPr="00B85A38">
        <w:rPr>
          <w:lang w:val="sr-Cyrl-RS"/>
        </w:rPr>
        <w:t xml:space="preserve"> </w:t>
      </w:r>
      <w:r w:rsidR="001B06FF" w:rsidRPr="00B85A38">
        <w:rPr>
          <w:lang w:val="sr-Cyrl-RS"/>
        </w:rPr>
        <w:t>У извештај</w:t>
      </w:r>
      <w:r w:rsidR="00494103" w:rsidRPr="00B85A38">
        <w:rPr>
          <w:lang w:val="sr-Cyrl-RS"/>
        </w:rPr>
        <w:t>има које су ресорном Министарству доставили Покрајински секретаријат за социјалну политику, демографију и равноправност, Покрајински секретаријат за привреду, запошљавање и равноправност полова и Покрајински завод за равноправност полова уочљива је опредељеност ових органа да дају активан допринос</w:t>
      </w:r>
      <w:r w:rsidR="00F47944">
        <w:rPr>
          <w:lang w:val="sr-Cyrl-RS"/>
        </w:rPr>
        <w:t xml:space="preserve"> у</w:t>
      </w:r>
      <w:r w:rsidR="00494103" w:rsidRPr="00B85A38">
        <w:rPr>
          <w:lang w:val="sr-Cyrl-RS"/>
        </w:rPr>
        <w:t xml:space="preserve"> остваривању и унапређивању родне равноправности, о чему је у овом извештају било речи.</w:t>
      </w:r>
      <w:r w:rsidR="00A35900">
        <w:rPr>
          <w:lang w:val="sr-Cyrl-RS"/>
        </w:rPr>
        <w:t xml:space="preserve"> </w:t>
      </w:r>
    </w:p>
    <w:p w:rsidR="00AB30CF" w:rsidRPr="00B85A38" w:rsidRDefault="00AB30CF" w:rsidP="00AB30CF">
      <w:pPr>
        <w:pStyle w:val="NormalWeb"/>
        <w:shd w:val="clear" w:color="auto" w:fill="FFFFFF"/>
        <w:spacing w:before="0" w:beforeAutospacing="0" w:after="150" w:afterAutospacing="0"/>
        <w:jc w:val="both"/>
        <w:rPr>
          <w:rFonts w:ascii="Arial" w:hAnsi="Arial" w:cs="Arial"/>
          <w:spacing w:val="5"/>
          <w:lang w:val="ru-RU"/>
        </w:rPr>
      </w:pPr>
    </w:p>
    <w:p w:rsidR="004D2A16" w:rsidRPr="00B85A38" w:rsidRDefault="004D2A16" w:rsidP="004358A3">
      <w:pPr>
        <w:pStyle w:val="BodyText2"/>
        <w:tabs>
          <w:tab w:val="left" w:pos="709"/>
        </w:tabs>
        <w:spacing w:before="60"/>
        <w:jc w:val="center"/>
        <w:rPr>
          <w:b/>
          <w:lang w:val="sr-Cyrl-RS"/>
        </w:rPr>
      </w:pPr>
      <w:r w:rsidRPr="00B85A38">
        <w:rPr>
          <w:b/>
          <w:lang w:val="sr-Cyrl-RS"/>
        </w:rPr>
        <w:t>ИЗАЗОВИ, ПРЕПОРУКЕ И РЕШЕЊА</w:t>
      </w:r>
    </w:p>
    <w:p w:rsidR="006679DA" w:rsidRPr="00B85A38" w:rsidRDefault="006679DA" w:rsidP="006679DA">
      <w:pPr>
        <w:pStyle w:val="BodyText2"/>
        <w:tabs>
          <w:tab w:val="left" w:pos="709"/>
        </w:tabs>
        <w:spacing w:before="60"/>
        <w:rPr>
          <w:b/>
          <w:lang w:val="sr-Cyrl-RS"/>
        </w:rPr>
      </w:pPr>
    </w:p>
    <w:p w:rsidR="0034186D" w:rsidRPr="00B85A38" w:rsidRDefault="00F70BF5" w:rsidP="004358A3">
      <w:pPr>
        <w:pStyle w:val="BodyText2"/>
        <w:spacing w:before="60"/>
        <w:ind w:firstLine="720"/>
        <w:rPr>
          <w:rFonts w:eastAsiaTheme="minorHAnsi"/>
          <w:shd w:val="clear" w:color="auto" w:fill="FFFFFF"/>
          <w:lang w:val="sr-Cyrl-RS" w:eastAsia="sr-Cyrl-CS"/>
        </w:rPr>
      </w:pPr>
      <w:r>
        <w:rPr>
          <w:rFonts w:eastAsiaTheme="minorHAnsi"/>
          <w:shd w:val="clear" w:color="auto" w:fill="FFFFFF"/>
          <w:lang w:val="sr-Cyrl-RS" w:eastAsia="sr-Cyrl-CS"/>
        </w:rPr>
        <w:t>А</w:t>
      </w:r>
      <w:r w:rsidR="004D2A16" w:rsidRPr="00B85A38">
        <w:rPr>
          <w:rFonts w:eastAsiaTheme="minorHAnsi"/>
          <w:shd w:val="clear" w:color="auto" w:fill="FFFFFF"/>
          <w:lang w:val="sr-Cyrl-RS" w:eastAsia="sr-Cyrl-CS"/>
        </w:rPr>
        <w:t>нтидискриминациони закони донети у Републици Србији су врло прогресивни, али њихов</w:t>
      </w:r>
      <w:r w:rsidR="00464A5A">
        <w:rPr>
          <w:rFonts w:eastAsiaTheme="minorHAnsi"/>
          <w:shd w:val="clear" w:color="auto" w:fill="FFFFFF"/>
          <w:lang w:val="sr-Cyrl-RS" w:eastAsia="sr-Cyrl-CS"/>
        </w:rPr>
        <w:t xml:space="preserve">а </w:t>
      </w:r>
      <w:r w:rsidR="004D2A16" w:rsidRPr="00B85A38">
        <w:rPr>
          <w:rFonts w:eastAsiaTheme="minorHAnsi"/>
          <w:shd w:val="clear" w:color="auto" w:fill="FFFFFF"/>
          <w:lang w:val="sr-Cyrl-RS" w:eastAsia="sr-Cyrl-CS"/>
        </w:rPr>
        <w:t>примен</w:t>
      </w:r>
      <w:r w:rsidR="00464A5A">
        <w:rPr>
          <w:rFonts w:eastAsiaTheme="minorHAnsi"/>
          <w:shd w:val="clear" w:color="auto" w:fill="FFFFFF"/>
          <w:lang w:val="sr-Cyrl-RS" w:eastAsia="sr-Cyrl-CS"/>
        </w:rPr>
        <w:t>а</w:t>
      </w:r>
      <w:r w:rsidR="004D2A16" w:rsidRPr="00B85A38">
        <w:rPr>
          <w:rFonts w:eastAsiaTheme="minorHAnsi"/>
          <w:shd w:val="clear" w:color="auto" w:fill="FFFFFF"/>
          <w:lang w:val="sr-Cyrl-RS" w:eastAsia="sr-Cyrl-CS"/>
        </w:rPr>
        <w:t xml:space="preserve"> у пракси није </w:t>
      </w:r>
      <w:r w:rsidR="00515ED5">
        <w:rPr>
          <w:rFonts w:eastAsiaTheme="minorHAnsi"/>
          <w:shd w:val="clear" w:color="auto" w:fill="FFFFFF"/>
          <w:lang w:val="sr-Cyrl-RS" w:eastAsia="sr-Cyrl-CS"/>
        </w:rPr>
        <w:t>делотворна у потпуности.</w:t>
      </w:r>
      <w:r w:rsidR="00515ED5" w:rsidRPr="00B85A38">
        <w:rPr>
          <w:rFonts w:eastAsiaTheme="minorHAnsi"/>
          <w:shd w:val="clear" w:color="auto" w:fill="FFFFFF"/>
          <w:lang w:val="sr-Cyrl-RS" w:eastAsia="sr-Cyrl-CS"/>
        </w:rPr>
        <w:t xml:space="preserve"> </w:t>
      </w:r>
      <w:r w:rsidR="004D2A16" w:rsidRPr="00B85A38">
        <w:rPr>
          <w:rFonts w:eastAsiaTheme="minorHAnsi"/>
          <w:shd w:val="clear" w:color="auto" w:fill="FFFFFF"/>
          <w:lang w:val="sr-Cyrl-RS" w:eastAsia="sr-Cyrl-CS"/>
        </w:rPr>
        <w:t xml:space="preserve">на </w:t>
      </w:r>
      <w:r w:rsidR="00464A5A">
        <w:rPr>
          <w:rFonts w:eastAsiaTheme="minorHAnsi"/>
          <w:shd w:val="clear" w:color="auto" w:fill="FFFFFF"/>
          <w:lang w:val="sr-Cyrl-RS" w:eastAsia="sr-Cyrl-CS"/>
        </w:rPr>
        <w:t>одговарајући</w:t>
      </w:r>
      <w:r w:rsidR="004D2A16" w:rsidRPr="00B85A38">
        <w:rPr>
          <w:rFonts w:eastAsiaTheme="minorHAnsi"/>
          <w:shd w:val="clear" w:color="auto" w:fill="FFFFFF"/>
          <w:lang w:val="sr-Cyrl-RS" w:eastAsia="sr-Cyrl-CS"/>
        </w:rPr>
        <w:t xml:space="preserve"> начин регулисан</w:t>
      </w:r>
      <w:r w:rsidR="00464A5A">
        <w:rPr>
          <w:rFonts w:eastAsiaTheme="minorHAnsi"/>
          <w:shd w:val="clear" w:color="auto" w:fill="FFFFFF"/>
          <w:lang w:val="sr-Cyrl-RS" w:eastAsia="sr-Cyrl-CS"/>
        </w:rPr>
        <w:t>а</w:t>
      </w:r>
      <w:r w:rsidR="004D2A16" w:rsidRPr="00B85A38">
        <w:rPr>
          <w:rFonts w:eastAsiaTheme="minorHAnsi"/>
          <w:shd w:val="clear" w:color="auto" w:fill="FFFFFF"/>
          <w:lang w:val="sr-Cyrl-RS" w:eastAsia="sr-Cyrl-CS"/>
        </w:rPr>
        <w:t xml:space="preserve"> одредбама тих закона. Примера ради, иако се у члану 2. став 4. </w:t>
      </w:r>
      <w:r w:rsidR="004D2A16" w:rsidRPr="00EB62B3">
        <w:rPr>
          <w:rFonts w:eastAsiaTheme="minorHAnsi"/>
          <w:i/>
          <w:shd w:val="clear" w:color="auto" w:fill="FFFFFF"/>
          <w:lang w:val="sr-Cyrl-RS" w:eastAsia="sr-Cyrl-CS"/>
        </w:rPr>
        <w:t>Закона о равноправности полова</w:t>
      </w:r>
      <w:r w:rsidR="004D2A16" w:rsidRPr="00B85A38">
        <w:rPr>
          <w:rFonts w:eastAsiaTheme="minorHAnsi"/>
          <w:shd w:val="clear" w:color="auto" w:fill="FFFFFF"/>
          <w:lang w:val="sr-Cyrl-RS" w:eastAsia="sr-Cyrl-CS"/>
        </w:rPr>
        <w:t xml:space="preserve"> предвиђено да</w:t>
      </w:r>
      <w:r w:rsidR="00515ED5">
        <w:rPr>
          <w:rFonts w:eastAsiaTheme="minorHAnsi"/>
          <w:shd w:val="clear" w:color="auto" w:fill="FFFFFF"/>
          <w:lang w:val="sr-Cyrl-RS" w:eastAsia="sr-Cyrl-CS"/>
        </w:rPr>
        <w:t xml:space="preserve"> су</w:t>
      </w:r>
      <w:r w:rsidR="004D2A16" w:rsidRPr="00B85A38">
        <w:rPr>
          <w:rFonts w:eastAsiaTheme="minorHAnsi"/>
          <w:shd w:val="clear" w:color="auto" w:fill="FFFFFF"/>
          <w:lang w:val="sr-Cyrl-RS" w:eastAsia="sr-Cyrl-CS"/>
        </w:rPr>
        <w:t xml:space="preserve"> „Државни органи, органи аутономних покрајина, органи јединица локалних самоуправа, органи организација којима је поверено вршење јавних овлашћења, као и правна лица које оснива и финансира у целини, односно у претежном делу Република Србија, аутономна покрајина и локална самоуправа (у даљем тексту: органи јавне власти) дужни да прате остваривање равноправности засноване на полу у свим областима друштвеног живота, примену међународних стандарда и </w:t>
      </w:r>
      <w:r w:rsidR="004D2A16" w:rsidRPr="00EB62B3">
        <w:rPr>
          <w:rFonts w:eastAsiaTheme="minorHAnsi"/>
          <w:i/>
          <w:shd w:val="clear" w:color="auto" w:fill="FFFFFF"/>
          <w:lang w:val="sr-Cyrl-RS" w:eastAsia="sr-Cyrl-CS"/>
        </w:rPr>
        <w:t xml:space="preserve">Уставом </w:t>
      </w:r>
      <w:r w:rsidR="00B4495E" w:rsidRPr="00B85A38">
        <w:rPr>
          <w:rFonts w:eastAsiaTheme="minorHAnsi"/>
          <w:shd w:val="clear" w:color="auto" w:fill="FFFFFF"/>
          <w:lang w:val="sr-Cyrl-RS" w:eastAsia="sr-Cyrl-CS"/>
        </w:rPr>
        <w:t>зајемчених права у овој области</w:t>
      </w:r>
      <w:r w:rsidR="004D2A16" w:rsidRPr="00B85A38">
        <w:rPr>
          <w:rFonts w:eastAsiaTheme="minorHAnsi"/>
          <w:shd w:val="clear" w:color="auto" w:fill="FFFFFF"/>
          <w:lang w:val="sr-Cyrl-RS" w:eastAsia="sr-Cyrl-CS"/>
        </w:rPr>
        <w:t>“, чињеница је да тим законом није предвиђена и обавеза годишњег извештавања свих органа државне управе и локалне самоуправе и установљених механизама за равноправност полова, већ само послодаваца</w:t>
      </w:r>
      <w:r w:rsidR="00B4495E" w:rsidRPr="00B85A38">
        <w:rPr>
          <w:rFonts w:eastAsiaTheme="minorHAnsi"/>
          <w:shd w:val="clear" w:color="auto" w:fill="FFFFFF"/>
          <w:lang w:val="sr-Cyrl-RS" w:eastAsia="sr-Cyrl-CS"/>
        </w:rPr>
        <w:t xml:space="preserve"> који нису органи јавне власти и запошљававају 50 и више лица</w:t>
      </w:r>
      <w:r w:rsidR="004D2A16" w:rsidRPr="00B85A38">
        <w:rPr>
          <w:rFonts w:eastAsiaTheme="minorHAnsi"/>
          <w:shd w:val="clear" w:color="auto" w:fill="FFFFFF"/>
          <w:lang w:val="sr-Cyrl-RS" w:eastAsia="sr-Cyrl-CS"/>
        </w:rPr>
        <w:t xml:space="preserve"> (члан 13)</w:t>
      </w:r>
      <w:r w:rsidR="0034186D" w:rsidRPr="00B85A38">
        <w:rPr>
          <w:rFonts w:eastAsiaTheme="minorHAnsi"/>
          <w:shd w:val="clear" w:color="auto" w:fill="FFFFFF"/>
          <w:lang w:val="sr-Cyrl-RS" w:eastAsia="sr-Cyrl-CS"/>
        </w:rPr>
        <w:t xml:space="preserve"> и</w:t>
      </w:r>
      <w:r w:rsidR="004D2A16" w:rsidRPr="00B85A38">
        <w:rPr>
          <w:rFonts w:eastAsiaTheme="minorHAnsi"/>
          <w:shd w:val="clear" w:color="auto" w:fill="FFFFFF"/>
          <w:lang w:val="sr-Cyrl-RS" w:eastAsia="sr-Cyrl-CS"/>
        </w:rPr>
        <w:t xml:space="preserve"> правосудних органа (члан</w:t>
      </w:r>
      <w:r w:rsidR="006A5487" w:rsidRPr="00B85A38">
        <w:rPr>
          <w:rFonts w:eastAsiaTheme="minorHAnsi"/>
          <w:shd w:val="clear" w:color="auto" w:fill="FFFFFF"/>
          <w:lang w:val="sr-Cyrl-RS" w:eastAsia="sr-Cyrl-CS"/>
        </w:rPr>
        <w:t xml:space="preserve"> 51</w:t>
      </w:r>
      <w:r w:rsidR="004D2A16" w:rsidRPr="00B85A38">
        <w:rPr>
          <w:rFonts w:eastAsiaTheme="minorHAnsi"/>
          <w:shd w:val="clear" w:color="auto" w:fill="FFFFFF"/>
          <w:lang w:val="sr-Cyrl-RS" w:eastAsia="sr-Cyrl-CS"/>
        </w:rPr>
        <w:t>)</w:t>
      </w:r>
      <w:r w:rsidR="00515ED5">
        <w:rPr>
          <w:rFonts w:eastAsiaTheme="minorHAnsi"/>
          <w:shd w:val="clear" w:color="auto" w:fill="FFFFFF"/>
          <w:lang w:val="sr-Cyrl-RS" w:eastAsia="sr-Cyrl-CS"/>
        </w:rPr>
        <w:t xml:space="preserve">. Истовремено, </w:t>
      </w:r>
      <w:r w:rsidR="0034186D" w:rsidRPr="00B85A38">
        <w:rPr>
          <w:rFonts w:eastAsiaTheme="minorHAnsi"/>
          <w:shd w:val="clear" w:color="auto" w:fill="FFFFFF"/>
          <w:lang w:val="sr-Cyrl-RS" w:eastAsia="sr-Cyrl-CS"/>
        </w:rPr>
        <w:t>институције које се баве здравственом и социјалном заштитом, образовањем</w:t>
      </w:r>
      <w:r w:rsidR="004D2A16" w:rsidRPr="00B85A38">
        <w:rPr>
          <w:rFonts w:eastAsiaTheme="minorHAnsi"/>
          <w:shd w:val="clear" w:color="auto" w:fill="FFFFFF"/>
          <w:lang w:val="sr-Cyrl-RS" w:eastAsia="sr-Cyrl-CS"/>
        </w:rPr>
        <w:t xml:space="preserve"> и</w:t>
      </w:r>
      <w:r w:rsidR="0034186D" w:rsidRPr="00B85A38">
        <w:rPr>
          <w:rFonts w:eastAsiaTheme="minorHAnsi"/>
          <w:shd w:val="clear" w:color="auto" w:fill="FFFFFF"/>
          <w:lang w:val="sr-Cyrl-RS" w:eastAsia="sr-Cyrl-CS"/>
        </w:rPr>
        <w:t xml:space="preserve"> васпитањем, културом и информисањем, спортом, с</w:t>
      </w:r>
      <w:r w:rsidR="00EB62B3">
        <w:rPr>
          <w:rFonts w:eastAsiaTheme="minorHAnsi"/>
          <w:shd w:val="clear" w:color="auto" w:fill="FFFFFF"/>
          <w:lang w:val="sr-Cyrl-RS" w:eastAsia="sr-Cyrl-CS"/>
        </w:rPr>
        <w:t xml:space="preserve">индикалним или политичким радом и </w:t>
      </w:r>
      <w:r w:rsidR="0034186D" w:rsidRPr="00B85A38">
        <w:rPr>
          <w:rFonts w:eastAsiaTheme="minorHAnsi"/>
          <w:shd w:val="clear" w:color="auto" w:fill="FFFFFF"/>
          <w:lang w:val="sr-Cyrl-RS" w:eastAsia="sr-Cyrl-CS"/>
        </w:rPr>
        <w:t>удружења немају  формалну обавезу извештавања о спровођењу тог закона, као ни успостављени механизми за родну</w:t>
      </w:r>
      <w:r w:rsidR="00EB62B3">
        <w:rPr>
          <w:rFonts w:eastAsiaTheme="minorHAnsi"/>
          <w:shd w:val="clear" w:color="auto" w:fill="FFFFFF"/>
          <w:lang w:val="sr-Cyrl-RS" w:eastAsia="sr-Cyrl-CS"/>
        </w:rPr>
        <w:t xml:space="preserve"> равноправност на локалном, пок</w:t>
      </w:r>
      <w:r w:rsidR="0034186D" w:rsidRPr="00B85A38">
        <w:rPr>
          <w:rFonts w:eastAsiaTheme="minorHAnsi"/>
          <w:shd w:val="clear" w:color="auto" w:fill="FFFFFF"/>
          <w:lang w:val="sr-Cyrl-RS" w:eastAsia="sr-Cyrl-CS"/>
        </w:rPr>
        <w:t>рајинском и републичком нивоу.</w:t>
      </w:r>
    </w:p>
    <w:p w:rsidR="004D2A16" w:rsidRPr="00494103" w:rsidRDefault="00515ED5" w:rsidP="004358A3">
      <w:pPr>
        <w:pStyle w:val="BodyText2"/>
        <w:spacing w:before="60"/>
        <w:ind w:firstLine="720"/>
        <w:rPr>
          <w:lang w:val="sr-Cyrl-RS"/>
        </w:rPr>
      </w:pPr>
      <w:r>
        <w:rPr>
          <w:lang w:val="sr-Cyrl-RS"/>
        </w:rPr>
        <w:lastRenderedPageBreak/>
        <w:t>Иако</w:t>
      </w:r>
      <w:r w:rsidR="0034186D" w:rsidRPr="00494103">
        <w:rPr>
          <w:lang w:val="sr-Cyrl-RS"/>
        </w:rPr>
        <w:t xml:space="preserve"> посто</w:t>
      </w:r>
      <w:r>
        <w:rPr>
          <w:lang w:val="sr-Cyrl-RS"/>
        </w:rPr>
        <w:t>ји</w:t>
      </w:r>
      <w:r w:rsidR="0034186D" w:rsidRPr="00494103">
        <w:rPr>
          <w:lang w:val="sr-Cyrl-RS"/>
        </w:rPr>
        <w:t xml:space="preserve"> обавез</w:t>
      </w:r>
      <w:r>
        <w:rPr>
          <w:lang w:val="sr-Cyrl-RS"/>
        </w:rPr>
        <w:t>а</w:t>
      </w:r>
      <w:r w:rsidR="0034186D" w:rsidRPr="00494103">
        <w:rPr>
          <w:lang w:val="sr-Cyrl-RS"/>
        </w:rPr>
        <w:t xml:space="preserve"> извештавања ресорног министарства од стране правосудних органа, о</w:t>
      </w:r>
      <w:r w:rsidR="004D2A16" w:rsidRPr="00494103">
        <w:rPr>
          <w:lang w:val="sr-Cyrl-RS"/>
        </w:rPr>
        <w:t xml:space="preserve">д укупно </w:t>
      </w:r>
      <w:r w:rsidR="004D2A16" w:rsidRPr="00494103">
        <w:rPr>
          <w:rFonts w:eastAsiaTheme="minorHAnsi"/>
          <w:shd w:val="clear" w:color="auto" w:fill="FFFFFF"/>
          <w:lang w:val="sr-Cyrl-RS" w:eastAsia="sr-Cyrl-CS"/>
        </w:rPr>
        <w:t>67 основних су</w:t>
      </w:r>
      <w:r w:rsidR="0034186D" w:rsidRPr="00494103">
        <w:rPr>
          <w:rFonts w:eastAsiaTheme="minorHAnsi"/>
          <w:shd w:val="clear" w:color="auto" w:fill="FFFFFF"/>
          <w:lang w:val="sr-Cyrl-RS" w:eastAsia="sr-Cyrl-CS"/>
        </w:rPr>
        <w:t>дова и 25 виших судова</w:t>
      </w:r>
      <w:r w:rsidR="005B61A7">
        <w:rPr>
          <w:rFonts w:eastAsiaTheme="minorHAnsi"/>
          <w:shd w:val="clear" w:color="auto" w:fill="FFFFFF"/>
          <w:lang w:val="sr-Cyrl-RS" w:eastAsia="sr-Cyrl-CS"/>
        </w:rPr>
        <w:t xml:space="preserve"> и четири апелациона суда</w:t>
      </w:r>
      <w:r w:rsidR="0034186D" w:rsidRPr="00494103">
        <w:rPr>
          <w:rFonts w:eastAsiaTheme="minorHAnsi"/>
          <w:shd w:val="clear" w:color="auto" w:fill="FFFFFF"/>
          <w:lang w:val="sr-Cyrl-RS" w:eastAsia="sr-Cyrl-CS"/>
        </w:rPr>
        <w:t>,</w:t>
      </w:r>
      <w:r w:rsidR="00E642CA">
        <w:rPr>
          <w:rFonts w:eastAsiaTheme="minorHAnsi"/>
          <w:shd w:val="clear" w:color="auto" w:fill="FFFFFF"/>
          <w:lang w:val="sr-Cyrl-RS" w:eastAsia="sr-Cyrl-CS"/>
        </w:rPr>
        <w:t xml:space="preserve"> по </w:t>
      </w:r>
      <w:r w:rsidR="004D2A16" w:rsidRPr="00494103">
        <w:rPr>
          <w:rFonts w:eastAsiaTheme="minorHAnsi"/>
          <w:shd w:val="clear" w:color="auto" w:fill="FFFFFF"/>
          <w:lang w:val="sr-Cyrl-RS" w:eastAsia="sr-Cyrl-CS"/>
        </w:rPr>
        <w:t xml:space="preserve"> овом </w:t>
      </w:r>
      <w:r w:rsidR="00E642CA">
        <w:rPr>
          <w:rFonts w:eastAsiaTheme="minorHAnsi"/>
          <w:shd w:val="clear" w:color="auto" w:fill="FFFFFF"/>
          <w:lang w:val="sr-Cyrl-RS" w:eastAsia="sr-Cyrl-CS"/>
        </w:rPr>
        <w:t>основу Министарство је добило</w:t>
      </w:r>
      <w:r w:rsidR="004D2A16" w:rsidRPr="00494103">
        <w:rPr>
          <w:rFonts w:eastAsiaTheme="minorHAnsi"/>
          <w:shd w:val="clear" w:color="auto" w:fill="FFFFFF"/>
          <w:lang w:val="sr-Cyrl-RS" w:eastAsia="sr-Cyrl-CS"/>
        </w:rPr>
        <w:t xml:space="preserve"> </w:t>
      </w:r>
      <w:r w:rsidR="00E642CA">
        <w:rPr>
          <w:rFonts w:eastAsiaTheme="minorHAnsi"/>
          <w:shd w:val="clear" w:color="auto" w:fill="FFFFFF"/>
          <w:lang w:val="sr-Cyrl-RS" w:eastAsia="sr-Cyrl-CS"/>
        </w:rPr>
        <w:t xml:space="preserve">извештаје из </w:t>
      </w:r>
      <w:r w:rsidR="00E642CA" w:rsidRPr="00494103">
        <w:rPr>
          <w:rFonts w:eastAsiaTheme="minorHAnsi"/>
          <w:shd w:val="clear" w:color="auto" w:fill="FFFFFF"/>
          <w:lang w:val="sr-Cyrl-RS" w:eastAsia="sr-Cyrl-CS"/>
        </w:rPr>
        <w:t>1</w:t>
      </w:r>
      <w:r w:rsidR="00E642CA">
        <w:rPr>
          <w:rFonts w:eastAsiaTheme="minorHAnsi"/>
          <w:shd w:val="clear" w:color="auto" w:fill="FFFFFF"/>
          <w:lang w:val="sr-Cyrl-RS" w:eastAsia="sr-Cyrl-CS"/>
        </w:rPr>
        <w:t>4</w:t>
      </w:r>
      <w:r w:rsidR="00E642CA" w:rsidRPr="00494103">
        <w:rPr>
          <w:rFonts w:eastAsiaTheme="minorHAnsi"/>
          <w:shd w:val="clear" w:color="auto" w:fill="FFFFFF"/>
          <w:lang w:val="sr-Cyrl-RS" w:eastAsia="sr-Cyrl-CS"/>
        </w:rPr>
        <w:t xml:space="preserve"> основих судова</w:t>
      </w:r>
      <w:r w:rsidR="00E642CA">
        <w:rPr>
          <w:rFonts w:eastAsiaTheme="minorHAnsi"/>
          <w:shd w:val="clear" w:color="auto" w:fill="FFFFFF"/>
          <w:lang w:val="sr-Cyrl-RS" w:eastAsia="sr-Cyrl-CS"/>
        </w:rPr>
        <w:t>,</w:t>
      </w:r>
      <w:r w:rsidR="00E642CA" w:rsidRPr="00494103">
        <w:rPr>
          <w:rFonts w:eastAsiaTheme="minorHAnsi"/>
          <w:shd w:val="clear" w:color="auto" w:fill="FFFFFF"/>
          <w:lang w:val="sr-Cyrl-RS" w:eastAsia="sr-Cyrl-CS"/>
        </w:rPr>
        <w:t xml:space="preserve"> </w:t>
      </w:r>
      <w:r w:rsidR="00E642CA">
        <w:rPr>
          <w:rFonts w:eastAsiaTheme="minorHAnsi"/>
          <w:shd w:val="clear" w:color="auto" w:fill="FFFFFF"/>
          <w:lang w:val="sr-Cyrl-RS" w:eastAsia="sr-Cyrl-CS"/>
        </w:rPr>
        <w:t>6</w:t>
      </w:r>
      <w:r w:rsidR="004D2A16" w:rsidRPr="00494103">
        <w:rPr>
          <w:rFonts w:eastAsiaTheme="minorHAnsi"/>
          <w:shd w:val="clear" w:color="auto" w:fill="FFFFFF"/>
          <w:lang w:val="sr-Cyrl-RS" w:eastAsia="sr-Cyrl-CS"/>
        </w:rPr>
        <w:t xml:space="preserve"> виших и </w:t>
      </w:r>
      <w:r w:rsidR="00E642CA">
        <w:rPr>
          <w:rFonts w:eastAsiaTheme="minorHAnsi"/>
          <w:shd w:val="clear" w:color="auto" w:fill="FFFFFF"/>
          <w:lang w:val="sr-Cyrl-RS" w:eastAsia="sr-Cyrl-CS"/>
        </w:rPr>
        <w:t>и два апелациона суда,</w:t>
      </w:r>
      <w:r w:rsidR="004D2A16" w:rsidRPr="00494103">
        <w:rPr>
          <w:rFonts w:eastAsiaTheme="minorHAnsi"/>
          <w:shd w:val="clear" w:color="auto" w:fill="FFFFFF"/>
          <w:lang w:val="sr-Cyrl-RS" w:eastAsia="sr-Cyrl-CS"/>
        </w:rPr>
        <w:t xml:space="preserve"> </w:t>
      </w:r>
      <w:r w:rsidR="00E642CA">
        <w:rPr>
          <w:rFonts w:eastAsiaTheme="minorHAnsi"/>
          <w:shd w:val="clear" w:color="auto" w:fill="FFFFFF"/>
          <w:lang w:val="sr-Cyrl-RS" w:eastAsia="sr-Cyrl-CS"/>
        </w:rPr>
        <w:t>на основу којих се долази до сазнања да</w:t>
      </w:r>
      <w:r w:rsidR="004D2A16" w:rsidRPr="00494103">
        <w:rPr>
          <w:rFonts w:eastAsiaTheme="minorHAnsi"/>
          <w:shd w:val="clear" w:color="auto" w:fill="FFFFFF"/>
          <w:lang w:val="sr-Cyrl-RS" w:eastAsia="sr-Cyrl-CS"/>
        </w:rPr>
        <w:t xml:space="preserve"> </w:t>
      </w:r>
      <w:r w:rsidR="0034186D" w:rsidRPr="00494103">
        <w:rPr>
          <w:rFonts w:eastAsiaTheme="minorHAnsi"/>
          <w:shd w:val="clear" w:color="auto" w:fill="FFFFFF"/>
          <w:lang w:val="sr-Cyrl-RS" w:eastAsia="sr-Cyrl-CS"/>
        </w:rPr>
        <w:t>је само</w:t>
      </w:r>
      <w:r w:rsidR="004D2A16" w:rsidRPr="00494103">
        <w:rPr>
          <w:rFonts w:eastAsiaTheme="minorHAnsi"/>
          <w:shd w:val="clear" w:color="auto" w:fill="FFFFFF"/>
          <w:lang w:val="sr-Cyrl-RS" w:eastAsia="sr-Cyrl-CS"/>
        </w:rPr>
        <w:t xml:space="preserve"> један случај процесуиран и добио судски епилог због дискриминације</w:t>
      </w:r>
      <w:r w:rsidR="0034186D" w:rsidRPr="00494103">
        <w:rPr>
          <w:rFonts w:eastAsiaTheme="minorHAnsi"/>
          <w:shd w:val="clear" w:color="auto" w:fill="FFFFFF"/>
          <w:lang w:val="sr-Cyrl-RS" w:eastAsia="sr-Cyrl-CS"/>
        </w:rPr>
        <w:t xml:space="preserve"> по основу пола у 2018. години</w:t>
      </w:r>
      <w:r w:rsidR="004D2A16" w:rsidRPr="00494103">
        <w:rPr>
          <w:rFonts w:eastAsiaTheme="minorHAnsi"/>
          <w:shd w:val="clear" w:color="auto" w:fill="FFFFFF"/>
          <w:lang w:val="sr-Cyrl-RS" w:eastAsia="sr-Cyrl-CS"/>
        </w:rPr>
        <w:t>.</w:t>
      </w:r>
    </w:p>
    <w:p w:rsidR="004D2A16" w:rsidRPr="00494103" w:rsidRDefault="005B61A7" w:rsidP="004358A3">
      <w:pPr>
        <w:pStyle w:val="BodyText2"/>
        <w:spacing w:before="60"/>
        <w:ind w:firstLine="720"/>
        <w:rPr>
          <w:lang w:val="sr-Cyrl-RS"/>
        </w:rPr>
      </w:pPr>
      <w:r>
        <w:rPr>
          <w:lang w:val="sr-Cyrl-RS"/>
        </w:rPr>
        <w:t>У оквиру процеса придружења</w:t>
      </w:r>
      <w:r w:rsidR="00BD7EF1">
        <w:rPr>
          <w:lang w:val="sr-Cyrl-RS"/>
        </w:rPr>
        <w:t xml:space="preserve"> Републике Србије </w:t>
      </w:r>
      <w:r w:rsidR="004D2A16" w:rsidRPr="00494103">
        <w:rPr>
          <w:lang w:val="sr-Cyrl-RS"/>
        </w:rPr>
        <w:t xml:space="preserve">Европској унији (ЕУ) уочено је да се постојећим решењима </w:t>
      </w:r>
      <w:r w:rsidR="004D2A16" w:rsidRPr="00A35900">
        <w:rPr>
          <w:i/>
          <w:lang w:val="sr-Cyrl-RS"/>
        </w:rPr>
        <w:t>Закона о равноправности полова</w:t>
      </w:r>
      <w:r w:rsidR="004D2A16" w:rsidRPr="00494103">
        <w:rPr>
          <w:lang w:val="sr-Cyrl-RS"/>
        </w:rPr>
        <w:t xml:space="preserve"> не достижу заједничке тековине равноправности жена и мушкараца и да није у пуној мери усаглашен са релевантним законодавством ЕУ, а пре свега, у односу на: примену принципа равноправног третмана жена и мушкараца у приступу и набавци роба и услуга, у имплементацији начела једнаких могућности и једнаког третмана жена и мушкараца у вези са питањима </w:t>
      </w:r>
      <w:r w:rsidR="00730252" w:rsidRPr="00494103">
        <w:rPr>
          <w:lang w:val="sr-Cyrl-RS"/>
        </w:rPr>
        <w:t>само</w:t>
      </w:r>
      <w:r w:rsidR="004D2A16" w:rsidRPr="00494103">
        <w:rPr>
          <w:lang w:val="sr-Cyrl-RS"/>
        </w:rPr>
        <w:t>запошљавања и обављања занимања</w:t>
      </w:r>
      <w:r w:rsidR="00730252" w:rsidRPr="00494103">
        <w:rPr>
          <w:lang w:val="sr-Cyrl-RS"/>
        </w:rPr>
        <w:t>, учешћа у доношењу одлука, заштите репродуктивног здравља итд</w:t>
      </w:r>
      <w:r w:rsidR="004D2A16" w:rsidRPr="00494103">
        <w:rPr>
          <w:lang w:val="sr-Cyrl-RS"/>
        </w:rPr>
        <w:t>.</w:t>
      </w:r>
    </w:p>
    <w:p w:rsidR="004D2A16" w:rsidRPr="00494103" w:rsidRDefault="004D2A16" w:rsidP="004358A3">
      <w:pPr>
        <w:pStyle w:val="BodyText2"/>
        <w:spacing w:before="60"/>
        <w:ind w:firstLine="720"/>
        <w:rPr>
          <w:lang w:val="x-none"/>
        </w:rPr>
      </w:pPr>
      <w:r w:rsidRPr="00494103">
        <w:rPr>
          <w:lang w:val="x-none"/>
        </w:rPr>
        <w:t xml:space="preserve">Такође, </w:t>
      </w:r>
      <w:r w:rsidRPr="00494103">
        <w:rPr>
          <w:lang w:val="sr-Cyrl-RS"/>
        </w:rPr>
        <w:t>потребно</w:t>
      </w:r>
      <w:r w:rsidRPr="00494103">
        <w:rPr>
          <w:lang w:val="x-none"/>
        </w:rPr>
        <w:t xml:space="preserve"> је потпуније усклађивање текста закона са потврђеним међународним споразумим</w:t>
      </w:r>
      <w:r w:rsidR="00515ED5">
        <w:rPr>
          <w:lang w:val="sr-Cyrl-RS"/>
        </w:rPr>
        <w:t>а,</w:t>
      </w:r>
      <w:r w:rsidR="00A35900">
        <w:rPr>
          <w:lang w:val="sr-Cyrl-RS"/>
        </w:rPr>
        <w:t xml:space="preserve"> а пре свега с</w:t>
      </w:r>
      <w:r w:rsidRPr="00494103">
        <w:rPr>
          <w:lang w:val="x-none"/>
        </w:rPr>
        <w:t xml:space="preserve">а: </w:t>
      </w:r>
      <w:r w:rsidRPr="00494103">
        <w:rPr>
          <w:i/>
          <w:lang w:val="x-none"/>
        </w:rPr>
        <w:t>Конвенцијом о елиминисању свих облика дискримина</w:t>
      </w:r>
      <w:r w:rsidRPr="00494103">
        <w:rPr>
          <w:i/>
          <w:lang w:val="sr-Cyrl-RS"/>
        </w:rPr>
        <w:t>ц</w:t>
      </w:r>
      <w:r w:rsidRPr="00494103">
        <w:rPr>
          <w:i/>
          <w:lang w:val="x-none"/>
        </w:rPr>
        <w:t>ије</w:t>
      </w:r>
      <w:r w:rsidRPr="00494103">
        <w:rPr>
          <w:lang w:val="x-none"/>
        </w:rPr>
        <w:t xml:space="preserve"> жена (даље у тексту: </w:t>
      </w:r>
      <w:r w:rsidRPr="00494103">
        <w:rPr>
          <w:lang w:val="en-US"/>
        </w:rPr>
        <w:t>CEDAW</w:t>
      </w:r>
      <w:r w:rsidRPr="00494103">
        <w:rPr>
          <w:lang w:val="ru-RU"/>
        </w:rPr>
        <w:t xml:space="preserve">), </w:t>
      </w:r>
      <w:r w:rsidRPr="00494103">
        <w:rPr>
          <w:lang w:val="x-none"/>
        </w:rPr>
        <w:t xml:space="preserve">коју је Република Србија ратификовала 1981. </w:t>
      </w:r>
      <w:r w:rsidR="00A35900">
        <w:rPr>
          <w:lang w:val="x-none"/>
        </w:rPr>
        <w:t>г</w:t>
      </w:r>
      <w:r w:rsidRPr="00494103">
        <w:rPr>
          <w:lang w:val="x-none"/>
        </w:rPr>
        <w:t>одине</w:t>
      </w:r>
      <w:r w:rsidR="00730252" w:rsidRPr="00494103">
        <w:rPr>
          <w:lang w:val="sr-Cyrl-RS"/>
        </w:rPr>
        <w:t>,</w:t>
      </w:r>
      <w:r w:rsidRPr="00494103">
        <w:rPr>
          <w:lang w:val="x-none"/>
        </w:rPr>
        <w:t xml:space="preserve"> </w:t>
      </w:r>
      <w:r w:rsidRPr="00494103">
        <w:rPr>
          <w:i/>
          <w:lang w:val="x-none"/>
        </w:rPr>
        <w:t>Законом о ратификацији Конвенције о елиминисању свих облика дискриминације жена</w:t>
      </w:r>
      <w:r w:rsidRPr="00494103">
        <w:rPr>
          <w:lang w:val="x-none"/>
        </w:rPr>
        <w:t xml:space="preserve"> („Сл. лист СФРЈ“ број 11/81) и </w:t>
      </w:r>
      <w:r w:rsidRPr="00494103">
        <w:rPr>
          <w:i/>
          <w:lang w:val="x-none"/>
        </w:rPr>
        <w:t xml:space="preserve">Конвенцијом Савета Европе о спречавању и борби </w:t>
      </w:r>
      <w:r w:rsidRPr="00494103">
        <w:rPr>
          <w:i/>
          <w:lang w:val="sr-Cyrl-RS"/>
        </w:rPr>
        <w:t>п</w:t>
      </w:r>
      <w:r w:rsidRPr="00494103">
        <w:rPr>
          <w:i/>
          <w:lang w:val="x-none"/>
        </w:rPr>
        <w:t>ротив насиља над женама и насиља у породици из 2011. године</w:t>
      </w:r>
      <w:r w:rsidRPr="00494103">
        <w:rPr>
          <w:lang w:val="x-none"/>
        </w:rPr>
        <w:t xml:space="preserve"> (даље у тексту: Истанбулска конвенција), коју је Ре</w:t>
      </w:r>
      <w:r w:rsidRPr="00494103">
        <w:rPr>
          <w:lang w:val="sr-Cyrl-RS"/>
        </w:rPr>
        <w:t>п</w:t>
      </w:r>
      <w:r w:rsidRPr="00494103">
        <w:rPr>
          <w:lang w:val="x-none"/>
        </w:rPr>
        <w:t xml:space="preserve">ублика Србија ратификовала 31. октобра 2013. године </w:t>
      </w:r>
      <w:r w:rsidRPr="00494103">
        <w:rPr>
          <w:lang w:val="sr-Cyrl-RS"/>
        </w:rPr>
        <w:t xml:space="preserve">и донела </w:t>
      </w:r>
      <w:r w:rsidRPr="00494103">
        <w:rPr>
          <w:i/>
          <w:lang w:val="x-none"/>
        </w:rPr>
        <w:t>З</w:t>
      </w:r>
      <w:r w:rsidRPr="00494103">
        <w:rPr>
          <w:i/>
          <w:lang w:val="sr-Cyrl-RS"/>
        </w:rPr>
        <w:t xml:space="preserve">акон о потврђивању Конвенције Савета Европе о спречавању и борби против насиља над женама и насиља у породици </w:t>
      </w:r>
      <w:r w:rsidRPr="00494103">
        <w:rPr>
          <w:lang w:val="x-none"/>
        </w:rPr>
        <w:t>(„Службени гласник РС – Међународни уговори“, број 12/13</w:t>
      </w:r>
      <w:r w:rsidRPr="00494103">
        <w:rPr>
          <w:lang w:val="sr-Cyrl-RS"/>
        </w:rPr>
        <w:t>).</w:t>
      </w:r>
    </w:p>
    <w:p w:rsidR="00494103" w:rsidRPr="00494103" w:rsidRDefault="004D2A16" w:rsidP="00494103">
      <w:pPr>
        <w:pStyle w:val="BodyText2"/>
        <w:spacing w:before="60"/>
        <w:ind w:firstLine="720"/>
        <w:rPr>
          <w:lang w:val="sr-Cyrl-RS"/>
        </w:rPr>
      </w:pPr>
      <w:r w:rsidRPr="00494103">
        <w:rPr>
          <w:lang w:val="sr-Cyrl-RS"/>
        </w:rPr>
        <w:t xml:space="preserve">Узимајући у обзир наведено, </w:t>
      </w:r>
      <w:r w:rsidR="00730252" w:rsidRPr="00494103">
        <w:rPr>
          <w:lang w:val="sr-Cyrl-RS"/>
        </w:rPr>
        <w:t>ресорно Министарство уважава иницијативу</w:t>
      </w:r>
      <w:r w:rsidRPr="00494103">
        <w:rPr>
          <w:lang w:val="sr-Cyrl-RS"/>
        </w:rPr>
        <w:t xml:space="preserve"> Заштитник</w:t>
      </w:r>
      <w:r w:rsidR="00730252" w:rsidRPr="00494103">
        <w:rPr>
          <w:lang w:val="sr-Cyrl-RS"/>
        </w:rPr>
        <w:t>а</w:t>
      </w:r>
      <w:r w:rsidRPr="00494103">
        <w:rPr>
          <w:lang w:val="sr-Cyrl-RS"/>
        </w:rPr>
        <w:t xml:space="preserve"> грађана</w:t>
      </w:r>
      <w:r w:rsidR="00515ED5">
        <w:rPr>
          <w:lang w:val="sr-Cyrl-RS"/>
        </w:rPr>
        <w:t>,</w:t>
      </w:r>
      <w:r w:rsidR="00730252" w:rsidRPr="00494103">
        <w:rPr>
          <w:lang w:val="sr-Cyrl-RS"/>
        </w:rPr>
        <w:t xml:space="preserve"> препоруке Повереника за заштиту равноправности и ставове стручне и научне јавности</w:t>
      </w:r>
      <w:r w:rsidRPr="00494103">
        <w:rPr>
          <w:lang w:val="sr-Cyrl-RS"/>
        </w:rPr>
        <w:t>,</w:t>
      </w:r>
      <w:r w:rsidR="00730252" w:rsidRPr="00494103">
        <w:rPr>
          <w:lang w:val="sr-Cyrl-RS"/>
        </w:rPr>
        <w:t xml:space="preserve"> социјалних партнера и организациј</w:t>
      </w:r>
      <w:r w:rsidR="00A35900">
        <w:rPr>
          <w:lang w:val="sr-Cyrl-RS"/>
        </w:rPr>
        <w:t>а цивилног друштва</w:t>
      </w:r>
      <w:r w:rsidR="00515ED5">
        <w:rPr>
          <w:lang w:val="sr-Cyrl-RS"/>
        </w:rPr>
        <w:t>, као</w:t>
      </w:r>
      <w:r w:rsidR="00A35900">
        <w:rPr>
          <w:lang w:val="sr-Cyrl-RS"/>
        </w:rPr>
        <w:t xml:space="preserve"> и мишљења </w:t>
      </w:r>
      <w:r w:rsidR="00730252" w:rsidRPr="00494103">
        <w:rPr>
          <w:lang w:val="sr-Cyrl-RS"/>
        </w:rPr>
        <w:t>да би доношење</w:t>
      </w:r>
      <w:r w:rsidRPr="00494103">
        <w:rPr>
          <w:lang w:val="sr-Cyrl-RS"/>
        </w:rPr>
        <w:t xml:space="preserve"> Закона о родној равноправности </w:t>
      </w:r>
      <w:r w:rsidRPr="00494103">
        <w:rPr>
          <w:rFonts w:eastAsia="Arial Unicode MS"/>
          <w:lang w:eastAsia="sr-Cyrl-CS"/>
        </w:rPr>
        <w:t>доприне</w:t>
      </w:r>
      <w:r w:rsidR="00730252" w:rsidRPr="00494103">
        <w:rPr>
          <w:rFonts w:eastAsia="Arial Unicode MS"/>
          <w:lang w:val="sr-Cyrl-RS" w:eastAsia="sr-Cyrl-CS"/>
        </w:rPr>
        <w:t>ло</w:t>
      </w:r>
      <w:r w:rsidRPr="00494103">
        <w:rPr>
          <w:rFonts w:eastAsia="Arial Unicode MS"/>
          <w:lang w:eastAsia="sr-Cyrl-CS"/>
        </w:rPr>
        <w:t xml:space="preserve"> већем степену родне равноправности у Србији и веће</w:t>
      </w:r>
      <w:r w:rsidR="00730252" w:rsidRPr="00494103">
        <w:rPr>
          <w:rFonts w:eastAsia="Arial Unicode MS"/>
          <w:lang w:val="sr-Cyrl-RS" w:eastAsia="sr-Cyrl-CS"/>
        </w:rPr>
        <w:t>м</w:t>
      </w:r>
      <w:r w:rsidRPr="00494103">
        <w:rPr>
          <w:rFonts w:eastAsia="Arial Unicode MS"/>
          <w:lang w:eastAsia="sr-Cyrl-CS"/>
        </w:rPr>
        <w:t xml:space="preserve"> учешћ</w:t>
      </w:r>
      <w:r w:rsidR="00730252" w:rsidRPr="00494103">
        <w:rPr>
          <w:rFonts w:eastAsia="Arial Unicode MS"/>
          <w:lang w:val="sr-Cyrl-RS" w:eastAsia="sr-Cyrl-CS"/>
        </w:rPr>
        <w:t>у</w:t>
      </w:r>
      <w:r w:rsidRPr="00494103">
        <w:rPr>
          <w:rFonts w:eastAsia="Arial Unicode MS"/>
          <w:lang w:eastAsia="sr-Cyrl-CS"/>
        </w:rPr>
        <w:t xml:space="preserve"> жена у органима управља</w:t>
      </w:r>
      <w:r w:rsidR="00730252" w:rsidRPr="00494103">
        <w:rPr>
          <w:rFonts w:eastAsia="Arial Unicode MS"/>
          <w:lang w:eastAsia="sr-Cyrl-CS"/>
        </w:rPr>
        <w:t>ња, руковођења и надзора у јавном сектору</w:t>
      </w:r>
      <w:r w:rsidR="00515ED5">
        <w:rPr>
          <w:rFonts w:eastAsia="Arial Unicode MS"/>
          <w:lang w:val="sr-Cyrl-RS" w:eastAsia="sr-Cyrl-CS"/>
        </w:rPr>
        <w:t>. Овим</w:t>
      </w:r>
      <w:r w:rsidR="00730252" w:rsidRPr="00494103">
        <w:rPr>
          <w:rFonts w:eastAsia="Arial Unicode MS"/>
          <w:lang w:val="sr-Cyrl-RS" w:eastAsia="sr-Cyrl-CS"/>
        </w:rPr>
        <w:t xml:space="preserve"> би се створил</w:t>
      </w:r>
      <w:r w:rsidR="00515ED5">
        <w:rPr>
          <w:rFonts w:eastAsia="Arial Unicode MS"/>
          <w:lang w:val="sr-Cyrl-RS" w:eastAsia="sr-Cyrl-CS"/>
        </w:rPr>
        <w:t>и</w:t>
      </w:r>
      <w:r w:rsidR="00730252" w:rsidRPr="00494103">
        <w:rPr>
          <w:rFonts w:eastAsia="Arial Unicode MS"/>
          <w:lang w:val="sr-Cyrl-RS" w:eastAsia="sr-Cyrl-CS"/>
        </w:rPr>
        <w:t xml:space="preserve"> </w:t>
      </w:r>
      <w:r w:rsidR="00515ED5">
        <w:rPr>
          <w:rFonts w:eastAsia="Arial Unicode MS"/>
          <w:lang w:val="sr-Cyrl-RS" w:eastAsia="sr-Cyrl-CS"/>
        </w:rPr>
        <w:t xml:space="preserve">предуслови </w:t>
      </w:r>
      <w:r w:rsidR="00730252" w:rsidRPr="00494103">
        <w:rPr>
          <w:rFonts w:eastAsia="Arial Unicode MS"/>
          <w:lang w:val="sr-Cyrl-RS" w:eastAsia="sr-Cyrl-CS"/>
        </w:rPr>
        <w:t>за достизање међународних стандарда у области родне равноправности и за</w:t>
      </w:r>
      <w:r w:rsidR="00730252" w:rsidRPr="00494103">
        <w:t xml:space="preserve"> отклањање негативних родних стереотипа и дискриминаторских пракси које омогућују и репродукују неједнак однос моћи између жена и мушкараца</w:t>
      </w:r>
      <w:r w:rsidR="006679DA" w:rsidRPr="00494103">
        <w:rPr>
          <w:lang w:val="sr-Cyrl-RS"/>
        </w:rPr>
        <w:t>.</w:t>
      </w:r>
    </w:p>
    <w:p w:rsidR="00193B4F" w:rsidRDefault="00193B4F" w:rsidP="00494103">
      <w:pPr>
        <w:pStyle w:val="BodyText2"/>
        <w:spacing w:before="60"/>
        <w:ind w:firstLine="720"/>
        <w:rPr>
          <w:lang w:val="sr-Cyrl-RS"/>
        </w:rPr>
      </w:pPr>
      <w:r w:rsidRPr="00494103">
        <w:rPr>
          <w:lang w:val="sr-Cyrl-RS"/>
        </w:rPr>
        <w:t xml:space="preserve">Ове обавезе Републике Србије нарочито </w:t>
      </w:r>
      <w:r w:rsidR="00A35900" w:rsidRPr="00494103">
        <w:rPr>
          <w:lang w:val="sr-Cyrl-RS"/>
        </w:rPr>
        <w:t xml:space="preserve">су </w:t>
      </w:r>
      <w:r w:rsidRPr="00494103">
        <w:rPr>
          <w:lang w:val="sr-Cyrl-RS"/>
        </w:rPr>
        <w:t>истакнуте у оквиру преговарачког поглавља 23 з</w:t>
      </w:r>
      <w:r w:rsidR="00515ED5">
        <w:rPr>
          <w:lang w:val="sr-Cyrl-RS"/>
        </w:rPr>
        <w:t>а придруживање Европској унији,</w:t>
      </w:r>
      <w:r w:rsidRPr="00494103">
        <w:rPr>
          <w:lang w:val="sr-Cyrl-RS"/>
        </w:rPr>
        <w:t xml:space="preserve"> кроз актуелну израду </w:t>
      </w:r>
      <w:r w:rsidR="00E8772E">
        <w:rPr>
          <w:lang w:val="sr-Cyrl-RS"/>
        </w:rPr>
        <w:t xml:space="preserve">нацрта два закона и то: </w:t>
      </w:r>
      <w:r w:rsidR="00BD7EF1" w:rsidRPr="00BD7EF1">
        <w:rPr>
          <w:i/>
          <w:lang w:val="sr-Cyrl-RS"/>
        </w:rPr>
        <w:t>Нацрта</w:t>
      </w:r>
      <w:r w:rsidR="00BD7EF1">
        <w:rPr>
          <w:lang w:val="sr-Cyrl-RS"/>
        </w:rPr>
        <w:t xml:space="preserve"> </w:t>
      </w:r>
      <w:r w:rsidR="00E8772E">
        <w:rPr>
          <w:i/>
          <w:lang w:val="sr-Cyrl-RS"/>
        </w:rPr>
        <w:t>з</w:t>
      </w:r>
      <w:r w:rsidRPr="00494103">
        <w:rPr>
          <w:i/>
          <w:lang w:val="sr-Cyrl-RS"/>
        </w:rPr>
        <w:t>акона о изменама и допунама Закона о забрани доискриминације</w:t>
      </w:r>
      <w:r w:rsidRPr="00494103">
        <w:rPr>
          <w:lang w:val="sr-Cyrl-RS"/>
        </w:rPr>
        <w:t xml:space="preserve"> и </w:t>
      </w:r>
      <w:r w:rsidR="00BD7EF1" w:rsidRPr="00BD7EF1">
        <w:rPr>
          <w:i/>
          <w:lang w:val="sr-Cyrl-RS"/>
        </w:rPr>
        <w:t>Нацрта</w:t>
      </w:r>
      <w:r w:rsidR="00BD7EF1">
        <w:rPr>
          <w:lang w:val="sr-Cyrl-RS"/>
        </w:rPr>
        <w:t xml:space="preserve"> </w:t>
      </w:r>
      <w:r w:rsidR="00E8772E">
        <w:rPr>
          <w:i/>
          <w:lang w:val="sr-Cyrl-RS"/>
        </w:rPr>
        <w:t>з</w:t>
      </w:r>
      <w:r w:rsidRPr="00494103">
        <w:rPr>
          <w:i/>
          <w:lang w:val="sr-Cyrl-RS"/>
        </w:rPr>
        <w:t>акона о родној равноправности</w:t>
      </w:r>
      <w:r w:rsidRPr="00494103">
        <w:rPr>
          <w:lang w:val="sr-Cyrl-RS"/>
        </w:rPr>
        <w:t xml:space="preserve">, будући да су </w:t>
      </w:r>
      <w:r w:rsidRPr="00494103">
        <w:rPr>
          <w:i/>
          <w:lang w:val="sr-Cyrl-RS"/>
        </w:rPr>
        <w:t>Закон о забрани дискриминације</w:t>
      </w:r>
      <w:r w:rsidRPr="00494103">
        <w:rPr>
          <w:lang w:val="sr-Cyrl-RS"/>
        </w:rPr>
        <w:t xml:space="preserve"> и </w:t>
      </w:r>
      <w:r w:rsidRPr="00494103">
        <w:rPr>
          <w:i/>
          <w:lang w:val="sr-Cyrl-RS"/>
        </w:rPr>
        <w:t>Закон о равноправности полова</w:t>
      </w:r>
      <w:r w:rsidRPr="00494103">
        <w:rPr>
          <w:lang w:val="sr-Cyrl-RS"/>
        </w:rPr>
        <w:t xml:space="preserve"> донети још 2009. године</w:t>
      </w:r>
      <w:r w:rsidR="00515ED5">
        <w:rPr>
          <w:lang w:val="sr-Cyrl-RS"/>
        </w:rPr>
        <w:t>,</w:t>
      </w:r>
      <w:r w:rsidRPr="00494103">
        <w:rPr>
          <w:lang w:val="sr-Cyrl-RS"/>
        </w:rPr>
        <w:t xml:space="preserve"> </w:t>
      </w:r>
      <w:r w:rsidR="00ED16A5">
        <w:rPr>
          <w:lang w:val="sr-Cyrl-RS"/>
        </w:rPr>
        <w:t xml:space="preserve">чиме се </w:t>
      </w:r>
      <w:r w:rsidRPr="00494103">
        <w:rPr>
          <w:lang w:val="sr-Cyrl-RS"/>
        </w:rPr>
        <w:t xml:space="preserve">жели постићи већа делотворност норми у пракси и усклађеност са правним тековинама ЕУ у овој области. </w:t>
      </w:r>
      <w:r w:rsidR="00515ED5">
        <w:rPr>
          <w:lang w:val="sr-Cyrl-RS"/>
        </w:rPr>
        <w:t>П</w:t>
      </w:r>
      <w:r w:rsidRPr="00494103">
        <w:rPr>
          <w:lang w:val="sr-Cyrl-RS"/>
        </w:rPr>
        <w:t>оменути</w:t>
      </w:r>
      <w:r w:rsidR="00E8772E">
        <w:rPr>
          <w:lang w:val="sr-Cyrl-RS"/>
        </w:rPr>
        <w:t xml:space="preserve"> нацрт</w:t>
      </w:r>
      <w:r w:rsidR="00515ED5">
        <w:rPr>
          <w:lang w:val="sr-Cyrl-RS"/>
        </w:rPr>
        <w:t>и</w:t>
      </w:r>
      <w:r w:rsidRPr="00494103">
        <w:rPr>
          <w:lang w:val="sr-Cyrl-RS"/>
        </w:rPr>
        <w:t xml:space="preserve"> закона</w:t>
      </w:r>
      <w:r w:rsidR="00515ED5">
        <w:rPr>
          <w:lang w:val="sr-Cyrl-RS"/>
        </w:rPr>
        <w:t xml:space="preserve"> су</w:t>
      </w:r>
      <w:r w:rsidRPr="00494103">
        <w:rPr>
          <w:lang w:val="sr-Cyrl-RS"/>
        </w:rPr>
        <w:t xml:space="preserve"> један од приоритетних задатака у Акционом плану Владе</w:t>
      </w:r>
      <w:r w:rsidR="00515ED5">
        <w:rPr>
          <w:lang w:val="sr-Cyrl-RS"/>
        </w:rPr>
        <w:t xml:space="preserve">. Нацрти закона </w:t>
      </w:r>
      <w:r w:rsidRPr="00494103">
        <w:rPr>
          <w:lang w:val="sr-Cyrl-RS"/>
        </w:rPr>
        <w:t xml:space="preserve">су </w:t>
      </w:r>
      <w:r w:rsidR="00515ED5">
        <w:rPr>
          <w:lang w:val="sr-Cyrl-RS"/>
        </w:rPr>
        <w:t xml:space="preserve">израђени и </w:t>
      </w:r>
      <w:r w:rsidRPr="00494103">
        <w:rPr>
          <w:lang w:val="sr-Cyrl-RS"/>
        </w:rPr>
        <w:t xml:space="preserve">припремљени за </w:t>
      </w:r>
      <w:r w:rsidR="00A35900">
        <w:rPr>
          <w:lang w:val="sr-Cyrl-RS"/>
        </w:rPr>
        <w:t xml:space="preserve">разматрање и </w:t>
      </w:r>
      <w:r w:rsidRPr="00494103">
        <w:rPr>
          <w:lang w:val="sr-Cyrl-RS"/>
        </w:rPr>
        <w:t>усвајање.</w:t>
      </w:r>
    </w:p>
    <w:p w:rsidR="00F47944" w:rsidRPr="00494103" w:rsidRDefault="00F47944" w:rsidP="00494103">
      <w:pPr>
        <w:pStyle w:val="BodyText2"/>
        <w:spacing w:before="60"/>
        <w:ind w:firstLine="720"/>
        <w:rPr>
          <w:lang w:val="sr-Cyrl-RS"/>
        </w:rPr>
      </w:pPr>
    </w:p>
    <w:sectPr w:rsidR="00F47944" w:rsidRPr="00494103" w:rsidSect="00556FC5">
      <w:footerReference w:type="default" r:id="rId8"/>
      <w:pgSz w:w="12240" w:h="15840"/>
      <w:pgMar w:top="1135" w:right="104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B6" w:rsidRDefault="005170B6" w:rsidP="00410BD0">
      <w:r>
        <w:separator/>
      </w:r>
    </w:p>
  </w:endnote>
  <w:endnote w:type="continuationSeparator" w:id="0">
    <w:p w:rsidR="005170B6" w:rsidRDefault="005170B6" w:rsidP="0041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8017"/>
      <w:docPartObj>
        <w:docPartGallery w:val="Page Numbers (Bottom of Page)"/>
        <w:docPartUnique/>
      </w:docPartObj>
    </w:sdtPr>
    <w:sdtEndPr>
      <w:rPr>
        <w:noProof/>
      </w:rPr>
    </w:sdtEndPr>
    <w:sdtContent>
      <w:p w:rsidR="00F70BF5" w:rsidRDefault="00F70BF5">
        <w:pPr>
          <w:pStyle w:val="Footer"/>
          <w:jc w:val="right"/>
        </w:pPr>
        <w:r>
          <w:fldChar w:fldCharType="begin"/>
        </w:r>
        <w:r>
          <w:instrText xml:space="preserve"> PAGE   \* MERGEFORMAT </w:instrText>
        </w:r>
        <w:r>
          <w:fldChar w:fldCharType="separate"/>
        </w:r>
        <w:r w:rsidR="006F3994">
          <w:rPr>
            <w:noProof/>
          </w:rPr>
          <w:t>20</w:t>
        </w:r>
        <w:r>
          <w:rPr>
            <w:noProof/>
          </w:rPr>
          <w:fldChar w:fldCharType="end"/>
        </w:r>
      </w:p>
    </w:sdtContent>
  </w:sdt>
  <w:p w:rsidR="00F70BF5" w:rsidRDefault="00F70B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B6" w:rsidRDefault="005170B6" w:rsidP="00410BD0">
      <w:r>
        <w:separator/>
      </w:r>
    </w:p>
  </w:footnote>
  <w:footnote w:type="continuationSeparator" w:id="0">
    <w:p w:rsidR="005170B6" w:rsidRDefault="005170B6" w:rsidP="00410B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1" w15:restartNumberingAfterBreak="0">
    <w:nsid w:val="0AF80E15"/>
    <w:multiLevelType w:val="hybridMultilevel"/>
    <w:tmpl w:val="4E22D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145A4"/>
    <w:multiLevelType w:val="multilevel"/>
    <w:tmpl w:val="DEB45A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0309D"/>
    <w:multiLevelType w:val="hybridMultilevel"/>
    <w:tmpl w:val="AE4C37C0"/>
    <w:lvl w:ilvl="0" w:tplc="180263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3A95EA7"/>
    <w:multiLevelType w:val="multilevel"/>
    <w:tmpl w:val="B47C7B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FCE38C2"/>
    <w:multiLevelType w:val="hybridMultilevel"/>
    <w:tmpl w:val="FB20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74CFF"/>
    <w:multiLevelType w:val="hybridMultilevel"/>
    <w:tmpl w:val="5068F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15DF1"/>
    <w:multiLevelType w:val="hybridMultilevel"/>
    <w:tmpl w:val="B224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43FF3"/>
    <w:multiLevelType w:val="hybridMultilevel"/>
    <w:tmpl w:val="0FCEA424"/>
    <w:lvl w:ilvl="0" w:tplc="40BC026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862B7"/>
    <w:multiLevelType w:val="hybridMultilevel"/>
    <w:tmpl w:val="AFA03D78"/>
    <w:lvl w:ilvl="0" w:tplc="01209D3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85ACB"/>
    <w:multiLevelType w:val="hybridMultilevel"/>
    <w:tmpl w:val="342C0864"/>
    <w:lvl w:ilvl="0" w:tplc="0B8C3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B167F4"/>
    <w:multiLevelType w:val="hybridMultilevel"/>
    <w:tmpl w:val="408C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953B0"/>
    <w:multiLevelType w:val="hybridMultilevel"/>
    <w:tmpl w:val="B246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75492"/>
    <w:multiLevelType w:val="hybridMultilevel"/>
    <w:tmpl w:val="6132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593B3D"/>
    <w:multiLevelType w:val="hybridMultilevel"/>
    <w:tmpl w:val="6D4431FE"/>
    <w:lvl w:ilvl="0" w:tplc="6DD852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542D9C"/>
    <w:multiLevelType w:val="hybridMultilevel"/>
    <w:tmpl w:val="A2C865AE"/>
    <w:lvl w:ilvl="0" w:tplc="1BC81338">
      <w:start w:val="1"/>
      <w:numFmt w:val="decimal"/>
      <w:lvlText w:val="%1."/>
      <w:lvlJc w:val="left"/>
      <w:pPr>
        <w:ind w:left="644"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0"/>
  </w:num>
  <w:num w:numId="5">
    <w:abstractNumId w:val="5"/>
  </w:num>
  <w:num w:numId="6">
    <w:abstractNumId w:val="4"/>
  </w:num>
  <w:num w:numId="7">
    <w:abstractNumId w:val="14"/>
  </w:num>
  <w:num w:numId="8">
    <w:abstractNumId w:val="13"/>
  </w:num>
  <w:num w:numId="9">
    <w:abstractNumId w:val="12"/>
  </w:num>
  <w:num w:numId="10">
    <w:abstractNumId w:val="1"/>
  </w:num>
  <w:num w:numId="11">
    <w:abstractNumId w:val="11"/>
  </w:num>
  <w:num w:numId="12">
    <w:abstractNumId w:val="15"/>
  </w:num>
  <w:num w:numId="13">
    <w:abstractNumId w:val="7"/>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E8"/>
    <w:rsid w:val="000023F4"/>
    <w:rsid w:val="0000307C"/>
    <w:rsid w:val="00005DC6"/>
    <w:rsid w:val="0000613A"/>
    <w:rsid w:val="00013BAF"/>
    <w:rsid w:val="00014138"/>
    <w:rsid w:val="0001419D"/>
    <w:rsid w:val="000146A2"/>
    <w:rsid w:val="00017E21"/>
    <w:rsid w:val="000208E9"/>
    <w:rsid w:val="00021AC9"/>
    <w:rsid w:val="00026514"/>
    <w:rsid w:val="00032FF5"/>
    <w:rsid w:val="00033A2E"/>
    <w:rsid w:val="0003595E"/>
    <w:rsid w:val="000365FA"/>
    <w:rsid w:val="00036E66"/>
    <w:rsid w:val="00037272"/>
    <w:rsid w:val="0004001E"/>
    <w:rsid w:val="00040A61"/>
    <w:rsid w:val="00041AAE"/>
    <w:rsid w:val="00043656"/>
    <w:rsid w:val="00050719"/>
    <w:rsid w:val="00051923"/>
    <w:rsid w:val="00067745"/>
    <w:rsid w:val="0007697C"/>
    <w:rsid w:val="00083CDF"/>
    <w:rsid w:val="00084F7D"/>
    <w:rsid w:val="00087C66"/>
    <w:rsid w:val="00090C96"/>
    <w:rsid w:val="000A06B5"/>
    <w:rsid w:val="000A285E"/>
    <w:rsid w:val="000A3157"/>
    <w:rsid w:val="000A4C3B"/>
    <w:rsid w:val="000B2923"/>
    <w:rsid w:val="000C15B2"/>
    <w:rsid w:val="000C1D17"/>
    <w:rsid w:val="000C2265"/>
    <w:rsid w:val="000C3188"/>
    <w:rsid w:val="000D22DC"/>
    <w:rsid w:val="000D4471"/>
    <w:rsid w:val="000D7329"/>
    <w:rsid w:val="000D7DEA"/>
    <w:rsid w:val="000E0A48"/>
    <w:rsid w:val="000E0F45"/>
    <w:rsid w:val="000E558C"/>
    <w:rsid w:val="000F1892"/>
    <w:rsid w:val="000F5B72"/>
    <w:rsid w:val="000F6966"/>
    <w:rsid w:val="001015D9"/>
    <w:rsid w:val="00104200"/>
    <w:rsid w:val="001179FE"/>
    <w:rsid w:val="001308A9"/>
    <w:rsid w:val="00136027"/>
    <w:rsid w:val="001460FB"/>
    <w:rsid w:val="0014646B"/>
    <w:rsid w:val="00146F26"/>
    <w:rsid w:val="001668E8"/>
    <w:rsid w:val="0016698E"/>
    <w:rsid w:val="00167B8A"/>
    <w:rsid w:val="00170537"/>
    <w:rsid w:val="0017425C"/>
    <w:rsid w:val="00174B57"/>
    <w:rsid w:val="00176D3D"/>
    <w:rsid w:val="00181A4C"/>
    <w:rsid w:val="001935C8"/>
    <w:rsid w:val="00193B4F"/>
    <w:rsid w:val="00194B8A"/>
    <w:rsid w:val="001B06FF"/>
    <w:rsid w:val="001C2128"/>
    <w:rsid w:val="001D6AF1"/>
    <w:rsid w:val="001E25F8"/>
    <w:rsid w:val="002010A3"/>
    <w:rsid w:val="00204C4C"/>
    <w:rsid w:val="00205A5E"/>
    <w:rsid w:val="00232027"/>
    <w:rsid w:val="00232654"/>
    <w:rsid w:val="0023313A"/>
    <w:rsid w:val="00234E04"/>
    <w:rsid w:val="00242D95"/>
    <w:rsid w:val="0024542F"/>
    <w:rsid w:val="00250186"/>
    <w:rsid w:val="00252B1D"/>
    <w:rsid w:val="00253858"/>
    <w:rsid w:val="002553C0"/>
    <w:rsid w:val="002557B0"/>
    <w:rsid w:val="00261FB3"/>
    <w:rsid w:val="002669A9"/>
    <w:rsid w:val="002669B2"/>
    <w:rsid w:val="002703C6"/>
    <w:rsid w:val="0027147E"/>
    <w:rsid w:val="00277A74"/>
    <w:rsid w:val="00283004"/>
    <w:rsid w:val="00284913"/>
    <w:rsid w:val="0028577D"/>
    <w:rsid w:val="00294D5E"/>
    <w:rsid w:val="00295938"/>
    <w:rsid w:val="002B088E"/>
    <w:rsid w:val="002B49D8"/>
    <w:rsid w:val="002C0C65"/>
    <w:rsid w:val="002C3FEB"/>
    <w:rsid w:val="002D6131"/>
    <w:rsid w:val="002E6023"/>
    <w:rsid w:val="00304161"/>
    <w:rsid w:val="00312676"/>
    <w:rsid w:val="003174C4"/>
    <w:rsid w:val="00317F55"/>
    <w:rsid w:val="003218A0"/>
    <w:rsid w:val="00327A19"/>
    <w:rsid w:val="00332467"/>
    <w:rsid w:val="00332C3F"/>
    <w:rsid w:val="00335C8E"/>
    <w:rsid w:val="0033776B"/>
    <w:rsid w:val="0034186D"/>
    <w:rsid w:val="00344571"/>
    <w:rsid w:val="00356C12"/>
    <w:rsid w:val="00356F83"/>
    <w:rsid w:val="003602E7"/>
    <w:rsid w:val="00362306"/>
    <w:rsid w:val="00392786"/>
    <w:rsid w:val="00394506"/>
    <w:rsid w:val="003B3A8D"/>
    <w:rsid w:val="003B42F2"/>
    <w:rsid w:val="003B55E3"/>
    <w:rsid w:val="003B792A"/>
    <w:rsid w:val="003D07BC"/>
    <w:rsid w:val="003E1193"/>
    <w:rsid w:val="003E54EC"/>
    <w:rsid w:val="00410BD0"/>
    <w:rsid w:val="00412C3D"/>
    <w:rsid w:val="0041500C"/>
    <w:rsid w:val="004152B4"/>
    <w:rsid w:val="00420831"/>
    <w:rsid w:val="00423D0B"/>
    <w:rsid w:val="0042566C"/>
    <w:rsid w:val="00427CA8"/>
    <w:rsid w:val="00433104"/>
    <w:rsid w:val="004358A3"/>
    <w:rsid w:val="00437590"/>
    <w:rsid w:val="00441AAA"/>
    <w:rsid w:val="004502EE"/>
    <w:rsid w:val="0045470D"/>
    <w:rsid w:val="00464A5A"/>
    <w:rsid w:val="00466843"/>
    <w:rsid w:val="004763A1"/>
    <w:rsid w:val="00477981"/>
    <w:rsid w:val="0048420F"/>
    <w:rsid w:val="00494103"/>
    <w:rsid w:val="004945DD"/>
    <w:rsid w:val="00495FE3"/>
    <w:rsid w:val="004974A0"/>
    <w:rsid w:val="004A5560"/>
    <w:rsid w:val="004A6DEA"/>
    <w:rsid w:val="004A6E4A"/>
    <w:rsid w:val="004A79B6"/>
    <w:rsid w:val="004B0148"/>
    <w:rsid w:val="004B0D8D"/>
    <w:rsid w:val="004C13E9"/>
    <w:rsid w:val="004C35D9"/>
    <w:rsid w:val="004C7D68"/>
    <w:rsid w:val="004D2A16"/>
    <w:rsid w:val="004D41FB"/>
    <w:rsid w:val="004D57C8"/>
    <w:rsid w:val="004E34D3"/>
    <w:rsid w:val="004F72F2"/>
    <w:rsid w:val="004F7AED"/>
    <w:rsid w:val="00504039"/>
    <w:rsid w:val="005041D5"/>
    <w:rsid w:val="00515ED5"/>
    <w:rsid w:val="005170B6"/>
    <w:rsid w:val="005176B5"/>
    <w:rsid w:val="005367CC"/>
    <w:rsid w:val="005402C8"/>
    <w:rsid w:val="005404C4"/>
    <w:rsid w:val="00540565"/>
    <w:rsid w:val="00553120"/>
    <w:rsid w:val="00554D9D"/>
    <w:rsid w:val="00556FC5"/>
    <w:rsid w:val="00561677"/>
    <w:rsid w:val="0058468D"/>
    <w:rsid w:val="005848AF"/>
    <w:rsid w:val="00595B1D"/>
    <w:rsid w:val="005A3001"/>
    <w:rsid w:val="005B10EB"/>
    <w:rsid w:val="005B26E1"/>
    <w:rsid w:val="005B578B"/>
    <w:rsid w:val="005B61A7"/>
    <w:rsid w:val="005C0EDB"/>
    <w:rsid w:val="005C30E7"/>
    <w:rsid w:val="005C6CF9"/>
    <w:rsid w:val="005C7D13"/>
    <w:rsid w:val="005D11ED"/>
    <w:rsid w:val="005D285E"/>
    <w:rsid w:val="005D3D25"/>
    <w:rsid w:val="005E0C97"/>
    <w:rsid w:val="005E321F"/>
    <w:rsid w:val="005E425E"/>
    <w:rsid w:val="005E533B"/>
    <w:rsid w:val="005E5ECA"/>
    <w:rsid w:val="005F274A"/>
    <w:rsid w:val="005F63FD"/>
    <w:rsid w:val="005F659B"/>
    <w:rsid w:val="00602C63"/>
    <w:rsid w:val="0061618C"/>
    <w:rsid w:val="006168D2"/>
    <w:rsid w:val="00627333"/>
    <w:rsid w:val="00635468"/>
    <w:rsid w:val="006359D6"/>
    <w:rsid w:val="00636F62"/>
    <w:rsid w:val="00637951"/>
    <w:rsid w:val="00640DB5"/>
    <w:rsid w:val="0064688B"/>
    <w:rsid w:val="0065478B"/>
    <w:rsid w:val="00660B17"/>
    <w:rsid w:val="00663267"/>
    <w:rsid w:val="006679DA"/>
    <w:rsid w:val="00680594"/>
    <w:rsid w:val="00683E18"/>
    <w:rsid w:val="00683FEB"/>
    <w:rsid w:val="00684201"/>
    <w:rsid w:val="0069026A"/>
    <w:rsid w:val="006917CA"/>
    <w:rsid w:val="006A3B56"/>
    <w:rsid w:val="006A5487"/>
    <w:rsid w:val="006C0256"/>
    <w:rsid w:val="006C441E"/>
    <w:rsid w:val="006C4F38"/>
    <w:rsid w:val="006C6969"/>
    <w:rsid w:val="006D1600"/>
    <w:rsid w:val="006D57A7"/>
    <w:rsid w:val="006D6088"/>
    <w:rsid w:val="006E5017"/>
    <w:rsid w:val="006F19F7"/>
    <w:rsid w:val="006F3994"/>
    <w:rsid w:val="007033D9"/>
    <w:rsid w:val="007079DD"/>
    <w:rsid w:val="00712972"/>
    <w:rsid w:val="0071374A"/>
    <w:rsid w:val="00717572"/>
    <w:rsid w:val="0072028B"/>
    <w:rsid w:val="00724F7D"/>
    <w:rsid w:val="00730252"/>
    <w:rsid w:val="0073123C"/>
    <w:rsid w:val="00731FF2"/>
    <w:rsid w:val="00735D36"/>
    <w:rsid w:val="007507D0"/>
    <w:rsid w:val="007629E9"/>
    <w:rsid w:val="00767D82"/>
    <w:rsid w:val="00770787"/>
    <w:rsid w:val="00773D00"/>
    <w:rsid w:val="007747AB"/>
    <w:rsid w:val="007815E3"/>
    <w:rsid w:val="007820F2"/>
    <w:rsid w:val="00784FC7"/>
    <w:rsid w:val="00793ECE"/>
    <w:rsid w:val="007950DD"/>
    <w:rsid w:val="00795705"/>
    <w:rsid w:val="007A0219"/>
    <w:rsid w:val="007A151A"/>
    <w:rsid w:val="007A63FE"/>
    <w:rsid w:val="007A6727"/>
    <w:rsid w:val="007B063F"/>
    <w:rsid w:val="007B6DE2"/>
    <w:rsid w:val="007C052B"/>
    <w:rsid w:val="007C25FF"/>
    <w:rsid w:val="007C2C4D"/>
    <w:rsid w:val="007C4C87"/>
    <w:rsid w:val="007C6CE3"/>
    <w:rsid w:val="007D6FA4"/>
    <w:rsid w:val="007E0A05"/>
    <w:rsid w:val="007F1382"/>
    <w:rsid w:val="00804DF1"/>
    <w:rsid w:val="00812A56"/>
    <w:rsid w:val="00814019"/>
    <w:rsid w:val="00815891"/>
    <w:rsid w:val="00815F23"/>
    <w:rsid w:val="00821575"/>
    <w:rsid w:val="008231AB"/>
    <w:rsid w:val="008248B7"/>
    <w:rsid w:val="00833267"/>
    <w:rsid w:val="008354F6"/>
    <w:rsid w:val="008418E7"/>
    <w:rsid w:val="0084377A"/>
    <w:rsid w:val="0084381A"/>
    <w:rsid w:val="00844814"/>
    <w:rsid w:val="00847B81"/>
    <w:rsid w:val="008564BE"/>
    <w:rsid w:val="00856E30"/>
    <w:rsid w:val="0086124C"/>
    <w:rsid w:val="00861639"/>
    <w:rsid w:val="00862AC9"/>
    <w:rsid w:val="00862B31"/>
    <w:rsid w:val="00867639"/>
    <w:rsid w:val="00877EAE"/>
    <w:rsid w:val="00882DD1"/>
    <w:rsid w:val="0088392C"/>
    <w:rsid w:val="00884495"/>
    <w:rsid w:val="008849B7"/>
    <w:rsid w:val="0088701E"/>
    <w:rsid w:val="00892ADC"/>
    <w:rsid w:val="0089556D"/>
    <w:rsid w:val="008A1E82"/>
    <w:rsid w:val="008A4F33"/>
    <w:rsid w:val="008A5F22"/>
    <w:rsid w:val="008B2B7C"/>
    <w:rsid w:val="008B49E2"/>
    <w:rsid w:val="008B5BD5"/>
    <w:rsid w:val="008B6581"/>
    <w:rsid w:val="008C0EF6"/>
    <w:rsid w:val="008C2AE0"/>
    <w:rsid w:val="008D1618"/>
    <w:rsid w:val="008D1A9C"/>
    <w:rsid w:val="008D39A0"/>
    <w:rsid w:val="008E00F2"/>
    <w:rsid w:val="008E2806"/>
    <w:rsid w:val="008F30FC"/>
    <w:rsid w:val="00900585"/>
    <w:rsid w:val="0092481C"/>
    <w:rsid w:val="00931355"/>
    <w:rsid w:val="009330CE"/>
    <w:rsid w:val="00945CD2"/>
    <w:rsid w:val="00953D6D"/>
    <w:rsid w:val="0095750A"/>
    <w:rsid w:val="00957C28"/>
    <w:rsid w:val="009768C1"/>
    <w:rsid w:val="00980B74"/>
    <w:rsid w:val="00981487"/>
    <w:rsid w:val="00983271"/>
    <w:rsid w:val="00993FAA"/>
    <w:rsid w:val="00997795"/>
    <w:rsid w:val="009A1DC0"/>
    <w:rsid w:val="009A788C"/>
    <w:rsid w:val="009B25B3"/>
    <w:rsid w:val="009B507F"/>
    <w:rsid w:val="009C169D"/>
    <w:rsid w:val="009C3220"/>
    <w:rsid w:val="009C40FE"/>
    <w:rsid w:val="009D1508"/>
    <w:rsid w:val="009D4AB6"/>
    <w:rsid w:val="009E1337"/>
    <w:rsid w:val="009E14E4"/>
    <w:rsid w:val="009E4ECC"/>
    <w:rsid w:val="009F1E67"/>
    <w:rsid w:val="009F4CA5"/>
    <w:rsid w:val="00A01CBE"/>
    <w:rsid w:val="00A0255F"/>
    <w:rsid w:val="00A065F0"/>
    <w:rsid w:val="00A06EEC"/>
    <w:rsid w:val="00A11F03"/>
    <w:rsid w:val="00A1308C"/>
    <w:rsid w:val="00A13B81"/>
    <w:rsid w:val="00A20DFC"/>
    <w:rsid w:val="00A22C93"/>
    <w:rsid w:val="00A23AFB"/>
    <w:rsid w:val="00A25A3D"/>
    <w:rsid w:val="00A25E20"/>
    <w:rsid w:val="00A274B5"/>
    <w:rsid w:val="00A30C3C"/>
    <w:rsid w:val="00A30EB6"/>
    <w:rsid w:val="00A31200"/>
    <w:rsid w:val="00A32EC9"/>
    <w:rsid w:val="00A34F36"/>
    <w:rsid w:val="00A35900"/>
    <w:rsid w:val="00A370D6"/>
    <w:rsid w:val="00A413BA"/>
    <w:rsid w:val="00A4517C"/>
    <w:rsid w:val="00A46324"/>
    <w:rsid w:val="00A532AE"/>
    <w:rsid w:val="00A54772"/>
    <w:rsid w:val="00A54B9F"/>
    <w:rsid w:val="00A619F0"/>
    <w:rsid w:val="00A74CB7"/>
    <w:rsid w:val="00A77C76"/>
    <w:rsid w:val="00A81136"/>
    <w:rsid w:val="00A94423"/>
    <w:rsid w:val="00AA07B1"/>
    <w:rsid w:val="00AA4F22"/>
    <w:rsid w:val="00AB13D0"/>
    <w:rsid w:val="00AB27FE"/>
    <w:rsid w:val="00AB30CF"/>
    <w:rsid w:val="00AC0368"/>
    <w:rsid w:val="00AC0DFB"/>
    <w:rsid w:val="00AC1D99"/>
    <w:rsid w:val="00AC5372"/>
    <w:rsid w:val="00AC6F6B"/>
    <w:rsid w:val="00AD4DC2"/>
    <w:rsid w:val="00AE0F4D"/>
    <w:rsid w:val="00AE538C"/>
    <w:rsid w:val="00AF0F69"/>
    <w:rsid w:val="00AF22BD"/>
    <w:rsid w:val="00AF7C23"/>
    <w:rsid w:val="00B01528"/>
    <w:rsid w:val="00B01710"/>
    <w:rsid w:val="00B07266"/>
    <w:rsid w:val="00B12B90"/>
    <w:rsid w:val="00B13B3D"/>
    <w:rsid w:val="00B145A0"/>
    <w:rsid w:val="00B14D7C"/>
    <w:rsid w:val="00B1586C"/>
    <w:rsid w:val="00B15ED8"/>
    <w:rsid w:val="00B168F9"/>
    <w:rsid w:val="00B22D84"/>
    <w:rsid w:val="00B2472C"/>
    <w:rsid w:val="00B26A7A"/>
    <w:rsid w:val="00B26D03"/>
    <w:rsid w:val="00B34897"/>
    <w:rsid w:val="00B35252"/>
    <w:rsid w:val="00B352B0"/>
    <w:rsid w:val="00B37CBA"/>
    <w:rsid w:val="00B4495E"/>
    <w:rsid w:val="00B458D9"/>
    <w:rsid w:val="00B45E8D"/>
    <w:rsid w:val="00B50F58"/>
    <w:rsid w:val="00B51CB1"/>
    <w:rsid w:val="00B5606E"/>
    <w:rsid w:val="00B57E4D"/>
    <w:rsid w:val="00B61255"/>
    <w:rsid w:val="00B63150"/>
    <w:rsid w:val="00B643DC"/>
    <w:rsid w:val="00B65770"/>
    <w:rsid w:val="00B677F3"/>
    <w:rsid w:val="00B73C53"/>
    <w:rsid w:val="00B75EB9"/>
    <w:rsid w:val="00B83F47"/>
    <w:rsid w:val="00B85A38"/>
    <w:rsid w:val="00B935F1"/>
    <w:rsid w:val="00B96A4C"/>
    <w:rsid w:val="00BB2B27"/>
    <w:rsid w:val="00BB3D8E"/>
    <w:rsid w:val="00BC02B2"/>
    <w:rsid w:val="00BC110B"/>
    <w:rsid w:val="00BC3C31"/>
    <w:rsid w:val="00BC3E7B"/>
    <w:rsid w:val="00BC6B9F"/>
    <w:rsid w:val="00BD7EF1"/>
    <w:rsid w:val="00BE58A2"/>
    <w:rsid w:val="00BE6404"/>
    <w:rsid w:val="00BE7763"/>
    <w:rsid w:val="00BF004B"/>
    <w:rsid w:val="00BF2946"/>
    <w:rsid w:val="00BF6360"/>
    <w:rsid w:val="00C0407E"/>
    <w:rsid w:val="00C16293"/>
    <w:rsid w:val="00C16A5E"/>
    <w:rsid w:val="00C17E71"/>
    <w:rsid w:val="00C21BAC"/>
    <w:rsid w:val="00C303AD"/>
    <w:rsid w:val="00C40E97"/>
    <w:rsid w:val="00C4345B"/>
    <w:rsid w:val="00C435AE"/>
    <w:rsid w:val="00C4446A"/>
    <w:rsid w:val="00C56DB4"/>
    <w:rsid w:val="00C56DC5"/>
    <w:rsid w:val="00C61452"/>
    <w:rsid w:val="00C70F5E"/>
    <w:rsid w:val="00C721DF"/>
    <w:rsid w:val="00C77224"/>
    <w:rsid w:val="00C82D01"/>
    <w:rsid w:val="00C865BF"/>
    <w:rsid w:val="00C9336B"/>
    <w:rsid w:val="00C9359C"/>
    <w:rsid w:val="00C95D5C"/>
    <w:rsid w:val="00CA2E1D"/>
    <w:rsid w:val="00CA3E63"/>
    <w:rsid w:val="00CC50C6"/>
    <w:rsid w:val="00CC5D73"/>
    <w:rsid w:val="00CD1DAF"/>
    <w:rsid w:val="00CD48D5"/>
    <w:rsid w:val="00CD5F54"/>
    <w:rsid w:val="00CE09E8"/>
    <w:rsid w:val="00CE53C3"/>
    <w:rsid w:val="00CE62A9"/>
    <w:rsid w:val="00CF5C14"/>
    <w:rsid w:val="00D04C16"/>
    <w:rsid w:val="00D07901"/>
    <w:rsid w:val="00D153FF"/>
    <w:rsid w:val="00D167C7"/>
    <w:rsid w:val="00D17A2E"/>
    <w:rsid w:val="00D17CFD"/>
    <w:rsid w:val="00D326F4"/>
    <w:rsid w:val="00D32982"/>
    <w:rsid w:val="00D36DB5"/>
    <w:rsid w:val="00D42A4F"/>
    <w:rsid w:val="00D436CF"/>
    <w:rsid w:val="00D45450"/>
    <w:rsid w:val="00D56A37"/>
    <w:rsid w:val="00D5752F"/>
    <w:rsid w:val="00D62053"/>
    <w:rsid w:val="00D72E63"/>
    <w:rsid w:val="00D7455F"/>
    <w:rsid w:val="00D82C9C"/>
    <w:rsid w:val="00D83132"/>
    <w:rsid w:val="00D85669"/>
    <w:rsid w:val="00D91F76"/>
    <w:rsid w:val="00D97270"/>
    <w:rsid w:val="00DA093B"/>
    <w:rsid w:val="00DA1226"/>
    <w:rsid w:val="00DA306F"/>
    <w:rsid w:val="00DA5240"/>
    <w:rsid w:val="00DA7164"/>
    <w:rsid w:val="00DB633D"/>
    <w:rsid w:val="00DC22F9"/>
    <w:rsid w:val="00DC601C"/>
    <w:rsid w:val="00DD204D"/>
    <w:rsid w:val="00DD2331"/>
    <w:rsid w:val="00DD4AE0"/>
    <w:rsid w:val="00DD5DD6"/>
    <w:rsid w:val="00DD6838"/>
    <w:rsid w:val="00DE027C"/>
    <w:rsid w:val="00DF262D"/>
    <w:rsid w:val="00DF79B5"/>
    <w:rsid w:val="00E14160"/>
    <w:rsid w:val="00E16528"/>
    <w:rsid w:val="00E2390B"/>
    <w:rsid w:val="00E26225"/>
    <w:rsid w:val="00E36AB1"/>
    <w:rsid w:val="00E41F41"/>
    <w:rsid w:val="00E50CAA"/>
    <w:rsid w:val="00E529C4"/>
    <w:rsid w:val="00E55678"/>
    <w:rsid w:val="00E642CA"/>
    <w:rsid w:val="00E6575D"/>
    <w:rsid w:val="00E754BA"/>
    <w:rsid w:val="00E85625"/>
    <w:rsid w:val="00E8772E"/>
    <w:rsid w:val="00E92475"/>
    <w:rsid w:val="00E9280B"/>
    <w:rsid w:val="00E95261"/>
    <w:rsid w:val="00EA1C43"/>
    <w:rsid w:val="00EA2E7D"/>
    <w:rsid w:val="00EA32CE"/>
    <w:rsid w:val="00EA3E54"/>
    <w:rsid w:val="00EA41C1"/>
    <w:rsid w:val="00EA425E"/>
    <w:rsid w:val="00EA46F7"/>
    <w:rsid w:val="00EA5627"/>
    <w:rsid w:val="00EA6FB4"/>
    <w:rsid w:val="00EB1E72"/>
    <w:rsid w:val="00EB348B"/>
    <w:rsid w:val="00EB4F89"/>
    <w:rsid w:val="00EB577D"/>
    <w:rsid w:val="00EB5A72"/>
    <w:rsid w:val="00EB62AF"/>
    <w:rsid w:val="00EB62B3"/>
    <w:rsid w:val="00EB7596"/>
    <w:rsid w:val="00EC1846"/>
    <w:rsid w:val="00EC2339"/>
    <w:rsid w:val="00EC2E2A"/>
    <w:rsid w:val="00EC7C6F"/>
    <w:rsid w:val="00ED16A5"/>
    <w:rsid w:val="00ED5881"/>
    <w:rsid w:val="00ED5B07"/>
    <w:rsid w:val="00ED79B5"/>
    <w:rsid w:val="00EE2BF3"/>
    <w:rsid w:val="00EE4994"/>
    <w:rsid w:val="00EE6CF7"/>
    <w:rsid w:val="00EF10CE"/>
    <w:rsid w:val="00EF7283"/>
    <w:rsid w:val="00F033B0"/>
    <w:rsid w:val="00F05FD7"/>
    <w:rsid w:val="00F11291"/>
    <w:rsid w:val="00F12674"/>
    <w:rsid w:val="00F157CC"/>
    <w:rsid w:val="00F21795"/>
    <w:rsid w:val="00F22306"/>
    <w:rsid w:val="00F31FE8"/>
    <w:rsid w:val="00F32FED"/>
    <w:rsid w:val="00F35D98"/>
    <w:rsid w:val="00F4462B"/>
    <w:rsid w:val="00F450C0"/>
    <w:rsid w:val="00F47944"/>
    <w:rsid w:val="00F5178C"/>
    <w:rsid w:val="00F53104"/>
    <w:rsid w:val="00F70BF5"/>
    <w:rsid w:val="00F755D7"/>
    <w:rsid w:val="00F92701"/>
    <w:rsid w:val="00F94498"/>
    <w:rsid w:val="00F95959"/>
    <w:rsid w:val="00FA4F47"/>
    <w:rsid w:val="00FA51F8"/>
    <w:rsid w:val="00FA6137"/>
    <w:rsid w:val="00FA6EE7"/>
    <w:rsid w:val="00FB7AA8"/>
    <w:rsid w:val="00FC3131"/>
    <w:rsid w:val="00FD0DE3"/>
    <w:rsid w:val="00FD1BDB"/>
    <w:rsid w:val="00FD4D5D"/>
    <w:rsid w:val="00FD6336"/>
    <w:rsid w:val="00FE30EA"/>
    <w:rsid w:val="00FE3156"/>
    <w:rsid w:val="00FE5D98"/>
    <w:rsid w:val="00F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0B198-155A-4986-9940-DCE872B2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FC"/>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unhideWhenUsed/>
    <w:qFormat/>
    <w:rsid w:val="00441AAA"/>
    <w:pPr>
      <w:keepNext/>
      <w:outlineLvl w:val="6"/>
    </w:pPr>
    <w:rPr>
      <w:i/>
      <w:i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41AAA"/>
    <w:rPr>
      <w:rFonts w:ascii="Times New Roman" w:eastAsia="Times New Roman" w:hAnsi="Times New Roman" w:cs="Times New Roman"/>
      <w:i/>
      <w:iCs/>
      <w:sz w:val="24"/>
      <w:szCs w:val="24"/>
      <w:lang w:val="sr-Cyrl-CS"/>
    </w:rPr>
  </w:style>
  <w:style w:type="paragraph" w:styleId="BodyText2">
    <w:name w:val="Body Text 2"/>
    <w:basedOn w:val="Normal"/>
    <w:link w:val="BodyText2Char"/>
    <w:unhideWhenUsed/>
    <w:rsid w:val="00441AAA"/>
    <w:pPr>
      <w:jc w:val="both"/>
    </w:pPr>
    <w:rPr>
      <w:lang w:val="sr-Cyrl-CS"/>
    </w:rPr>
  </w:style>
  <w:style w:type="character" w:customStyle="1" w:styleId="BodyText2Char">
    <w:name w:val="Body Text 2 Char"/>
    <w:basedOn w:val="DefaultParagraphFont"/>
    <w:link w:val="BodyText2"/>
    <w:rsid w:val="00441AAA"/>
    <w:rPr>
      <w:rFonts w:ascii="Times New Roman" w:eastAsia="Times New Roman" w:hAnsi="Times New Roman" w:cs="Times New Roman"/>
      <w:sz w:val="24"/>
      <w:szCs w:val="24"/>
      <w:lang w:val="sr-Cyrl-CS"/>
    </w:rPr>
  </w:style>
  <w:style w:type="paragraph" w:styleId="BalloonText">
    <w:name w:val="Balloon Text"/>
    <w:basedOn w:val="Normal"/>
    <w:link w:val="BalloonTextChar"/>
    <w:uiPriority w:val="99"/>
    <w:semiHidden/>
    <w:unhideWhenUsed/>
    <w:rsid w:val="00DF7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B5"/>
    <w:rPr>
      <w:rFonts w:ascii="Segoe UI" w:eastAsia="Times New Roman" w:hAnsi="Segoe UI" w:cs="Segoe UI"/>
      <w:sz w:val="18"/>
      <w:szCs w:val="18"/>
      <w:lang w:val="en-GB"/>
    </w:rPr>
  </w:style>
  <w:style w:type="paragraph" w:styleId="ListParagraph">
    <w:name w:val="List Paragraph"/>
    <w:basedOn w:val="Normal"/>
    <w:uiPriority w:val="34"/>
    <w:qFormat/>
    <w:rsid w:val="00DD5DD6"/>
    <w:pPr>
      <w:spacing w:after="160" w:line="259"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B5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62AF"/>
    <w:rPr>
      <w:b/>
      <w:bCs/>
      <w:smallCaps/>
      <w:color w:val="ED7D31" w:themeColor="accent2"/>
      <w:spacing w:val="5"/>
      <w:u w:val="single"/>
    </w:rPr>
  </w:style>
  <w:style w:type="character" w:styleId="SubtleReference">
    <w:name w:val="Subtle Reference"/>
    <w:basedOn w:val="DefaultParagraphFont"/>
    <w:uiPriority w:val="31"/>
    <w:qFormat/>
    <w:rsid w:val="00F12674"/>
    <w:rPr>
      <w:smallCaps/>
      <w:color w:val="ED7D31" w:themeColor="accent2"/>
      <w:u w:val="single"/>
    </w:rPr>
  </w:style>
  <w:style w:type="character" w:customStyle="1" w:styleId="Bodytext20">
    <w:name w:val="Body text (2)_"/>
    <w:basedOn w:val="DefaultParagraphFont"/>
    <w:link w:val="Bodytext21"/>
    <w:rsid w:val="00C56DC5"/>
    <w:rPr>
      <w:rFonts w:ascii="Times New Roman" w:hAnsi="Times New Roman" w:cs="Times New Roman"/>
      <w:b/>
      <w:bCs/>
      <w:sz w:val="21"/>
      <w:szCs w:val="21"/>
      <w:shd w:val="clear" w:color="auto" w:fill="FFFFFF"/>
    </w:rPr>
  </w:style>
  <w:style w:type="paragraph" w:customStyle="1" w:styleId="Bodytext21">
    <w:name w:val="Body text (2)"/>
    <w:basedOn w:val="Normal"/>
    <w:link w:val="Bodytext20"/>
    <w:rsid w:val="00C56DC5"/>
    <w:pPr>
      <w:widowControl w:val="0"/>
      <w:shd w:val="clear" w:color="auto" w:fill="FFFFFF"/>
      <w:spacing w:after="600" w:line="270" w:lineRule="exact"/>
      <w:jc w:val="center"/>
    </w:pPr>
    <w:rPr>
      <w:rFonts w:eastAsiaTheme="minorHAnsi"/>
      <w:b/>
      <w:bCs/>
      <w:sz w:val="21"/>
      <w:szCs w:val="21"/>
      <w:lang w:val="en-US"/>
    </w:rPr>
  </w:style>
  <w:style w:type="character" w:styleId="Hyperlink">
    <w:name w:val="Hyperlink"/>
    <w:basedOn w:val="DefaultParagraphFont"/>
    <w:uiPriority w:val="99"/>
    <w:unhideWhenUsed/>
    <w:rsid w:val="00A065F0"/>
    <w:rPr>
      <w:color w:val="0563C1" w:themeColor="hyperlink"/>
      <w:u w:val="single"/>
    </w:rPr>
  </w:style>
  <w:style w:type="character" w:styleId="CommentReference">
    <w:name w:val="annotation reference"/>
    <w:basedOn w:val="DefaultParagraphFont"/>
    <w:uiPriority w:val="99"/>
    <w:semiHidden/>
    <w:unhideWhenUsed/>
    <w:rsid w:val="00B61255"/>
    <w:rPr>
      <w:sz w:val="16"/>
      <w:szCs w:val="16"/>
    </w:rPr>
  </w:style>
  <w:style w:type="paragraph" w:styleId="CommentText">
    <w:name w:val="annotation text"/>
    <w:basedOn w:val="Normal"/>
    <w:link w:val="CommentTextChar"/>
    <w:uiPriority w:val="99"/>
    <w:semiHidden/>
    <w:unhideWhenUsed/>
    <w:rsid w:val="00B61255"/>
    <w:rPr>
      <w:sz w:val="20"/>
      <w:szCs w:val="20"/>
    </w:rPr>
  </w:style>
  <w:style w:type="character" w:customStyle="1" w:styleId="CommentTextChar">
    <w:name w:val="Comment Text Char"/>
    <w:basedOn w:val="DefaultParagraphFont"/>
    <w:link w:val="CommentText"/>
    <w:uiPriority w:val="99"/>
    <w:semiHidden/>
    <w:rsid w:val="00B6125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61255"/>
    <w:rPr>
      <w:b/>
      <w:bCs/>
    </w:rPr>
  </w:style>
  <w:style w:type="character" w:customStyle="1" w:styleId="CommentSubjectChar">
    <w:name w:val="Comment Subject Char"/>
    <w:basedOn w:val="CommentTextChar"/>
    <w:link w:val="CommentSubject"/>
    <w:uiPriority w:val="99"/>
    <w:semiHidden/>
    <w:rsid w:val="00B61255"/>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410BD0"/>
    <w:pPr>
      <w:tabs>
        <w:tab w:val="center" w:pos="4680"/>
        <w:tab w:val="right" w:pos="9360"/>
      </w:tabs>
    </w:pPr>
  </w:style>
  <w:style w:type="character" w:customStyle="1" w:styleId="HeaderChar">
    <w:name w:val="Header Char"/>
    <w:basedOn w:val="DefaultParagraphFont"/>
    <w:link w:val="Header"/>
    <w:uiPriority w:val="99"/>
    <w:rsid w:val="00410BD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10BD0"/>
    <w:pPr>
      <w:tabs>
        <w:tab w:val="center" w:pos="4680"/>
        <w:tab w:val="right" w:pos="9360"/>
      </w:tabs>
    </w:pPr>
  </w:style>
  <w:style w:type="character" w:customStyle="1" w:styleId="FooterChar">
    <w:name w:val="Footer Char"/>
    <w:basedOn w:val="DefaultParagraphFont"/>
    <w:link w:val="Footer"/>
    <w:uiPriority w:val="99"/>
    <w:rsid w:val="00410BD0"/>
    <w:rPr>
      <w:rFonts w:ascii="Times New Roman" w:eastAsia="Times New Roman" w:hAnsi="Times New Roman" w:cs="Times New Roman"/>
      <w:sz w:val="24"/>
      <w:szCs w:val="24"/>
      <w:lang w:val="en-GB"/>
    </w:rPr>
  </w:style>
  <w:style w:type="paragraph" w:styleId="PlainText">
    <w:name w:val="Plain Text"/>
    <w:basedOn w:val="Normal"/>
    <w:link w:val="PlainTextChar"/>
    <w:uiPriority w:val="99"/>
    <w:semiHidden/>
    <w:unhideWhenUsed/>
    <w:rsid w:val="005E5ECA"/>
    <w:rPr>
      <w:rFonts w:ascii="Consolas" w:hAnsi="Consolas"/>
      <w:sz w:val="21"/>
      <w:szCs w:val="21"/>
    </w:rPr>
  </w:style>
  <w:style w:type="character" w:customStyle="1" w:styleId="PlainTextChar">
    <w:name w:val="Plain Text Char"/>
    <w:basedOn w:val="DefaultParagraphFont"/>
    <w:link w:val="PlainText"/>
    <w:uiPriority w:val="99"/>
    <w:semiHidden/>
    <w:rsid w:val="005E5ECA"/>
    <w:rPr>
      <w:rFonts w:ascii="Consolas" w:eastAsia="Times New Roman" w:hAnsi="Consolas" w:cs="Times New Roman"/>
      <w:sz w:val="21"/>
      <w:szCs w:val="21"/>
      <w:lang w:val="en-GB"/>
    </w:rPr>
  </w:style>
  <w:style w:type="paragraph" w:styleId="FootnoteText">
    <w:name w:val="footnote text"/>
    <w:basedOn w:val="Normal"/>
    <w:link w:val="FootnoteTextChar"/>
    <w:uiPriority w:val="99"/>
    <w:semiHidden/>
    <w:unhideWhenUsed/>
    <w:rsid w:val="005D11ED"/>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D11ED"/>
    <w:rPr>
      <w:sz w:val="20"/>
      <w:szCs w:val="20"/>
    </w:rPr>
  </w:style>
  <w:style w:type="character" w:styleId="FootnoteReference">
    <w:name w:val="footnote reference"/>
    <w:basedOn w:val="DefaultParagraphFont"/>
    <w:uiPriority w:val="99"/>
    <w:semiHidden/>
    <w:unhideWhenUsed/>
    <w:rsid w:val="005D11ED"/>
    <w:rPr>
      <w:vertAlign w:val="superscript"/>
    </w:rPr>
  </w:style>
  <w:style w:type="paragraph" w:styleId="NormalWeb">
    <w:name w:val="Normal (Web)"/>
    <w:basedOn w:val="Normal"/>
    <w:uiPriority w:val="99"/>
    <w:unhideWhenUsed/>
    <w:rsid w:val="00AB30CF"/>
    <w:pPr>
      <w:spacing w:before="100" w:beforeAutospacing="1" w:after="100" w:afterAutospacing="1"/>
    </w:pPr>
    <w:rPr>
      <w:lang w:val="en-US"/>
    </w:rPr>
  </w:style>
  <w:style w:type="paragraph" w:customStyle="1" w:styleId="Bodytext210">
    <w:name w:val="Body text (2)1"/>
    <w:basedOn w:val="Normal"/>
    <w:rsid w:val="007507D0"/>
    <w:pPr>
      <w:shd w:val="clear" w:color="auto" w:fill="FFFFFF"/>
      <w:spacing w:before="600" w:line="266" w:lineRule="exact"/>
      <w:jc w:val="both"/>
    </w:pPr>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04600">
      <w:bodyDiv w:val="1"/>
      <w:marLeft w:val="0"/>
      <w:marRight w:val="0"/>
      <w:marTop w:val="0"/>
      <w:marBottom w:val="0"/>
      <w:divBdr>
        <w:top w:val="none" w:sz="0" w:space="0" w:color="auto"/>
        <w:left w:val="none" w:sz="0" w:space="0" w:color="auto"/>
        <w:bottom w:val="none" w:sz="0" w:space="0" w:color="auto"/>
        <w:right w:val="none" w:sz="0" w:space="0" w:color="auto"/>
      </w:divBdr>
    </w:div>
    <w:div w:id="781075134">
      <w:bodyDiv w:val="1"/>
      <w:marLeft w:val="0"/>
      <w:marRight w:val="0"/>
      <w:marTop w:val="0"/>
      <w:marBottom w:val="0"/>
      <w:divBdr>
        <w:top w:val="none" w:sz="0" w:space="0" w:color="auto"/>
        <w:left w:val="none" w:sz="0" w:space="0" w:color="auto"/>
        <w:bottom w:val="none" w:sz="0" w:space="0" w:color="auto"/>
        <w:right w:val="none" w:sz="0" w:space="0" w:color="auto"/>
      </w:divBdr>
    </w:div>
    <w:div w:id="1166356284">
      <w:bodyDiv w:val="1"/>
      <w:marLeft w:val="0"/>
      <w:marRight w:val="0"/>
      <w:marTop w:val="0"/>
      <w:marBottom w:val="0"/>
      <w:divBdr>
        <w:top w:val="none" w:sz="0" w:space="0" w:color="auto"/>
        <w:left w:val="none" w:sz="0" w:space="0" w:color="auto"/>
        <w:bottom w:val="none" w:sz="0" w:space="0" w:color="auto"/>
        <w:right w:val="none" w:sz="0" w:space="0" w:color="auto"/>
      </w:divBdr>
    </w:div>
    <w:div w:id="1220170736">
      <w:bodyDiv w:val="1"/>
      <w:marLeft w:val="0"/>
      <w:marRight w:val="0"/>
      <w:marTop w:val="0"/>
      <w:marBottom w:val="0"/>
      <w:divBdr>
        <w:top w:val="none" w:sz="0" w:space="0" w:color="auto"/>
        <w:left w:val="none" w:sz="0" w:space="0" w:color="auto"/>
        <w:bottom w:val="none" w:sz="0" w:space="0" w:color="auto"/>
        <w:right w:val="none" w:sz="0" w:space="0" w:color="auto"/>
      </w:divBdr>
    </w:div>
    <w:div w:id="1293292742">
      <w:bodyDiv w:val="1"/>
      <w:marLeft w:val="0"/>
      <w:marRight w:val="0"/>
      <w:marTop w:val="0"/>
      <w:marBottom w:val="0"/>
      <w:divBdr>
        <w:top w:val="none" w:sz="0" w:space="0" w:color="auto"/>
        <w:left w:val="none" w:sz="0" w:space="0" w:color="auto"/>
        <w:bottom w:val="none" w:sz="0" w:space="0" w:color="auto"/>
        <w:right w:val="none" w:sz="0" w:space="0" w:color="auto"/>
      </w:divBdr>
    </w:div>
    <w:div w:id="1499884935">
      <w:bodyDiv w:val="1"/>
      <w:marLeft w:val="0"/>
      <w:marRight w:val="0"/>
      <w:marTop w:val="0"/>
      <w:marBottom w:val="0"/>
      <w:divBdr>
        <w:top w:val="none" w:sz="0" w:space="0" w:color="auto"/>
        <w:left w:val="none" w:sz="0" w:space="0" w:color="auto"/>
        <w:bottom w:val="none" w:sz="0" w:space="0" w:color="auto"/>
        <w:right w:val="none" w:sz="0" w:space="0" w:color="auto"/>
      </w:divBdr>
    </w:div>
    <w:div w:id="1908107926">
      <w:bodyDiv w:val="1"/>
      <w:marLeft w:val="0"/>
      <w:marRight w:val="0"/>
      <w:marTop w:val="0"/>
      <w:marBottom w:val="0"/>
      <w:divBdr>
        <w:top w:val="none" w:sz="0" w:space="0" w:color="auto"/>
        <w:left w:val="none" w:sz="0" w:space="0" w:color="auto"/>
        <w:bottom w:val="none" w:sz="0" w:space="0" w:color="auto"/>
        <w:right w:val="none" w:sz="0" w:space="0" w:color="auto"/>
      </w:divBdr>
    </w:div>
    <w:div w:id="1991975889">
      <w:bodyDiv w:val="1"/>
      <w:marLeft w:val="0"/>
      <w:marRight w:val="0"/>
      <w:marTop w:val="0"/>
      <w:marBottom w:val="0"/>
      <w:divBdr>
        <w:top w:val="none" w:sz="0" w:space="0" w:color="auto"/>
        <w:left w:val="none" w:sz="0" w:space="0" w:color="auto"/>
        <w:bottom w:val="none" w:sz="0" w:space="0" w:color="auto"/>
        <w:right w:val="none" w:sz="0" w:space="0" w:color="auto"/>
      </w:divBdr>
    </w:div>
    <w:div w:id="20044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7F17-9C16-480F-9C1F-7F55F365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17865</Words>
  <Characters>101833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Stojkovic</dc:creator>
  <cp:keywords/>
  <dc:description/>
  <cp:lastModifiedBy>Biljana Stojkovic</cp:lastModifiedBy>
  <cp:revision>3</cp:revision>
  <cp:lastPrinted>2019-04-16T11:48:00Z</cp:lastPrinted>
  <dcterms:created xsi:type="dcterms:W3CDTF">2019-05-10T07:55:00Z</dcterms:created>
  <dcterms:modified xsi:type="dcterms:W3CDTF">2019-05-10T08:21:00Z</dcterms:modified>
</cp:coreProperties>
</file>