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BB" w:rsidRDefault="0003319D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9022BB" w:rsidRDefault="0003319D">
      <w:pPr>
        <w:spacing w:after="150"/>
      </w:pPr>
      <w:r>
        <w:rPr>
          <w:color w:val="000000"/>
        </w:rPr>
        <w:t> 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 основу члана 57. став 1. Закона о социјалној заштити („Службени гласник РС”, број 24/11),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Министар рада, запошљавања и социјалне политике доноси</w:t>
      </w:r>
    </w:p>
    <w:p w:rsidR="009022BB" w:rsidRDefault="0003319D" w:rsidP="00B94E4D">
      <w:pPr>
        <w:spacing w:after="225"/>
        <w:jc w:val="center"/>
      </w:pPr>
      <w:r>
        <w:rPr>
          <w:b/>
          <w:color w:val="000000"/>
        </w:rPr>
        <w:t>ПРАВИЛНИК</w:t>
      </w:r>
    </w:p>
    <w:p w:rsidR="009022BB" w:rsidRDefault="0003319D" w:rsidP="00B94E4D">
      <w:pPr>
        <w:spacing w:after="225"/>
        <w:jc w:val="center"/>
      </w:pPr>
      <w:r>
        <w:rPr>
          <w:b/>
          <w:color w:val="000000"/>
        </w:rPr>
        <w:t>о ближим условима и стандардима за пружање услуга социјалне заштите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"Службени гласник РС", бр. 42 од 14. маја 2013, 89 од 16. новембра 2018.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I. ОСНОВНЕ ОДРЕДБЕ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Предмет Правилника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Овим правилником прописују се ближи услови и стандарди за пружање свих услуга социјалне заштите (у даљем тексту: минимални стандарди).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Сви појмови у овом правилнику употребљени у граматичком мушком роду односе се на особе мушког и женског пола.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Примена Правилника у односу на пружаоце услуга социјалне заштите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Ближе услове и стандарде прописане овим правилником примењују сви пружаоци услуга социјалне заштите, у складу са законом којим је уређена социјална заштита.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Спецификација услуге и минимални стандарди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Спецификацијом услуга уређују се: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сврха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корисничке групе којима је услуга намењена;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активности које се предузимају ради задовољавања потреба одређених корисничких група.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стандарди представљају основне захтеве који се морају испунити како би се пружале услуге социјалне заштите. Минимални стандарди се састоје од: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минималних структуралних стандарда, којим се утврђују инфраструктурни, организациони и кадровски услови за пружање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2) минималних функционалних стандарда, којим се утврђују вредносне, квантитативне и квалитативне димензије стручних поступака.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Заједнички и посебни минимални структурални и функционални стандарди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Заједнички минимални структурални и функционални стандарди представљају захтеве који се морају испунити независно од корисничких група којима је услуга намењена, изузев ако посебним прописом којим се уређују ближи услови и стандарди за остварење одређених услуга социјалне заштите није другачије уређено.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Посебни минимални структурални и функционални стандарди представљају специфичне захтеве који се морају испунити у оквиру одређене групе услуга или конкретне услуге, сагласно потребама и различитостима корисничке групе.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II. ЗАЈЕДНИЧКИ МИНИМАЛНИ СТАНДАРДИ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1. Заједнички структурални минимални стандарди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Јавност рада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има дефинисан основни програм организације који минимално садржи: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податке о корисницима, по узрасту, степену подршке и потребама, односно корисничкој групи којој је услуга намењена, у смислу закона којима је уређена социјална заштита;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програмске активности које се реализују, у складу са спецификацијом услуге и минималним стандардима који се односе на услугу коју организација пружа, као и у складу са потребама корисничке групе којој се услуга пружа;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(3) податке о основним кадровима, у складу са спецификацијом услуге и минималним стандардима који се односе на услугу коју организација пружа.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има елаборат о испуњености услова за почетак рада и пружање услуга социјалне заштите, чији је садржај ближе одређен правилником којим је уређено лиценцирање организација;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има дефинисан годишњи план рада који садржи циљеве и активности: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инфраструктурне инвестиције;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развој кадрова;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(3) информисање шире и стручне јавности о услугама које се пружају;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(4) развој услуге у односу на проширење броја корисника, увођење нових садржаја и слично;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има утврђене критеријуме за одређивање приоритета приликом пријема корисника и формирање листе чекања, у зависности од услуге која се пружа, а у складу са актом пружаоца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има процедуре за све фазе стручног поступка, као и о другим питањима, у складу са овим правилником и другим прописима;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обезбеђује редовно информисање потенцијалних корисника о почетку коришћења услуге, према утврђеној листи чекања;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обезбеђује кориснику, законском заступнику корисника и трећим лицима, информације у писменој форми о делокругу рада, услугама које обезбеђује, кућном реду и правилима понашања запослених;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закључује уговор о пружању услуге, изузев за услугу свратишта и прихватилишта;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води прописану евиденцију и документацију за услугу коју пружа.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Локација објекта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у коме се пружају услуге корисницима (у даљем тексту: објекат) налази се у насељеном месту.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Ради несметаног коришћења услуга и служби у заједници објекат треба да буде на месту доступном јавном превозу.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има прикључак на електричну и телефонску мрежу, прикључак и инсталације за довод воде за пиће и одвод отпадних вода.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Прилаз објекту приступачан је за несметан долазак возила са корисницима који се отежано крећу и за самостално кретање корисника инвалидских колица и других помагала.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безбедно окружење за боравак корисника, запослених и трећих лица.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који је спратан за кретање корисника треба да има обезбеђен вертикални транспорт и то: покретну столицу ако је на свакој етажи смештено до 20 корисника, а лифт ако је на свакој етажи смештено више од 20 корисника или ако је објекат спратности П+3 и више.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је топлотно, звучно и хидро изолован, има систем централног грејања који обезбеђује адекватну собну температуру, природно проветравање и осветљење.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Пружалац услуге, у складу са потребама корисника, обезбеђује услове за рекреацију, физикалну и радно-окупациону терапију и сусрете и контакте са члановима породице и другим лицима значајним за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Одредбе овог члана не односе се на услуге помоћи у кући и персоналну асистенцију.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личне хигијене и хигијене простора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Заједничке просторије свакодневно се чисте.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Просторије за обављање личне хигијене одвојене су за мушке и женске кориснике.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Корисници, у складу са својим способностима, активно учествују у одржавању личне хигијене и хигијене простора у којем бораве.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 xml:space="preserve">Корисницима је обезбеђено несметано одржавање личне хигијене уз средства и опрему која одговара њиховим могућностима и </w:t>
      </w:r>
      <w:proofErr w:type="gramStart"/>
      <w:r>
        <w:rPr>
          <w:color w:val="000000"/>
        </w:rPr>
        <w:t>потребама .</w:t>
      </w:r>
      <w:proofErr w:type="gramEnd"/>
    </w:p>
    <w:p w:rsidR="009022BB" w:rsidRDefault="0003319D" w:rsidP="00982BB9">
      <w:pPr>
        <w:spacing w:after="150"/>
        <w:jc w:val="both"/>
      </w:pPr>
      <w:r>
        <w:rPr>
          <w:color w:val="000000"/>
        </w:rPr>
        <w:t>Стандарди из ст. 1. и 2. овог члана не односе се на услугу помоћи у кући.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Одлагање отровних и других материјала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Услови за одлагање отровних и других материјала обезбеђују се у складу са посебним прописима.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Несметано функционисање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Просторије које су намењене корисницима су приступачне.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Подови у свим просторијама су од неклизајућих материјала.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Радни простор, руководилац и задужени радник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одговарајуће радне просторије за запослене.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лице непосредно задужено за руковођење.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Сви запослени имају јасно дефинисан опис послова.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сваког корисника задужен је запослени који је непосредно одговоран за рад са корисником, праћење реализације индивидуалног плана и постигнутих исхода, подршку у одражавању контакта са породицом, другим лицима значајним за корисника, водитељем случаја и другим стручњацима у заједници.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Запослени из става 4. овог члана, може бити задужен за више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Дневни и ноћни рад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Члан 11.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услуга које су корисницима доступне двадесет четири часа дневно организује дневни рад, ноћни рад и рад у сменама, у складу са прописом о раду.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2. Заједнички минимални функционални стандарди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Пријем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Пријемна процена врши се пре коришћења услуге, у периоду од петнаест дана од пријема захтева.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 основу непосредног разговора са корисником или законским заступником, лицима значајним за корисника и других извора процењују се: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став корисника и других лица значајних за корисника и њихова очекивања од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подобност корисника за коришћење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капацитети пружаоца услуге да задовољи потребе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приоритет за пријем – датум коришћења услуге или уписивања на листу чекања;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способности и приоритетне потребе потенцијалног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могућност да друге услуге или службе у заједници на потпунији начин задовоље потребе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Ако је потенцијални корисник упућен преко центра за социјални рад са седиштем ван места пружања услуге, пружалац услуге ће извршити пријемну процену у складу са ставом 2. овог члана, по правилу на основу упута центра за социјални рад, у периоду из става 1. овог члана.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ће у периоду од седам дана обавестити подносиоца захтева о исходу пријемне процене, што укључује информације о почетку коришћења услуге, стављању на листу чекања, или разлозима за евентуално одбијање пријема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Процена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Процена потреба, снага, ризика, способности, и интересовања корисника и других лица значајних за корисника, као и процена капацитета пружаоца услуге (у даљем тексту: процена), врши се након пријема корисника и периодично током пружања услуге у роковима утврђеним индивидуалним планом услуге, односно посебним стандардом за одређену услугу.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Процену врши стручни радник уз учешће корисника, по потреби и законског заступника или другог лица значајног за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Процена започиње непосредно након пријема и окончава се у року до десет дана.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Уколико је центар за социјални рад упутио корисника, процена се врши на основу процене центра.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Током процене пружа се услуга, односно реализују се активности у складу са утврђеним приоритетним потребама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Поред околности из става 1. овог члана, процена узима у обзир културолошке и личне посебности корисника: географско и национално порекло, матерњи језик, верско опредељење, узраст, род, сексуалну оријентацију и др.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односу на резултате процене одређује се степен подршке кориснику и израђује индивидуални план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Након извршене процене и одређивања степена подршке, за сваког корисника одређује се стручни радник, односно стручни сарадник.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Одређивање степена подршке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Степен подршке одређује се с обзиром на целокупно индивидуално функционисање корисника и врсте потребне помоћи, у односу на: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способност непосредне бриге о себи;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учествовање у активностима живота у заједници.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Степени подршке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Подршка I степена – значи да корисник није способан да се самостално брине о себи и укључи у активности дневног живота у заједници, због чега му је потребно физичко присуство и континуирана помоћ другог лица.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Подршка II степена – значи да корисник може да брине о себи и да се укључи у активности дневног живота у заједници уз физичко присуство и помоћ другог лица.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Подршка III степена – значи да корисник може да брине о себи и да се укључи у активности дневног живота у заједници, али му је услед недовољно развијених знања и вештина потребан надзор и подршка другог лица.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Подршка IV степена – значи да корисник самостално, односно уз подсећање, може да обавља све животне активности.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Планирање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На основу идентификованих потреба, способности и ризика, за сваког корисника сачињава се индивидуални план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Индивидуални план услуге сачињава се до десет дана након окончања процене из члана 13. овог правилника.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Индивидуални план услуге, обавезно садржи: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циљеве који се желе постићи пружањем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очекиване исходе;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конкретизоване активности које ће се предузимати, укључујући и активности у процесу прилагођавања;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временски оквир у којем се реализује индивидуални план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рок за поновни преглед индивидуланог плана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имена лица одговорних за реализацију индивидуалног плана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Индивидуални план услуге израђује се у складу са ширим планом упутног центра за социјални рад, ако је корисник упућен преко центра за социјални рад.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изради индивидуалног плана услуге учествује стручни радник, корисник или његов законски заступник, задужени запослени, а по потреби и други стручњаци у организацији и заједници. У изради индивидуалног плана услуге учествује и водитељ случаја упутног центра за социјални рад, ако је корисник упућен преко центра за социјални рад.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Корисник, односно његов законски заступник добијају примерак индивидуалног плана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Кориснику, односно његовом законском заступнику обезбеђује се одговарајућа помоћ приликом учествовања у изради индивидуалног плана услуге.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Поновни преглед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Поновни преглед, врши се у складу са роковима наведеним у индивидуалном плану услуге, процењеним интензитетом подршке, дефинисаним циљевима и исходима, и омогућава прилагођавање активности потребама и циљевима корисника и оствареним ефектима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Поновни преглед сваког индивидуалног плана услуге врши се најмање: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једном у шест месеци, за децу и младе;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једном у дванаест месеци, за одрасле и старије кориснике.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У поновном прегледу учествују стручни радник, корисник, односно његов законски заступник и задужени запослени, а по потреби и други стручњаци пружаоца услуге и стручњаци из заједнице.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поновном прегледу учествује и водитељ случаја уколико је корисник упућен преко центра за социјални рад.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може утврдити и краћи рок од рока прописаног ставом 2. овог члана за поновни преглед, у складу са индивидуалним планом услуге и посебним прописима.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Извештај о реализацији индивидуалног плана услуге доставља се надлежном водитељу случаја, ако је корисник упућен преко центра за социјални рад, у складу са роковима утврђеним у ст. 1, 2. и 5. овог члана.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Рестриктивни поступци и мере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Рестриктивни поступци и мере према корисницима који својим понашањем доводе у опасност себе, друге кориснике, особље, посетиоце или имовину, примењују се искључиво на основу планираних, праћених, надгледаних и временски ограничених интервенција, у складу са посебним прописом.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ограничавање кретања, изолацију или контролу понашања корисника пружалац услуге прописује процедуре, одређује лице одговорно за одобравање рестриктивних поступака и мера и води евиденцију о њиховој примени, у складу са посебним прописом.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Интерна евалуација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најмање једном годишње спроводи интерну евалуацију квалитета пружених услуга, која укључује испитивање задовољства корисника, односно њихових заступника.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Извештај о евалуацији из става 1. овог члана, подноси се оснивачу услуге, заводима за социјалну заштиту и доступан је стручној јавности.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Развој особља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одговарајућу стручну подршку (нпр. консултације, менторство, супервизију по одговарајућем моделу и др.), свим лицима ангажованим на пружању услуге, у складу са својим планом стручног усавршавања донетим у складу са законом којим је уређена социјална заштита.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услове за обављање приправничког стажа, односно студентске праксе у складу са правилником којим је уређено лиценцирање стручних радника.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lastRenderedPageBreak/>
        <w:t>Доступност програма и услуга у заједници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програмске активности, које су посебно прилагођене могућностима и интересовањима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Ако одређене активности у оквиру услуге коју пружа пружалац не може реализовати коришћењем сопствених ресурса, обезбеђује их у заједници, од других организација или ангажовањем стручњака различитих профила, у складу са идентификованим потребама корисника и њиховим индивидуалним плановима.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III. УСЛУГЕ СМЕШТАЈА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1. Спецификација услуга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Циљне групе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домског смештаја привремено се пружају деци, као и младима до 26. године живота, односно до завршетка школовања и радног оспособљавања.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домског смештаја пружају се деци и младима чије се потребе не могу задовољити у оквиру биолошке, сродничке или хранитељске породице или кроз услуге у заједници, на основу одлуке органа старатељства или суда, односно по упуту центра за социјални рад, до повратка детета или младе особе у биолошку породицу, односно до смештаја у сродничку или хранитељску породицу, усвојења или осамостаљивања.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Дете млађе од три године не смешта се у дом, осим у случајевима предвиђеним законом којим је уређена социјална заштита.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домског смештаја пружају се одраслим и старијим лицима: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са навршених 65 година живота која услед ограничених способности имају тешкоће да живе самостално, без целодневне подршке, неге или надзора;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са навршених 26 година живота, која услед физичких, интелектуалних или тешкоћа у психичком функционисању имају потребу за интензивним и целодневним надзором, негом и подршком током 24 сата, а чије се потребе тренутно не могу задовољити у породичном окружењу или кроз услуге у заједници.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Сврха домског смештаја и смештаја у мале домске заједнице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домског смештаја и смештаја у мале домске заједнице деце и младих је обезбеђивање привременог безбедног и стимулативног окружења, у околностима када то није могуће обезбедити у породичној средини, како би им се пружила подршка и припрема за одржив независан живот.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Услуге из става 1. овог члана усмерене су на припрему деце и младих за повратак биолошкој породици, одлазак у хранитељску породицу, усвојење, или оспособљавање да се као независне одрасле особе интегришу у заједницу у најкраћем могућем року.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Рад са децом и младима усмерен је ка задовољавању њихових краткорочних, средњoрочних и дугорочних потреба, развијању способности, знања и практичних вештина неопходних у свакодневном животу, успостављању самопоштовања и поверења у односима са другима.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Организација рада и програмске активности у малим домским заједницама конципиране су на начин који је близак породичним условима живота, уз подстицање индивидуалности сваког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Организација рада у малим домским заједницама базирана је на принципима мултифункционалности ангажованог особља.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Организација рада и програмске активности у малим дoмским заједницама усмерене су на интеракцију и коришћење доступних ресурса у локалној заједници.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домског смештаја одраслих и старих састоји се у одржању или унапређењу квалитета живота, њихове самосталности, односно припреме за одржив независан живот.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Циљнe групe малих домских заједница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смештаја у мале домске заједнице доступне су: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деци и младима са III и IV степеном подршке, најдуже до завршетка средњег образовања;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деци и младима са I и II степеном подршке.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Циљне групе смештаја у прихватилиште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смештаја у прихватилиште пружају се најдуже у трајању до шест месеци: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деци, младима и одраслим жртвама насиља у породици, злостављања или занемаривања;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деци, младима и одраслим жртвама трговине људима;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деци и младима који се налазе у скитњи, без пратње и у различитим кризним ситуацијама, којима је потребан привремени смештај и процена потреба ради упућивања на коришћење других услуга;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одраслим и старим лицима у кризним ситуацијама, бескућницима и просјацима.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lastRenderedPageBreak/>
        <w:t>Сврха смештаја у прихватилиште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смештаја у прихватилиште је задовољавање основних потреба појединца или породице којима је потребно неодложно осигурати безбедност у кризним ситуацијама.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из става 1. овог члана усмерена је ка процени потреба за другим услугама и започињању процеса помоћи кориснику за успостављање стабилног породичног или независног живота, превазилажење кризне ситуације и одрживих решења у будућности.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је усмерена на успостављање осећања сигурности као основе за даљи напредак и оснаживање корисника, ради подизања њихове способности за безбедан живот и укључивање у заједницу.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Циљне групе предах смештаја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предах смештаја пружа се најдуже 45 дана у току календарске године, с тим што може трајати најдуже 20 дана у континуитету, деци и младима са сметњама у развоју узраста од пет до 26 година живота, и то: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са интелектуалним тешкоћама и аутизмом;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са вишеструким сметњама у развоју;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са сензорним инвалидитетом;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са физичким инвалидитетом.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Сврха предах смештаја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предах смештаја jе краткорочни и повремени смештај детета са сметњама у развоју, који се обезбеђује као дневни, викенд или вишедневни смештај, чиме се пружа подршка како детету тако и породици детета, у одржавању и побољшању квалитета њиховог живота с циљем останка детета у породици.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Предах смештајем обезбеђује се краткорочна и повремена нега деци и младима са сметњама у развоју, унапређују се и развијају вештине самосталног живота, стварају могућности за укључивање у заједицу, као и за развијање, очување и унапређење снага породице.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Програмске активности у услугама смештаја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29.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смештаја остварују се кроз програмске активности, којима се у складу са проценом потреба корисника, обезбеђује: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1) задовољавање основних животних потреба и осигурање безбедног и пријатног окружења;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развој и очување потенцијала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правна подршка;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подршка при школовању и запошљавању.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Активности усмерене ка задовољавању основних животних потреба и осигурању безбедног и пријатног окружења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помоћи и подршке усмерене су ка задовољавању основних потреба и осигурању безбедног и пријатног окружења корисника, и у складу са проценом потреба корисника, обухватају: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обезбеђивање исхране у складу са развојним и здравственим потребама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помоћ при облачењу и пресвлачењу;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помоћ при храњењу и обављању личне хигијене (туширање и купање);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помоћ при кретању;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помоћ при одржавању хигијене усне шупљине, ногу и ноктију;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помоћ при бријању и шишању;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помоћ при обављању физиолошких потреба;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помоћ при одржавању хигијене кревета и простора;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давање преписане терапије;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10) санирање и нега мањих повреда;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11) контрола виталних функција (притисак, температура, ниво шећера у крви, уношење и избацивање течности и сл.);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12) набавку одеће и обућу примерене узрасту и временским приликама;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13) обезбеђивање прикладне декорације која одражава индивидуалне укусе и жеље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14) обезбеђивање довољно простора и опреме који кориснику омогућавају приватност;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15) чишћење заједничких просторија, соба и припадајућих санитарних просторија;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16) прање и пеглање постељног рубља;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17) прање и пеглање личног рубља;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18) помоћи приликом одржавања простора у којем бораве и старања о личним стварима;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19) по потреби пратња корисника приликом одласка код лекара или до других потребних служби ван установе.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Активности усмерене ка развијању и очувању потенцијала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усмерене ка развијању и очувању потенцијала корисника, као и припреми за одржив независан живот, реализују се у складу са сврхом смештаја, карактеристикама корисничке групе, капацитетима корисника, индивидуалним планом и у складу са проценом потреба корисника обухватају појединачне и групне приступе ради: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подршке у изградњи и одржавању позитивних односа са другим лицима у окружењу;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организовања радно-окупационих и едукативних активности које подстичу стицање нових знања и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подршке у одржавању контакта са биолошком породицом и другим лицима значајним за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организовања слободног времена у складу са потребама и интересовањима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организовања културно-забавних садржаја у складу са интересовањима, жељама и способностима корисника у установи и изван ње;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развоја вештина за препознавање и решавање проблема;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развоја комуникационих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развоја вештина за самозаштиту;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развоја вештина и знања потребних за живот и рад изван институције;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10) пружања рехабилитационих и терапијских услуга;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11) помоћи у учвршћивању стечених знања и вештина.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Активности правне подршке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правне подршке и усмеравања, у складу са проценом потреба корисника, обухватају: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утврђивање идентитета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иницирање утврђивања и решавања грађанско – правног статуса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3) обезбеђивање доступности правне помоћи и подршке у складу са потребама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обезбеђивање комуникације корисника страних држављана са дипломатско конзуларним представништвима;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друге послове правне подршке и усмеравања, у складу са посебним прописом.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Активности усмерене на подршку при школовању и запошљавању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усмерене на подршку при школовању и запошљавању, у складу са капацитетима и проценом потреба корисника, обухватају: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помоћ у започињању и наставку школовања;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помоћ у тражењу прилика за запошљавање унутар заједнице;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подстицање и подршка у почетним данима новог запослења.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2. Заједнички минимални структурални стандарди за услуге домског, смештаја у мале домске заједнице, прихватилишта и предах смештаја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Лежаји у спаваоници прилагођени су узрасту и потребама корисника према степену подршке.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Размак између лежајева омогућава несметано функционисање корисника у складу са њиховим потребама и могућностима.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 у спаваоницама прилагођен је потребама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Једнокреветна спаваоница треба да има површину најмање 10 m².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 у вишекреветним спаваоницама треба да има најмање 5 m² по кориснику.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Спаваће собе су одвојене за лица различитог пола, осим када су смештена деца до седам година старости, ванбрачни партнер и брачни супружници.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има просторију за несметане сусрете и дружења корисника и лица из блиског окружења.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Исхрана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Корисницима се обезбеђују најмање три оброка дневно и две ужине по потреби и у складу са нутриционистичким стандардима, а у зависности од корисничке групе или упутства лекара, и више оброка.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Исхрана корисника обезбеђује се према недељном јеловнику, који се саставља у складу са нутриционистичким стандардима, уз учешће корисника и истакнут је на видном месту.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Послуживање хране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послуживање хране, објекат има одговарајућу трпезарију коју истовремено може користити најмање 50% корисника на смештају.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хигијене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Лично и постељно рубље и одећа корисника пере се и пегла према потреби, а најмање једанпут у седам дана.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Најмање једном у 30 дана пружа се помоћ кориснику приликом поспремања ормара и других личних ствари.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Собе у којима живе корисници и припадајуће санитарне просторије свакодневно се чисте.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Прање стаклених површина, завеса и тепиха обавља се најмање једном у шест месеци.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Основни кадрови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стално запосленог социјалног радника.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обезбеђену професионалну правну подршку.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најмање 60% стручних радника, од укупног броја запослених стручних радника и стручних сарадника, у складу са правилником којим су прописани стручни послови у социјалној заштити.</w:t>
      </w:r>
    </w:p>
    <w:p w:rsidR="009022BB" w:rsidRDefault="0003319D" w:rsidP="00982BB9">
      <w:pPr>
        <w:spacing w:after="150"/>
        <w:jc w:val="both"/>
      </w:pPr>
      <w:r>
        <w:rPr>
          <w:b/>
          <w:i/>
          <w:color w:val="000000"/>
        </w:rPr>
        <w:t>Други кадрови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*Службени гласник РС, број 89/2018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Члан 38а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proofErr w:type="gramStart"/>
      <w:r>
        <w:rPr>
          <w:b/>
          <w:color w:val="000000"/>
        </w:rPr>
        <w:t>Пружалац услуге има обезбеђену одговарајућу стручну подршку за обављање руководећих, административних, финансијско-рачуноводствених и комерцијалних послова, као и техничких, општих и других помоћних послова.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У зависности од капацитета, површине простора, просторног распореда, потреба пружаоца услуга, карактеристика и потреба корисника послови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обухватају: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1. Руководећи, административни, финансијско-рачуноводствени и комерцијални послови: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lastRenderedPageBreak/>
        <w:t xml:space="preserve">– </w:t>
      </w:r>
      <w:proofErr w:type="gramStart"/>
      <w:r>
        <w:rPr>
          <w:b/>
          <w:color w:val="000000"/>
        </w:rPr>
        <w:t>директора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помоћника</w:t>
      </w:r>
      <w:proofErr w:type="gramEnd"/>
      <w:r>
        <w:rPr>
          <w:b/>
          <w:color w:val="000000"/>
        </w:rPr>
        <w:t xml:space="preserve"> директор,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засебног објекта домског смештаја,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службеника</w:t>
      </w:r>
      <w:proofErr w:type="gramEnd"/>
      <w:r>
        <w:rPr>
          <w:b/>
          <w:color w:val="000000"/>
        </w:rPr>
        <w:t xml:space="preserve"> за односе са јавношћу и маркетинг,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статистичара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службеника</w:t>
      </w:r>
      <w:proofErr w:type="gramEnd"/>
      <w:r>
        <w:rPr>
          <w:b/>
          <w:color w:val="000000"/>
        </w:rPr>
        <w:t xml:space="preserve"> за заштиту животне средине,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инжењера</w:t>
      </w:r>
      <w:proofErr w:type="gramEnd"/>
      <w:r>
        <w:rPr>
          <w:b/>
          <w:color w:val="000000"/>
        </w:rPr>
        <w:t xml:space="preserve"> за рачунарске мреже,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аналитичара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правног</w:t>
      </w:r>
      <w:proofErr w:type="gramEnd"/>
      <w:r>
        <w:rPr>
          <w:b/>
          <w:color w:val="000000"/>
        </w:rPr>
        <w:t xml:space="preserve"> сарадника,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референта</w:t>
      </w:r>
      <w:proofErr w:type="gramEnd"/>
      <w:r>
        <w:rPr>
          <w:b/>
          <w:color w:val="000000"/>
        </w:rPr>
        <w:t xml:space="preserve"> за правне, кадровске и административне послове,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техничког</w:t>
      </w:r>
      <w:proofErr w:type="gramEnd"/>
      <w:r>
        <w:rPr>
          <w:b/>
          <w:color w:val="000000"/>
        </w:rPr>
        <w:t xml:space="preserve"> секретара,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пословног</w:t>
      </w:r>
      <w:proofErr w:type="gramEnd"/>
      <w:r>
        <w:rPr>
          <w:b/>
          <w:color w:val="000000"/>
        </w:rPr>
        <w:t xml:space="preserve"> секретара,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овлашћеног</w:t>
      </w:r>
      <w:proofErr w:type="gramEnd"/>
      <w:r>
        <w:rPr>
          <w:b/>
          <w:color w:val="000000"/>
        </w:rPr>
        <w:t xml:space="preserve"> интерног ревизора,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финансијско-рачуноводствених послова,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благајника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контисте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ликвидатора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референта</w:t>
      </w:r>
      <w:proofErr w:type="gramEnd"/>
      <w:r>
        <w:rPr>
          <w:b/>
          <w:color w:val="000000"/>
        </w:rPr>
        <w:t xml:space="preserve"> за заштиту, безбедност и здравље на раду,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дипломираног</w:t>
      </w:r>
      <w:proofErr w:type="gramEnd"/>
      <w:r>
        <w:rPr>
          <w:b/>
          <w:color w:val="000000"/>
        </w:rPr>
        <w:t xml:space="preserve"> економисте за финансијско-рачуноводствене послове,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самосталног</w:t>
      </w:r>
      <w:proofErr w:type="gramEnd"/>
      <w:r>
        <w:rPr>
          <w:b/>
          <w:color w:val="000000"/>
        </w:rPr>
        <w:t xml:space="preserve"> финансијско-рачуноводственог сарадника,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референта</w:t>
      </w:r>
      <w:proofErr w:type="gramEnd"/>
      <w:r>
        <w:rPr>
          <w:b/>
          <w:color w:val="000000"/>
        </w:rPr>
        <w:t xml:space="preserve"> за финансијско-рачуноводствене послове,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послова јавних набавки,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службеника</w:t>
      </w:r>
      <w:proofErr w:type="gramEnd"/>
      <w:r>
        <w:rPr>
          <w:b/>
          <w:color w:val="000000"/>
        </w:rPr>
        <w:t xml:space="preserve"> за јавне набавке,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референта</w:t>
      </w:r>
      <w:proofErr w:type="gramEnd"/>
      <w:r>
        <w:rPr>
          <w:b/>
          <w:color w:val="000000"/>
        </w:rPr>
        <w:t xml:space="preserve"> за јавне набавке,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стручног</w:t>
      </w:r>
      <w:proofErr w:type="gramEnd"/>
      <w:r>
        <w:rPr>
          <w:b/>
          <w:color w:val="000000"/>
        </w:rPr>
        <w:t xml:space="preserve"> сарадника за јавне набавке,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магационера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финансијског</w:t>
      </w:r>
      <w:proofErr w:type="gramEnd"/>
      <w:r>
        <w:rPr>
          <w:b/>
          <w:color w:val="000000"/>
        </w:rPr>
        <w:t xml:space="preserve"> рачуноводственог аналитичара,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организатора</w:t>
      </w:r>
      <w:proofErr w:type="gramEnd"/>
      <w:r>
        <w:rPr>
          <w:b/>
          <w:color w:val="000000"/>
        </w:rPr>
        <w:t xml:space="preserve"> промотивних активности,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програмера-инжењера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lastRenderedPageBreak/>
        <w:t xml:space="preserve">– </w:t>
      </w:r>
      <w:proofErr w:type="gramStart"/>
      <w:r>
        <w:rPr>
          <w:b/>
          <w:color w:val="000000"/>
        </w:rPr>
        <w:t>шефа</w:t>
      </w:r>
      <w:proofErr w:type="gramEnd"/>
      <w:r>
        <w:rPr>
          <w:b/>
          <w:color w:val="000000"/>
        </w:rPr>
        <w:t xml:space="preserve"> рачуноводства,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правног</w:t>
      </w:r>
      <w:proofErr w:type="gramEnd"/>
      <w:r>
        <w:rPr>
          <w:b/>
          <w:color w:val="000000"/>
        </w:rPr>
        <w:t xml:space="preserve"> сарадника.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2. Технички, општи и други помоћни послови: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послова инвестиционог и техничког одржавања,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техничара</w:t>
      </w:r>
      <w:proofErr w:type="gramEnd"/>
      <w:r>
        <w:rPr>
          <w:b/>
          <w:color w:val="000000"/>
        </w:rPr>
        <w:t xml:space="preserve"> инвестиционог и техничког одржавања и одржавања уређаја и опреме,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мајстора</w:t>
      </w:r>
      <w:proofErr w:type="gramEnd"/>
      <w:r>
        <w:rPr>
          <w:b/>
          <w:color w:val="000000"/>
        </w:rPr>
        <w:t xml:space="preserve"> одржавања,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домара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помоћног</w:t>
      </w:r>
      <w:proofErr w:type="gramEnd"/>
      <w:r>
        <w:rPr>
          <w:b/>
          <w:color w:val="000000"/>
        </w:rPr>
        <w:t xml:space="preserve"> радника,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возача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нутриционисте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шефа</w:t>
      </w:r>
      <w:proofErr w:type="gramEnd"/>
      <w:r>
        <w:rPr>
          <w:b/>
          <w:color w:val="000000"/>
        </w:rPr>
        <w:t xml:space="preserve"> кухиње,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главног</w:t>
      </w:r>
      <w:proofErr w:type="gramEnd"/>
      <w:r>
        <w:rPr>
          <w:b/>
          <w:color w:val="000000"/>
        </w:rPr>
        <w:t xml:space="preserve"> кувара,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кувара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помоћног</w:t>
      </w:r>
      <w:proofErr w:type="gramEnd"/>
      <w:r>
        <w:rPr>
          <w:b/>
          <w:color w:val="000000"/>
        </w:rPr>
        <w:t xml:space="preserve"> кувара,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сервирке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шефа</w:t>
      </w:r>
      <w:proofErr w:type="gramEnd"/>
      <w:r>
        <w:rPr>
          <w:b/>
          <w:color w:val="000000"/>
        </w:rPr>
        <w:t xml:space="preserve"> службе-референта за санитарну контролу,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чистачице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спремачице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фризера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техничара</w:t>
      </w:r>
      <w:proofErr w:type="gramEnd"/>
      <w:r>
        <w:rPr>
          <w:b/>
          <w:color w:val="000000"/>
        </w:rPr>
        <w:t xml:space="preserve"> одржавања одеће,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кројача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радника</w:t>
      </w:r>
      <w:proofErr w:type="gramEnd"/>
      <w:r>
        <w:rPr>
          <w:b/>
          <w:color w:val="000000"/>
        </w:rPr>
        <w:t xml:space="preserve"> обезбеђења без оружја,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помоћног</w:t>
      </w:r>
      <w:proofErr w:type="gramEnd"/>
      <w:r>
        <w:rPr>
          <w:b/>
          <w:color w:val="000000"/>
        </w:rPr>
        <w:t xml:space="preserve"> радника,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техничара</w:t>
      </w:r>
      <w:proofErr w:type="gramEnd"/>
      <w:r>
        <w:rPr>
          <w:b/>
          <w:color w:val="000000"/>
        </w:rPr>
        <w:t xml:space="preserve"> пољопривредних послова,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портира-чувара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службеника</w:t>
      </w:r>
      <w:proofErr w:type="gramEnd"/>
      <w:r>
        <w:rPr>
          <w:b/>
          <w:color w:val="000000"/>
        </w:rPr>
        <w:t xml:space="preserve"> за послове заштите, безбедности и здравља на раду,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месара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пекара</w:t>
      </w:r>
      <w:proofErr w:type="gramEnd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послова у угоститељству,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lastRenderedPageBreak/>
        <w:t xml:space="preserve">– </w:t>
      </w:r>
      <w:proofErr w:type="gramStart"/>
      <w:r>
        <w:rPr>
          <w:b/>
          <w:color w:val="000000"/>
        </w:rPr>
        <w:t>техничара</w:t>
      </w:r>
      <w:proofErr w:type="gramEnd"/>
      <w:r>
        <w:rPr>
          <w:b/>
          <w:color w:val="000000"/>
        </w:rPr>
        <w:t xml:space="preserve"> за хемијско прање и чишћење одеће – руководиоца службе,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послова транспорта и логистике,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техничара</w:t>
      </w:r>
      <w:proofErr w:type="gramEnd"/>
      <w:r>
        <w:rPr>
          <w:b/>
          <w:color w:val="000000"/>
        </w:rPr>
        <w:t xml:space="preserve"> одржавања информационих система и технологија,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руководиоца</w:t>
      </w:r>
      <w:proofErr w:type="gramEnd"/>
      <w:r>
        <w:rPr>
          <w:b/>
          <w:color w:val="000000"/>
        </w:rPr>
        <w:t xml:space="preserve"> послова заштите, безбедности и здравља на раду,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возача</w:t>
      </w:r>
      <w:proofErr w:type="gramEnd"/>
      <w:r>
        <w:rPr>
          <w:b/>
          <w:color w:val="000000"/>
        </w:rPr>
        <w:t xml:space="preserve"> санитетског возила,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вишег</w:t>
      </w:r>
      <w:proofErr w:type="gramEnd"/>
      <w:r>
        <w:rPr>
          <w:b/>
          <w:color w:val="000000"/>
        </w:rPr>
        <w:t xml:space="preserve"> санитарног техничара,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инжењера</w:t>
      </w:r>
      <w:proofErr w:type="gramEnd"/>
      <w:r>
        <w:rPr>
          <w:b/>
          <w:color w:val="000000"/>
        </w:rPr>
        <w:t xml:space="preserve"> инвестиционог одржавања,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возача</w:t>
      </w:r>
      <w:proofErr w:type="gramEnd"/>
      <w:r>
        <w:rPr>
          <w:b/>
          <w:color w:val="000000"/>
        </w:rPr>
        <w:t xml:space="preserve"> – диспечера,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сарадника</w:t>
      </w:r>
      <w:proofErr w:type="gramEnd"/>
      <w:r>
        <w:rPr>
          <w:b/>
          <w:color w:val="000000"/>
        </w:rPr>
        <w:t xml:space="preserve"> у угоститељству,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радника</w:t>
      </w:r>
      <w:proofErr w:type="gramEnd"/>
      <w:r>
        <w:rPr>
          <w:b/>
          <w:color w:val="000000"/>
        </w:rPr>
        <w:t xml:space="preserve"> обезбеђења без оружја,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управника</w:t>
      </w:r>
      <w:proofErr w:type="gramEnd"/>
      <w:r>
        <w:rPr>
          <w:b/>
          <w:color w:val="000000"/>
        </w:rPr>
        <w:t xml:space="preserve"> ресторана,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proofErr w:type="gramStart"/>
      <w:r>
        <w:rPr>
          <w:b/>
          <w:color w:val="000000"/>
        </w:rPr>
        <w:t>– конобара.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9022BB" w:rsidRDefault="0003319D" w:rsidP="00982BB9">
      <w:pPr>
        <w:spacing w:after="150"/>
        <w:jc w:val="both"/>
      </w:pPr>
      <w:r>
        <w:rPr>
          <w:color w:val="000000"/>
        </w:rPr>
        <w:t>*Службени гласник РС, број 89/2018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Простор за дневни боравак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39.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 има простор за дневни боравак.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Просторија за дневни боравак опремљена је столовима и столицама, телевизором, уређајем за видео-репродукцију, прибором и опремом за радне активности и друштвене игре, играчкама и дидактичким и радним материјалом у складу са потребама и интересовањима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Обележавање рођендана и празника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омогућава прославу рођендана и обележавање значајних празника корисника, у складу са способностима и интересовањима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Доступност услуге смештаја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смештаја обезбеђују се 24 сата дневно, током целе године.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3. Посебни минимални структурални стандарди за домски и предах смештај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У једној спаваоници смештена су највише четири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Собе имају ноћне светиљке, сто, столице по потреби, ормар за одећу одвојено за сваког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кориснике са отежаним кретањем изнад кревета уграђене су хватаљке.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кориснике са отежаним кретањем обезбеђена је опрема која омогућава сервирање оброка у кревету.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кориснике са отежаним кретањем обезбеђени су паравани приликом пружања неге и одржавања личне хигијене.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личне хигијене и хигијене простора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Умиваоник, туш и тоалет обезбеђују се на сваких десет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спаваоници, купатилу и тоалету обезбеђен је сигнални уређај везан са просторијом за дежурство.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Корисницима се обезбеђује подршка у одржавању личне хигијене у складу са процењеним степеном подршке.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4. Посебни минимални структурални стандарди за домски смештај деце и младих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Локација, простор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простор за игру и рекреацију, у складу са развојним потребама деце и младих.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Број особља непосредно ангажованог у раду са децом и младима на домском смештају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Стручни радници ангажовани у пружању услуге домског смештаја обављају и послове радно-окупационе терапије.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радника, стручних сарадника и сарадника непосредно ангажованих у раду са децом и младима на домском смештају,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деца и млади са интелектуалним тешкоћама: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15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неговатељ на десет корисника са утврђеним I и II степеном подршке.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деца и млади без родитељског старања: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осам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(2) један стручни радник – ноћни васпитач на 30 корисника или један стручни радник – ноћни васпитач по објекту уколико објекат има до 30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деца и млади у сукобу са законом: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шест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стручни радник – ноћни васпитач на 20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Структура стручних радника и стручних сарадника одређује се на начин дефинисан у члану 38. став 3. овог правилника.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Пружалац услуге домског смештаја за децу и младе, односно установа социјалне заштите чији је оснивач Република Србија, односно аутономна покрајина може ради обављања послова из члана 38а овог правилника из своје делатности ангажовати лица одговарајуће струке, у складу са законом: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1. У броју до 60%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домског</w:t>
      </w:r>
      <w:proofErr w:type="gramEnd"/>
      <w:r>
        <w:rPr>
          <w:b/>
          <w:color w:val="000000"/>
        </w:rPr>
        <w:t xml:space="preserve"> смештаја деце и младих са утврђеним I и II степеном подршке при центру за социјални рад, односно другој установи, као посебне организационе јединице;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2. У броју до 50%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са утврђеним III и IV степеном подршке смештајног капацитета до 36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у сукобу са законом;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3. У броју до 30%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са утврђеним III и IV степеном подршке смештајног капацитета од 36 до 100 места;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4. У броју до 20%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са утврђеним III и IV степеном подршке смештајног капацитета од 100 места и више,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са утврђеним I и II степеном подршке смештајног капацитета до 350 места.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У броју до 16%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са утврђеним I и II степеном подршке смештајног капацитета од 350 и више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деце и младих Дом за децу „Дечје село – др Милорад Павловић”, Сремска Каменица,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lastRenderedPageBreak/>
        <w:t xml:space="preserve">– </w:t>
      </w:r>
      <w:proofErr w:type="gramStart"/>
      <w:r>
        <w:rPr>
          <w:b/>
          <w:color w:val="000000"/>
        </w:rPr>
        <w:t>домског</w:t>
      </w:r>
      <w:proofErr w:type="gramEnd"/>
      <w:r>
        <w:rPr>
          <w:b/>
          <w:color w:val="000000"/>
        </w:rPr>
        <w:t xml:space="preserve"> смештаја деце и младих са утврђеним III и IV степеном подршке при центру за социјални рад, односно другој установи, као посебне организационе јединице.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Установе из става 4. овог члана које имају више од два домска објекта, лоцирана на удаљености већој од 1 km, а који функционишу као засебни објекти домског смештаја, могу да ангажују за 2% више лица одговарајуће струке у односу на одређен проценат у ставу 4.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*Службени гласник РС, број 89/2018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5. Посебни минимални структурални стандарди за домски смештај одраслих и старијих лица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Локација, простор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приступ зеленој површини у оквиру самог дома или у његовој непосредној близини.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за смештај одраслих и старијих са менталним и интелектуалним тешкоћама, обезбеђује простор за појачан надзор са природним осветљењем, одговарајућом температуром и опремом која обезбеђује удобност и онемогућава самоповређивање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просторију за изолацију преминулих корисника, у складу са стандардима предвиђеним посебним прописима.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Број стручних радника и другог особља непосредно ангажованог у раду са одраслим и старијим лицима на домском смештају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радника, стручних сарадника и сарадника непосредно ангажованих у раду са одраслим и старијим лицима на домском смештају,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старија лица: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70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неговатељ на десет корисника са утврђеним I и II степеном подршке.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одрасла лица са интелектуалним тешкоћама и душевно оболела: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25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неговатељ на десет корисника са утврђеним I и II степеном подршке;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(3) један инструктор по радионици.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3) одрасла лица са телесним инвалидитетом: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или један стручни сарадник на 40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неговатељ на десет корисника са утврђеним I и II степеном подршке;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(3) један инструктор по радионици.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Структура стручних радника и стручних сарадника одређује се на начин дефинисан у члану 38. став 3. овог правилника.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Пружалац услуге домског смештаја за одрасла и старија лица, односно установа социјалне заштите чији је оснивач Република Србија, односно аутономна покрајина може ради обављања послова из члана 38а овог правилника из своје делатности ангажовати лица одговарајуће струке, у складу са законом: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1. У броју до 35%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одраслих и старијих лица смештајног капацитета до 125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одраслих и старијих лица са утврђеним I и II степеном подршке смештајног капацитета до 125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домског</w:t>
      </w:r>
      <w:proofErr w:type="gramEnd"/>
      <w:r>
        <w:rPr>
          <w:b/>
          <w:color w:val="000000"/>
        </w:rPr>
        <w:t xml:space="preserve"> смештаја одраслих и старијих лица са утврђеним I и II степеном подршке при центру за социјални рад, односно другој установи, као посебне организационе јединице, смештајног капацитета до 60 места;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2. У броју до 21%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одраслих и старијих лица смештајног капацитета од 126 и више места;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3. У броју до 18%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одраслих и старијих лица са утврђеним I и II степеном подршке смештајног капацитета од 126 до 425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домског</w:t>
      </w:r>
      <w:proofErr w:type="gramEnd"/>
      <w:r>
        <w:rPr>
          <w:b/>
          <w:color w:val="000000"/>
        </w:rPr>
        <w:t xml:space="preserve"> смештаја одраслих и старијих лица са утврђеним I и II степеном подршке при центру за социјални рад, односно другој установи, као посебне организационе јединице, смештајног капацитета од 61 до 100 места;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>4. У броју до 15% у односу на капацитет: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</w:rPr>
        <w:t>домског</w:t>
      </w:r>
      <w:proofErr w:type="gramEnd"/>
      <w:r>
        <w:rPr>
          <w:b/>
          <w:color w:val="000000"/>
        </w:rPr>
        <w:t xml:space="preserve"> смештаја одраслих и старијих лица при центру за социјални рад, односно другој установи, као посебне организационе јединице, смештајног капацитета до 100 места,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lastRenderedPageBreak/>
        <w:t xml:space="preserve">– </w:t>
      </w:r>
      <w:proofErr w:type="gramStart"/>
      <w:r>
        <w:rPr>
          <w:b/>
          <w:color w:val="000000"/>
        </w:rPr>
        <w:t>установа</w:t>
      </w:r>
      <w:proofErr w:type="gramEnd"/>
      <w:r>
        <w:rPr>
          <w:b/>
          <w:color w:val="000000"/>
        </w:rPr>
        <w:t xml:space="preserve"> за смештај одраслих и старијих лица са утврђеним I и II степеном подршке смештајног капацитета од 425 и више места.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b/>
          <w:color w:val="000000"/>
        </w:rPr>
        <w:t xml:space="preserve">Установе из става 3. овог члана које имају више од два домска објекта, лоцирана на удаљености већој од 1 km, а који функционишу као засебни објекти домског смештаја, могу да ангажују за 2% више лица одговарајуће струке у односу на одређен проценат у ставу 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члана.</w:t>
      </w:r>
      <w:r>
        <w:rPr>
          <w:rFonts w:ascii="Calibri"/>
          <w:b/>
          <w:color w:val="000000"/>
          <w:vertAlign w:val="superscript"/>
        </w:rPr>
        <w:t>*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*Службени гласник РС, број 89/2018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6. Заједнички структурални стандарди за мале домске заједнице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Локација, простор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простор за игру и рекреацију, у складу са развојним потребама деце и младих.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49.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Мале домске заједнице формирају се у посебним, физички одвојеним објектима, који могу бити просторно, организационо и функционално повезани.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хигијене простора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Собе, дневни боравак, кухиња и тоалет свакодневно се чисте уз учешће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Најмање два пута годишње обавља се генерално спремање целог објекта, односно стамбене јединице.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7. Посебни минимални структурални стандарди за мале домске заједнице за децу и младе III и IV степена подршке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објекту, односно стамбеној јединици смештено је до десеторо деце.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једној соби смештено је највише троје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 кориснику се обезбеђује најмање 12 m² стамбеног простора.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Објекат, односно стамбена јединица састоји се од: дневног боравка, кухиње и одвојених соба за дечаке и девојчице.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Дневни боравак је опремљен клуб гарнитуром, трпезаријским столом, довољним бројем столица, телевизором.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Собе су опремљене лежајевима, ноћним светиљкама, сточићима, столицама, гардеробним делом – за сваког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Опрема за кухињу састоји се од: судопере, кухињских елемената, посуђа и кухињског прибора, фрижидера и електричног шпорета.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личне хигијене и хигијене простора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Умиваоник, туш и тоалет обезбеђују се за пет корисника у објектима, односно стамбеним јединицама у којима су смештени.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Собе, дневни боравак, кухиња и тоалет свакодневно се чисте уз учешће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Најмање два пута годишње обавља се генерално спремање целог објекта, oдносно стамбене јединице.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Основни кадрови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 и стручних сарадника непосредно ангажованих у раду са корисницима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у дневној смени пет стручних радника или стручних сарадника на две мале домске заједнице.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у ноћној смени један стручни радник или стручни сарадник на две мале домске заједнице.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Структура стручних радника и стручних сарадника одређује се на начин дефинисан у члану 39. став 3. овог правилника.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8. Посебни минимални структурални стандарди за мале домске заједнице за децу и младе I и II степена подршке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малој домској заједници може бити смештено највише 12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једној соби смештена су највише три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Приликом распоређивања корисника по собама води се рачуна о индивидуалним карактеристикама и потребама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Собе су опремљене лежајевима и гардеробним делом за сваког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кориснике са отежаним кретањем изнад кревета уграђене су хватаљке.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За кориснике са отежаним кретањем обезбеђена је опрема која омогућава сервирање оброка у кревету.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За кориснике са отежаним кретањем обезбеђени су паравани приликом пружања неге и одржавања личне хигијене.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просторију за реализацију едукативних и радно – окупационих активности, прибором, опремом и дидактичким и радним материјалом у складу са потребама и интересовањима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Одржавање личне хигијене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Умиваоник, туш и тоалет обезбеђени су за шест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Просторије за одржавање личне хигијене одвојене су за лица мушког и женског пола.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спаваоници, купатилу и тоалету обезбеђен је сигнални уређај повезан са просторијом за дежурство.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Корисницима се обезбеђује подршка у одржавању личне хигијене у складу са процењеним степеном подршке.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Основни кадрови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радника, стручних сарадника и сарадника непосредно ангажованих у раду са корисницима: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четири стручна радника или стручна сарадника;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шест неговатељица.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ноћној смени обавезно су ангажована два лица.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Структура стручних радника и стручних сарадника одређује се на начин дефинисан у члану 38. став 3. овог правилника.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9. Посебни минимални структурални стандарди за услуге смештаја у прихватилиште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Локација, простор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смештаја у прихватилиште за жртве злостављања, насиља и трговине људима, по потреби, има процедуру за обезбеђивање тајности локације и безбедности корисника и ангажованог особља.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прихватилишту за жртве злостављања, насиља и трговине људима, обезбеђена је посебна соба за мајку са дететом, односно са децом.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смештај у соби за: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1) највише троје деце жртава злостављања без пратње родитеља, односно жртава трговине људима;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највише четворо деце у скитњи и кризним ситуацијама;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највише шесторо деце у прихватилишту за малолетне странце;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највише четири одрасла корисника жртава злостављања односно трговине људима;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највише осам корисника у прихватилишту за одрасла и стара лица у кризним ситуацијама, бескућнике и просјаке.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Број стручних радника и сарадника непосредно ангажованих у раду са корисницима смештаја у прихватилиште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59.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 и сарадника непосредно ангажованих у раду са корисницима смештаја у прихватилиште,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за жртве злостављања, занемаривања и насиља у породици; жртве трговине људима; децу у скитњи и кризним ситуацијама – пет стручних радника и два сарадника за капацитет до десет корисника, а један стручни радник на сваких додатних пет корисника, односно један сарадник на сваких додатних десет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за малолетне странце – три стручна радника за капацитет до 15 корисника, а један стручни радник на сваких додатних пет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за одрасле бескућнике и просјаке – два стручна радника и пет сарадника за капацитет до десет корисника, а један сарадник на сваких додатних пет корисника, односно један стручни радник на сваких додатних десет корисника.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10. Посебни минимални функционални стандарди за услуге смештаја у прихватилиште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Пријем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Ако је пријем корисника на смештај у прихватилиште извршен као ургентан без упута центра за социјални рад, пружалац услуге о пријему корисника обавештава надлежни центар за социјални рад најкасније у року од три дана.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Ако је корисник примљен у прихватилиште под сумњом да је жртва трговине људима, пружалац услуге обавештава надлежни центар за социјални рад и службу надлежну за координацију заштите жртава трговине људима, у року од три дана.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Процена потреба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Члан 61.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Саставни део процене за жртве трговине људима је безбедносна процена прибављена преко службе надлежне за координацију заштите жртава трговине људима.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Примерак процене за жртве трговине људима, доставља се и служби надлежној за кооридинацију и заштиту жртава трговине људима.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Планирање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Индивидуални план услуга за кориснике прихватилишта обавезно садржи план отпуста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Примерак индивидуалног плана услуге за жртве трговине људима, доставља се и служби надлежној за кооридинацију и заштиту жртава трговине људима.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11. Посебни минимални структурални стандарди за предах смештај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Смештај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објекту је смештено највише десет корисника истовремено.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Број стручних радника, стручних сарадника и сарадника непосредно ангажованих у раду са корисницима предах смештаја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ангажована најмање три стручна радника, односно стручна сарадника, у дневној смени у непосредном раду са корисницима.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дневној смени минимално су ангажоване три неговатељице.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Један радни инструктор обезбеђује се по радионици.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ноћној смени ангажована је једна неговатељица по објекту.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12. Посебни минимални функционални стандарди за предах смештај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Пријем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Први пријем корисника ради пружања услуге предаха, врши се на основу упута надлежног центра за социјални рад.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Упут из става 1. овог члана користи се као основ наредних пријема корисника, у периоду од годину дана од његовог издавања.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Пријемна процена траје до седам дана од пријема захтева, приликом првог пријема корисника на основу упута у складу са ст. 1. и 2. овог члана.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Ако је пријем корисника ради пружања услуге предаха, извршен као ургентан без упута центра за социјални рад, пружалац услуге о пријему корисника одмах, а најкасније у року од три дана обавештава надлежни центар за социјални рад.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Процена потреба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Процена потреба корисника врши се непосредно након пријема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IV. ДНЕВНЕ УСЛУГЕ У ЗАЈЕДНИЦИ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1. Спецификација услуга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Радно време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дневног боравка, свратишта и помоћи у кући доступна је најмање осам сати дневно пет дана у недељи.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2. Дневни боравак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2.1. Спецификација услуге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Циљне групе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дневног боравка доступне су: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деци и младима са телесним инвалидитетом, односно интелектуалним тешкоћама, који имају потребу за дневном негом и надзором, и подршком у одржању и развијању потенцијала, на начин који не омета њихово школовање;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одраслима са телесним инвалидитетом, односно интелектуалним тешкоћама, који имају потребу за дневном негом и надзором, и подршком у одржању и развијању потенцијала;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деци и младима који су у сукобу са законом, родитељима, школом или заједницом, на начин који не омета њихово школовање или одлазак на посао;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одраслим и старим лицима којима је потребна дневна нега и надзор.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 дневног боравка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69.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услуге дневног боравака састоји се у унапређењу квалитета живота корисника у властитој социјалној средини кроз одржање и развијање социјалних, психолошких и физичких функција и вештина, како би се у што већој мери оспособили за самосталан живот.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Кроз услугу дневног боравка корисници у организованом окружењу, и уз потребни надзор, задовољавају развојне потребе, стичу и развијају животне вештине, личну и друштвену одговорност ради развоја самосталности, социјалних, сазнајних и других важних функција.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Услугом дневног боравка реализује се позитивно и конструктивно искуство боравка изван породице, а члановима породице слободно време за бављење радним и другим активностима.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дневног боравка се реализује кроз осмишљене програме, у планираним и ограниченим временским периодима.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услуге дневног боравка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услуге дневног боравка усмерене су ка развијању и очувању потенцијала корисника, односно припреми корисника за одржив независан живот.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услуге дневног боравка реализују се у складу са сврхом услуге, карактеристикама корисничке групе, капацитетима корисника, индивидуалним планом и, у складу са проценом потреба корисника, обухватају једну или више следећих активности: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подршку у изградњи и одржавању позитивних односа са одраслима и децом;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подршку у учењу, одржавању и развијању контакта са надлежним органима јединице локалне самоуправе;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организовање радно-окупационих, односно едукативних активности, које подстичу развој нових знања и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развијање метода рада који охрабрују учествовање корисника у активностима у заједници;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организовање слободног времена у складу са потребама и интересовањима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организовање пригодних културно-забавних садржаја у оквиру дневног боравка, односно омогућавање корисницима да присуствују активностима у заједници;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развој вештина за препознавање и решавање проблема;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развој комуникационих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развој вештина за самозаштиту;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10) развој вештина и знања потребних за живот у заједници;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11) рехабилитационе и терапијске активности;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12) програмске активности личног пратиоца детета, у складу са одредбама овог правилника.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2.2. Посебни минимални структурални стандарди за услугу дневног боравка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Број стручних радника и сарадника непосредно ангажованих у раду са корисницима услуге дневног боравка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 и сарадника непосредно ангажованих у раду са корисницима дневног боравка,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за децу и младе са физичким инвалидитетом и интелектуалним тешкоћама – два стручна радника и један сарадник за капацитет до десет корисника, а један стручни радник на сваких додатних пет корисника, односно један сарадник на сваких додатних десет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за децу и младе у сукобу са законом, родитељима, школом или заједницом – два стручна радника за капацитет до десет корисника, а један стручни радник на сваких додатних пет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за одрасле са физичким инвалидитетом и интелектуалним тешкоћама – један стручни радник и два сарадника за капацитет до десет корисника, а један сарадник на сваких додатних пет корисника, односно један стручни радник на сваких додатних десет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Исхрана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Корисницима који користе услугу дневног боравка дуже од четири сата, обезбеђује се оброк у складу са њиховим развојним односно здравственим потребама.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дневном боравку је обезбеђена засебна просторија за исхрану корисника.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3. Помоћ у кући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3.1. Спецификација услуге помоћи у кући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Циљна група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Услуге помоћи у кући доступне су деци, одраслима и старијима, који имају ограничења физичких и психичких способности услед којих нису у стању да независно живе у својим домовима без редовне помоћи у активностима дневног живота, неге и надзора, при чему је породична подршка недовољна или није расположива.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 помоћи у кући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Сврха помоћи у кући је подршка корисницима у задовољавању свакодневних животних потреба, како би се унапредио или одржао квалитет живота.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услуге помоћ у кући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услуге помоћ у кући усмерене су ка одржању и унапређењу квалитета живота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Реализацијом активности услуге помоћ у кући обезбеђује се одговарајућа нега и помоћ која, у складу са проценом потреба корисника, може обухватати: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помоћ у загревању просторија, укључујући по потреби: ложење ватре, чишћење пећи, помоћ у набавци огрева;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санирање и негу мањих повреда;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контролу виталних функција (крвни притисак, телесна температура, ниво шећера у крви, уношење и избацивање течности и сл.);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програмске активности личног пратиоца детета, у складу са одредбама овог правилника.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3.2. Посебни минимални структурални стандарди за услугу помоћ у кући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Особље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 оквиру услуге помоћ у кући реализује неговатељица- домаћица, са завршеном обуком по акредитованом програму за пружање услуге помоћ у кући.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Неговатељица у директном раду са корисником реализује активности, по врсти и у трајању у складу са индивидуалним планом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Новозапосленој неговатељици обезбеђује се обука, коју пружа неговатељица са одговарајућим радним искуством на тим пословима у трајању од најмање 14 дана, ради њене припреме за пружање услуге.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ангажује стручног радника као лице одговорно за процену потреба корисника и координацију рада неговатељица.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4. Свратиште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4.1. Спецификација услуге свратиште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Циљна група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свратиште доступна је деци, младим, одраслим и старим лицима који живе или раде на улици и добровољно затраже или пристану на услугу.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 свратишта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услуге свратиште је пружање привремених или повремених интервенција и задовољавање тренутних потреба корисника, као и посредовање у обезбеђивању доступности других услуга у заједници.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услуге свратиште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79.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 оквиру услуге свратиште усмерене су ка задовољавању основних потреба и осигурању безбедног и пријатног окружења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услуге свратиште, у складу са проценом потреба корисника, обухватају: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обезбеђивање оброка за кориснике;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обезбеђивање услова за одржавање личне хигијене;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набавку одеће и обуће и обезбеђивање услова за њихово одржавање;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обезбеђивање боравка;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посредовање у обезбеђивању доступности услуга у заједници (здравствених, образовних, социјалних, правних и др.);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6) едукацију и подршку корисника у стицању основних животних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пружање психо-социјалне подршке.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4.2. Посебни минимални структурални стандарди за услугу свратиште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Простор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свратишту је обезбеђена засебна просторија за исхрану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Стручни радници и сарадници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свратиште има најмање једног стручног радника и једног сарадника.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4.3. Посебни минимални функционални стандарди за услугу свратиште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Пријем и процена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обавештава центар за социјални рад о пријему малолетног корисника у свратиште без одлагања, најкасније наредног радног дана од првог пријема.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оквиру пријемне процене пружалац услуге прикупља информације о кориснику, његовом идентитету и породици.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5. Лични пратилац детета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5.1. Спецификација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Циљна група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Лични пратилац доступан је детету са инвалидитетом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укључено у васпитно-образовну установу, односно школу, до краја редовног школовања, укључујући завршетак средње школе.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ангажовања личног пратиоца је пружање детету одговарајуће индивидуалне практичне подршке ради укључивања у редовно школовање, и активности у заједници, ради успостављања што већег нивоа самосталности.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Програмске активности личног пратиоца детета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Члан 85.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Програмске активности личног пратиоца детета реализују се кроз акредитовани програм, у оквиру посебне услуге личног пратиоца детета, или као програмске активности у оквиру услуге дневног боравка или помоћи у кући.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личног пратиоца детета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личног пратиоца детета, планирају се и реализују у складу са индивидуалним потребама детета у области кретања, одржавања личне хигијене, храњења, облачења и комуникације са другима, што укључује: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помоћ код куће у облачењу, одржавању личне хигијене (умивање, чешљање, прање зуба), при храњењу (припрема и сервирање лакших оброка, храњење или помоћ у коришћењу прибора и сл.), припрему књига и опреме за вртић односно школу;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помоћ у заједници, што укључује: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помоћ у коришћењу градског превоза (улазак и излазак из средстава превоза, куповина карте и сл.),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помоћ у кретању (оријентација у простору уколико је дете са оштећењем вида, гурање колица или коришћење других помагала и сл.),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(3) одлазак на игралишта односно места за провођење слободног времена (подршка у игри, подршка и посредовање у комуникацији и сл.), укључујући културне или спортске активности и друге сервисе подршке.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5.2. Посебни минимални структурални стандарди за ангажовање личног пратиоца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услуге, односно реализатор програмских активности, има најмање једног стручног радника.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Непосредну услугу личног пратиоца пружа сарадник – лични пратилац детета.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Стручни радник и сарадник – лични пратилац имају завршену обуку по акредитованом програму за пружање услуге личног пратиоца.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Сарадник – лични пратилац не може бити члан породичног домаћинства у коме живи корисник, сродник у правој линији као ни брат и сестра, односно брат и сестра по оцу или мајци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V. УСЛУГЕ ПОДРШКЕ ЗА САМОСТАЛНИ ЖИВОТ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1. Становање уз подршку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1.1. Спецификација услуге становање уз подршку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Циљне групе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становања уз подршку дуготрајно је доступна особама са физичким инвалидитетом, интелектуалним или менталним тешкоћама, са навршених 15 година.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становања уз подршку доступна је најдуже две године: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лицима узраста између 15 и 26 године, које по престанку смештаја у установи социјалне заштите или хранитељској породици, као и по престанку боравка у установи за васпитање деце и омладине, односно у установи за извршење кривичних санкција, не могу или не желе да се врате у биолошку или сродничку породицу, нити су у могућности да започну самосталан живот;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лицима узраста између 15 и 26 година, које немају могућности да и даље живе у биолошким или сродничким породицама, као алтернатива смештају у установу социјалне заштите или хранитељску породицу, односно ради оспособљавања за самосталан живот;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лицима леченим од зависности од алкохола или психоактивних супстанци, старијим од 18 година.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становања уз подршку доступна је жртвама трговине људима са навршених 15 година живота, најдуже годину дана.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 услуге становања уз подршку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89.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услуге становања уз подршку за особе са физичким инвалидитетом, интелектуалним или менталним тешкоћама, јесте помоћ и подршка у стицању што већег степена самосталности који им омогућава квалитетнији независан живот у заједници.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услуге за младе који се осамостаљују и лечене зависнике од алкохола или психоактивних супстанци, је помоћ и подршка у стицању самосталности и интеграције у заједницу.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Становањем уз подршку обезбеђује се одговарајући смештај, стручна помоћ и подршка за што потпуније осамостаљивање и укључивање корисника у заједницу.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Становање уз подршку обезбеђује се ради спречавања коришћења услуге домског смештаја.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Програмске активности за услугу становање уз подршку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Услуга становања уз подршку остварује се реализацијом програмских активности којима се, у складу са проценом индивидуалних потреба и потреба корисничке групе: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осигурава безбедно окружење и надзире безбедност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пружа помоћ и подршка у задовољавању свакодневних животних потреба;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обезбеђује окружење у коме су доступне разноврсне социјалне, образовне, здравствене, културно забавне, спортске и рекреативне услуге у складу са идентификованим потребама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обезбеђује и друге програме који су посебно прилагођени могућностима и интересовањима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услуге становања уз подршку, усмерене ка развијању и очувању потенцијала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усмерене ка развијању и очувању потенцијала корисника, односно припреми корисника за одржив независан живот, реализују се у складу са сврхом услуге, карактеристикама корисничке групе, капацитетима корисника, индивидуалним планом, а у складу са проценом потреба корисника могу обухватити: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подршку успостављању и одржавању позитивних односа са лицима у окружењу;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организовање радно – окупационих и едукативних активности које подстичу стицање нових знања и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овладавање практичним вештинама, које се користе у свакодневном животу, посебно оним вештинама које се односе на припрему исхране, одржавање личне хигијене и хигијене становања, вођења домаћинства, познавања и коришћења ресурса заједнице;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подршку у развоју самосталности у доношењу одлука и преузимања одговорности;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помоћ приликом одржавања станова и старања о личним стварима;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организовање слободног времена у складу са потребама и интересовањима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7) организовање забавних садржаја у складу са интересовањима, жељама и способностима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8) развој вештина за препознавање и решавање проблема;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9) развој социјалних и комуникационих вештина;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10) развој вештина за самозаштиту.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lastRenderedPageBreak/>
        <w:t>Активности услуге становања уз подршку, усмерене на подршку при школовању и запошљавању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Активности усмерене на подршку при школовању и запошљавању корисника, у складу са капацитетима и проценом потреба корисника, обухватају: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помоћ у професионалној оријентацији, започињању и наставку школовања;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подршку у стицању и развоју вештина потребних за проналажење и задржавање запослења или радног ангажовања;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подршку у почетним данима новог запослења или радног ангажовања.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1.2. Посебни минимални структурални стандарди за услугу становање уз подршку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Локација објекта и опрема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Минимална структура стамбене јединице обезбеђује несметано обављање основних животних функција: спавање, обедовање, дневни боравак и одржавање хигијене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стамбеној јединици може бити смештено највише шест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једној соби смештена су највише два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 кориснику се обезбеђује најмање 12 м² стамбеног простора.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Основни кадрови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једног стручног радника, одговорног за организацију и координацију рада и пружања услуге за најмање три стамбене јединице.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Сваки корисник има задуженог стручног радника – саветника за осамостаљивање.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Број стручних радника и сарадника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Минимални број стручних радника и сарадника, одређује се на следећи начин: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лица са инвалидитетом: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– саветник за осамостаљивање на десет корисника;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(2) један неговатељ на четири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2) млади који се осамостаљују: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(1) један стручни радник – саветник за осамостаљивање на 15 корисника.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1.2. Посебни минимални функционални стандарди за услугу становање уз подршку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Пријем корисника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сачињава план припреме корисника за пресељење у стамбену јединицу за становање уз подршку, којим се обезбеђује припрема корисника у периоду до два месеца.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Процена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Процена се врши у току припреме корисника за пресељење.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Саставни део процене за жртве трговине људима је безбедносна процена прибављена преко службе надлежне за координацију заштите жртава трговине људима.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Примерак процене за жртве трговине људима, доставља се и служби надлежној за кооридинацију и заштиту жртава трговине људима.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Планирање и поновни преглед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Индивидуални план услуге сачињен је пре почетка коришћења услуге у сарадњи са надлежном службом за координацију жртава трговине људима.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Примерак индивидуалног плана услуге за жртве трговине људима, доставља се и служби надлежној за кооридинацију и заштиту жртава трговине људима.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Поновни преглед индивидуалног плана услуге врши се у складу са индивидуалним планом услуге, а најмање: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за лица са инвалидитетом на сваких шест месеци;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за младе који се осамостаљују на свака три месеца.</w:t>
      </w:r>
    </w:p>
    <w:p w:rsidR="009022BB" w:rsidRDefault="0003319D" w:rsidP="00982BB9">
      <w:pPr>
        <w:spacing w:after="120"/>
        <w:jc w:val="both"/>
      </w:pPr>
      <w:r>
        <w:rPr>
          <w:b/>
          <w:color w:val="000000"/>
        </w:rPr>
        <w:t>2. Персонална асистенција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2.1. Спецификација услуге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Циљна група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99.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 xml:space="preserve">Услуге персоналне асистенције доступне су пунолетним лицима са инвалидитетом са процењеним I или II степеном подршке, која остварују право на увећани додатак за туђу негу и помоћ, имају способности за </w:t>
      </w:r>
      <w:r>
        <w:rPr>
          <w:color w:val="000000"/>
        </w:rPr>
        <w:lastRenderedPageBreak/>
        <w:t>самостално доношење одлука, радно су ангажована или активно укључена у рад различитих удружења грађана, спортских друштава, политичких партија и других облика друштвеног ангажмана, односно укључене су у редовни или индивидуални образовни програм.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Сврха услуге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100.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Програмске активности за услугу персоналне асистенције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101.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Услуга персоналне асистенције остварује се кроз активности којима се, у складу са сврхом услуге, а у зависности од идентификованих потреба корисника обезбеђује практична помоћ и подршка.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Активности услуге персоналне асистенције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102.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Усмерене су ка одржавању и унапређењу квалитета живота корисника, у зависности од идентификованих потреба и капацитета за самостално обављање одређених активности, као и капацитета породице корисника и доступних ресурса и по потреби укључују: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1) помоћ у одржавању личне хигијене и задовољавању основних личних потреба (помоћ при облачењу и свлачењу, обављању физиолошких потреба, купању, прању косе, итд.);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2) помоћ у одржавању хигијене стана, обављању свакодневних активности и задовољавању основних животних потреба; (обезбеђивању исхране, набавку намирница, спремање оброка, храњење, одржавању чистоће просторија и итд.);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3) подизање, премештање (трансфер) и помоћ при кретању унутар и изван корисникове куће, радног места и места где се одвијају друштвене и образовне активности, помоћ у коришћењу превоза;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4) помоћ у коришћењу терапеутских и здравствених услуга и коришћењу и одржавању помагала;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5) помоћ при комуникацији, социјалним контактима и задовољавању социјалних, културно-забавних, и других потреба;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6) помоћ при обављању различитих радних, образовних и друштвених активности.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На основу идентификованих потреба и процене доступних ресурса, пружалац услуге и корисник одређују обим и врсту ангажовања персоналног асистента.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t>2.2. Посебни минимални структурални стандарди за услугу персоналне асистенције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Организација рада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103.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сачињава листу потенцијалних персоналних асистената, састављену на основу дефинисаних критеријума и процедуре за регрутовање, избор и основну обуку персоналних асистената.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закључује уговор о пружању услуге, са корисником и персоналним асистентом.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Уговором се уређују међусобна права, обавезе и одговорности, а по потреби и улога члана породице или другог лица значајног за корисника приликом пружању услуге.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Стручни радници и сарадници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104.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 има најмање једног стручног радника.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Непосредну услугу персоналне асистенције пружа сарадник – персонални асистент.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Персонални асистент има завршену основну обуку по акредитованом програму обуке за пружање услуге персоналне асистенције.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Корисник услуге персоналне асистенције има завршену обуку по основном програму за коришћење услуге персоналне асистенције.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Један персонални асистент по правилу пружа услугу за једног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Персонални асистент не може бити члан породичног домаћинства у коме живи корисник, сродник у правој линији као ни рођени брат и сестра, односно брат и сестра по оцу или мајци корисника.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Персонални асистент ангажован је у раду са једним корисником, најмање 20 а највише 40 сати недељно, према процењеним потребама и капацитетима корисника, а у складу са одредбама о радном времену из закона којим су уређени радни односи.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Пружалац услуге, корисник услуге и персонални асистент могу да се договоре о прерасподели радног времена персоналног асистента, према индивидуалним потребама корисника, а у складу са законом којим су уређени радни односи.</w:t>
      </w:r>
    </w:p>
    <w:p w:rsidR="009022BB" w:rsidRDefault="0003319D" w:rsidP="00982BB9">
      <w:pPr>
        <w:spacing w:after="120"/>
        <w:jc w:val="both"/>
      </w:pPr>
      <w:r>
        <w:rPr>
          <w:i/>
          <w:color w:val="000000"/>
        </w:rPr>
        <w:lastRenderedPageBreak/>
        <w:t>2.3. Посебни минимални функционални стандарди за услугу персоналне асистенције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Узајамно прилагођавање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105.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Период узајамног прилагођавања персоналног асистента и корисника траје најдуже 30 дана.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Планирање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106.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Корисник услуге и ангажовани персонални асистент сачињавају индивидуални недељни и месечни план рада.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зависности од процењених капацитета корисника и породице, индивидуалним планом услуга дефинишу се доступне активности.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изради недељног и месечног плана рада може учествовати и родитељ или друга значајна особа за корисника.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VI. ПРЕСТАНАК ВАЖЕЊА РАНИЈИХ ПРОПИСА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107.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Даном ступања на снагу овог правилника престаје да важи Правилник о ближим условима за оснивање и нормативима и стандардима за обављање делатности установа социјалне заштите за смештај деце и омладине без родитељског старања и деце и омладине са поремећајима у понашању („Службени гласник РС”, бр. 88/93, 121/03, 8/06, 63/06 и 36/08), Правилник о ближим условима за почетак рада и обављање делатности и нормативима и стандардима за обављање делатности установа социјалне заштите за смештај деце и омладине ометене у развоју („Службени гласник РС”, број 88/93), Правилник о ближим условима за почетак рада и обављање делатности и нормативима и стандардима за обављање делатности установа социјалне заштите за смештај пензионера и других старих лица („Службени гласник РС”, бр. 44/93, 60/93, 73/02, 66/03, 102/04, 76/05 и 34/09), Правилник о ближим условима за почетак рада и обављање делатности и нормативима и стандардима за обављање делатности установа социјалне заштите за смештај одраслих лица ометених у менталном развоју, душевно оболелих и инвалидних лица („Службени гласник РС”, бр. 88/93 и 53/05), Правилник о ближим условима у погледу простора, опреме и потребних стручних и других радника за оснивање установа социјалне заштите и за обављање делатности, односно послова социјалне заштите („Службени гласник РС”, бр. 75/91, 52/92, 44/93, 88/93 и 59/08 – др. правилник).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VII. СТУПАЊЕ НА СНАГУ</w:t>
      </w:r>
    </w:p>
    <w:p w:rsidR="009022BB" w:rsidRDefault="0003319D" w:rsidP="00982BB9">
      <w:pPr>
        <w:spacing w:after="120"/>
        <w:jc w:val="both"/>
      </w:pPr>
      <w:r>
        <w:rPr>
          <w:color w:val="000000"/>
        </w:rPr>
        <w:t>Члан 108.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lastRenderedPageBreak/>
        <w:t>Овај правилник ступа на снагу осмог дана од дана објављивања у „Службеном гласнику Републике Србије”.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Број 110-00-89/2013-09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У Београду, 9. маја 2013. године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>Министар,</w:t>
      </w:r>
    </w:p>
    <w:p w:rsidR="009022BB" w:rsidRDefault="0003319D" w:rsidP="00982BB9">
      <w:pPr>
        <w:spacing w:after="150"/>
        <w:jc w:val="both"/>
      </w:pPr>
      <w:r>
        <w:rPr>
          <w:color w:val="000000"/>
        </w:rPr>
        <w:t xml:space="preserve">др </w:t>
      </w:r>
      <w:r>
        <w:rPr>
          <w:b/>
          <w:color w:val="000000"/>
        </w:rPr>
        <w:t>Јован Кркобабић,</w:t>
      </w:r>
      <w:r>
        <w:rPr>
          <w:color w:val="000000"/>
        </w:rPr>
        <w:t xml:space="preserve"> с.р.</w:t>
      </w:r>
    </w:p>
    <w:sectPr w:rsidR="009022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BB"/>
    <w:rsid w:val="0003319D"/>
    <w:rsid w:val="009022BB"/>
    <w:rsid w:val="00982BB9"/>
    <w:rsid w:val="009E7AD9"/>
    <w:rsid w:val="00B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10275</Words>
  <Characters>58571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Gojkovic</dc:creator>
  <cp:lastModifiedBy>Miodrag Tasic</cp:lastModifiedBy>
  <cp:revision>2</cp:revision>
  <dcterms:created xsi:type="dcterms:W3CDTF">2019-03-22T10:10:00Z</dcterms:created>
  <dcterms:modified xsi:type="dcterms:W3CDTF">2019-03-22T10:10:00Z</dcterms:modified>
</cp:coreProperties>
</file>