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63718" w14:paraId="0E031D06" w14:textId="77777777" w:rsidTr="001C648E">
        <w:tc>
          <w:tcPr>
            <w:tcW w:w="4508" w:type="dxa"/>
          </w:tcPr>
          <w:p w14:paraId="37C264C0" w14:textId="77777777" w:rsidR="00563718" w:rsidRDefault="00563718">
            <w:pPr>
              <w:rPr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CEBA4" wp14:editId="36489D37">
                  <wp:extent cx="1716852" cy="745956"/>
                  <wp:effectExtent l="0" t="0" r="0" b="0"/>
                  <wp:docPr id="3" name="Picture 3" descr="ETF MAS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 MAS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029" cy="75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79FF191" w14:textId="77777777" w:rsidR="00563718" w:rsidRDefault="00563718" w:rsidP="00563718">
            <w:pPr>
              <w:jc w:val="right"/>
              <w:rPr>
                <w:b/>
                <w:color w:val="1F4E79" w:themeColor="accent1" w:themeShade="80"/>
                <w:sz w:val="32"/>
                <w:szCs w:val="32"/>
              </w:rPr>
            </w:pPr>
            <w:r w:rsidRPr="0032255F">
              <w:rPr>
                <w:noProof/>
                <w:lang w:val="en-US"/>
              </w:rPr>
              <w:drawing>
                <wp:inline distT="0" distB="0" distL="0" distR="0" wp14:anchorId="1AC40806" wp14:editId="6D74803B">
                  <wp:extent cx="850712" cy="102976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902" cy="105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6FDE9" w14:textId="77777777" w:rsidR="00252250" w:rsidRPr="00A506F1" w:rsidRDefault="00252250" w:rsidP="00252250">
      <w:pPr>
        <w:rPr>
          <w:b/>
          <w:color w:val="1F4E79" w:themeColor="accent1" w:themeShade="80"/>
          <w:sz w:val="20"/>
          <w:szCs w:val="20"/>
        </w:rPr>
      </w:pPr>
    </w:p>
    <w:p w14:paraId="4A0771EA" w14:textId="77777777" w:rsidR="00252250" w:rsidRPr="00DE1D12" w:rsidRDefault="00252250" w:rsidP="00252250">
      <w:pPr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  <w:lang w:val="sr-Cyrl-RS"/>
        </w:rPr>
        <w:t>Награда за предузетништво коју додељује ЕТФ</w:t>
      </w:r>
    </w:p>
    <w:p w14:paraId="18553704" w14:textId="77777777" w:rsidR="00563718" w:rsidRDefault="00563718" w:rsidP="001C648E">
      <w:pPr>
        <w:spacing w:after="0"/>
        <w:ind w:left="-284"/>
        <w:rPr>
          <w:b/>
          <w:color w:val="1F4E79" w:themeColor="accent1" w:themeShade="80"/>
        </w:rPr>
      </w:pPr>
    </w:p>
    <w:p w14:paraId="0A5528C0" w14:textId="4DD0AAEC" w:rsidR="004E1B12" w:rsidRPr="00051339" w:rsidRDefault="00252250" w:rsidP="00A24E3C">
      <w:pPr>
        <w:spacing w:before="120" w:after="120"/>
        <w:ind w:left="-284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  <w:lang w:val="sr-Cyrl-RS"/>
        </w:rPr>
        <w:t>Зашто ЕТФ додељује награду за предузетништво</w:t>
      </w:r>
      <w:r w:rsidR="006D49CE" w:rsidRPr="00051339">
        <w:rPr>
          <w:b/>
          <w:color w:val="1F4E79" w:themeColor="accent1" w:themeShade="80"/>
          <w:sz w:val="28"/>
          <w:szCs w:val="28"/>
        </w:rPr>
        <w:t>?</w:t>
      </w:r>
    </w:p>
    <w:p w14:paraId="7A14F041" w14:textId="235F8C6A" w:rsidR="00DC6952" w:rsidRDefault="00EA1D65" w:rsidP="00890A6E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У Европској унији се, у домену формулисања мера политике,све више пажње посвећује начинима на који се предузетништво подстиче у стручном образовању и оспособљавању имајући у виду рад на изградњи конкурентнијих и за запошљавање погоднијих привреда. Предузетништво као основна компетенција, наорчито битна за развој предузетничког духа и карактера младих, најновија је област у којој се конципирају мере политике.  </w:t>
      </w:r>
      <w:r w:rsidR="00322FFE">
        <w:rPr>
          <w:color w:val="1F4E79" w:themeColor="accent1" w:themeShade="80"/>
          <w:lang w:val="sr-Cyrl-RS"/>
        </w:rPr>
        <w:t>С обзиром</w:t>
      </w:r>
      <w:r>
        <w:rPr>
          <w:color w:val="1F4E79" w:themeColor="accent1" w:themeShade="80"/>
          <w:lang w:val="sr-Cyrl-RS"/>
        </w:rPr>
        <w:t xml:space="preserve"> на то</w:t>
      </w:r>
      <w:r w:rsidR="00322FFE">
        <w:rPr>
          <w:color w:val="1F4E79" w:themeColor="accent1" w:themeShade="80"/>
          <w:lang w:val="sr-Cyrl-RS"/>
        </w:rPr>
        <w:t xml:space="preserve"> да се област главних предузетничких компетенција још увек развија,</w:t>
      </w:r>
      <w:r>
        <w:rPr>
          <w:color w:val="1F4E79" w:themeColor="accent1" w:themeShade="80"/>
          <w:lang w:val="sr-Cyrl-RS"/>
        </w:rPr>
        <w:t xml:space="preserve"> примери добре праксе дају идеје и могућност да се даље развојају свом раду наставници</w:t>
      </w:r>
      <w:r w:rsidR="00322FFE">
        <w:rPr>
          <w:color w:val="1F4E79" w:themeColor="accent1" w:themeShade="80"/>
          <w:lang w:val="sr-Cyrl-RS"/>
        </w:rPr>
        <w:t xml:space="preserve">, </w:t>
      </w:r>
      <w:r>
        <w:rPr>
          <w:color w:val="1F4E79" w:themeColor="accent1" w:themeShade="80"/>
          <w:lang w:val="sr-Cyrl-RS"/>
        </w:rPr>
        <w:t>стручњаци</w:t>
      </w:r>
      <w:r w:rsidR="00322FFE">
        <w:rPr>
          <w:color w:val="1F4E79" w:themeColor="accent1" w:themeShade="80"/>
          <w:lang w:val="sr-Cyrl-RS"/>
        </w:rPr>
        <w:t xml:space="preserve"> </w:t>
      </w:r>
      <w:r>
        <w:rPr>
          <w:color w:val="1F4E79" w:themeColor="accent1" w:themeShade="80"/>
          <w:lang w:val="sr-Cyrl-RS"/>
        </w:rPr>
        <w:t>који израђују наставне планове и програме, организатори обуке, као и креатори политике.</w:t>
      </w:r>
      <w:r w:rsidR="004E1B12" w:rsidRPr="004E1B12">
        <w:rPr>
          <w:color w:val="1F4E79" w:themeColor="accent1" w:themeShade="80"/>
        </w:rPr>
        <w:t xml:space="preserve"> </w:t>
      </w:r>
    </w:p>
    <w:p w14:paraId="145C5975" w14:textId="77777777" w:rsidR="00DC6952" w:rsidRDefault="00DC6952" w:rsidP="00890A6E">
      <w:pPr>
        <w:spacing w:after="0"/>
        <w:ind w:left="-284"/>
        <w:rPr>
          <w:color w:val="1F4E79" w:themeColor="accent1" w:themeShade="80"/>
        </w:rPr>
      </w:pPr>
    </w:p>
    <w:p w14:paraId="5E13426E" w14:textId="0CA1F550" w:rsidR="00890A6E" w:rsidRPr="00EA1D65" w:rsidRDefault="00233C46" w:rsidP="00EA1D65">
      <w:pPr>
        <w:spacing w:after="0"/>
        <w:ind w:left="-284"/>
        <w:rPr>
          <w:color w:val="1F4E79" w:themeColor="accent1" w:themeShade="80"/>
          <w:lang w:val="sr-Cyrl-RS"/>
        </w:rPr>
      </w:pPr>
      <w:r>
        <w:rPr>
          <w:color w:val="1F4E79" w:themeColor="accent1" w:themeShade="80"/>
          <w:lang w:val="sr-Cyrl-RS"/>
        </w:rPr>
        <w:t>Европска фондација за обуку (ЕТФ) својим радом подстиче земље партнере да</w:t>
      </w:r>
      <w:r w:rsidR="00EA1D65">
        <w:rPr>
          <w:color w:val="1F4E79" w:themeColor="accent1" w:themeShade="80"/>
          <w:lang w:val="sr-Cyrl-RS"/>
        </w:rPr>
        <w:t xml:space="preserve"> </w:t>
      </w:r>
      <w:r>
        <w:rPr>
          <w:color w:val="1F4E79" w:themeColor="accent1" w:themeShade="80"/>
          <w:lang w:val="sr-Cyrl-RS"/>
        </w:rPr>
        <w:t>разм</w:t>
      </w:r>
      <w:r w:rsidR="00EA1D65">
        <w:rPr>
          <w:color w:val="1F4E79" w:themeColor="accent1" w:themeShade="80"/>
          <w:lang w:val="sr-Cyrl-RS"/>
        </w:rPr>
        <w:t xml:space="preserve">отре могућност </w:t>
      </w:r>
      <w:r w:rsidR="00322FFE">
        <w:rPr>
          <w:color w:val="1F4E79" w:themeColor="accent1" w:themeShade="80"/>
          <w:lang w:val="sr-Cyrl-RS"/>
        </w:rPr>
        <w:t xml:space="preserve">развоја основних предузетничких </w:t>
      </w:r>
      <w:r>
        <w:rPr>
          <w:color w:val="1F4E79" w:themeColor="accent1" w:themeShade="80"/>
          <w:lang w:val="sr-Cyrl-RS"/>
        </w:rPr>
        <w:t xml:space="preserve">компетенција </w:t>
      </w:r>
      <w:r w:rsidR="00322FFE">
        <w:rPr>
          <w:color w:val="1F4E79" w:themeColor="accent1" w:themeShade="80"/>
          <w:lang w:val="sr-Cyrl-RS"/>
        </w:rPr>
        <w:t xml:space="preserve">у контексту </w:t>
      </w:r>
      <w:r>
        <w:rPr>
          <w:color w:val="1F4E79" w:themeColor="accent1" w:themeShade="80"/>
          <w:lang w:val="sr-Cyrl-RS"/>
        </w:rPr>
        <w:t xml:space="preserve">стручног образовања и оспособљавања; као и да са другима поделе примере најбоље праксе. ЕТФ је у ту сврху расписао позив за </w:t>
      </w:r>
      <w:r w:rsidR="00322FFE">
        <w:rPr>
          <w:color w:val="1F4E79" w:themeColor="accent1" w:themeShade="80"/>
          <w:lang w:val="sr-Cyrl-RS"/>
        </w:rPr>
        <w:t xml:space="preserve">достављање примера добре праксе како би открио најбоље примере добре праксе </w:t>
      </w:r>
      <w:r>
        <w:rPr>
          <w:color w:val="1F4E79" w:themeColor="accent1" w:themeShade="80"/>
          <w:lang w:val="sr-Cyrl-RS"/>
        </w:rPr>
        <w:t xml:space="preserve"> у подстицању </w:t>
      </w:r>
      <w:r w:rsidR="00322FFE">
        <w:rPr>
          <w:color w:val="1F4E79" w:themeColor="accent1" w:themeShade="80"/>
          <w:lang w:val="sr-Cyrl-RS"/>
        </w:rPr>
        <w:t>основних предузетничких компетенција</w:t>
      </w:r>
      <w:r>
        <w:rPr>
          <w:color w:val="1F4E79" w:themeColor="accent1" w:themeShade="80"/>
          <w:lang w:val="sr-Cyrl-RS"/>
        </w:rPr>
        <w:t>. Организатор</w:t>
      </w:r>
      <w:r w:rsidR="00322FFE">
        <w:rPr>
          <w:color w:val="1F4E79" w:themeColor="accent1" w:themeShade="80"/>
          <w:lang w:val="sr-Cyrl-RS"/>
        </w:rPr>
        <w:t>у</w:t>
      </w:r>
      <w:r>
        <w:rPr>
          <w:color w:val="1F4E79" w:themeColor="accent1" w:themeShade="80"/>
          <w:lang w:val="sr-Cyrl-RS"/>
        </w:rPr>
        <w:t xml:space="preserve"> обуке чији пример добре праксе буде изабран биће додељена награда</w:t>
      </w:r>
      <w:r w:rsidR="00EA1D65">
        <w:rPr>
          <w:color w:val="1F4E79" w:themeColor="accent1" w:themeShade="80"/>
          <w:lang w:val="sr-Cyrl-RS"/>
        </w:rPr>
        <w:t xml:space="preserve"> којом се одаје признање раду изабраног организатора обуке који ће јавности бити представљен на високом скупу у организацији ЕУ који ће се одржати у Бечу </w:t>
      </w:r>
      <w:r>
        <w:rPr>
          <w:color w:val="1F4E79" w:themeColor="accent1" w:themeShade="80"/>
          <w:lang w:val="sr-Cyrl-RS"/>
        </w:rPr>
        <w:t xml:space="preserve">у новембру 2018. године као и посредством мреже организација са којима ЕТФ сарађује.  </w:t>
      </w:r>
    </w:p>
    <w:p w14:paraId="6C22A98F" w14:textId="1703FF6C" w:rsidR="008929D7" w:rsidRPr="00051339" w:rsidRDefault="008929D7" w:rsidP="00051339">
      <w:pPr>
        <w:spacing w:before="120" w:after="120"/>
        <w:ind w:left="-284"/>
        <w:rPr>
          <w:b/>
          <w:color w:val="1F4E79" w:themeColor="accent1" w:themeShade="80"/>
          <w:sz w:val="28"/>
          <w:szCs w:val="28"/>
        </w:rPr>
      </w:pPr>
    </w:p>
    <w:p w14:paraId="2FA500EA" w14:textId="23A8298E" w:rsidR="008929D7" w:rsidRPr="00051339" w:rsidRDefault="00C83474" w:rsidP="008929D7">
      <w:pPr>
        <w:spacing w:before="120" w:after="120"/>
        <w:ind w:left="-284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  <w:lang w:val="sr-Cyrl-RS"/>
        </w:rPr>
        <w:t xml:space="preserve">Шта је </w:t>
      </w:r>
      <w:r w:rsidR="00322FFE">
        <w:rPr>
          <w:b/>
          <w:color w:val="1F4E79" w:themeColor="accent1" w:themeShade="80"/>
          <w:sz w:val="28"/>
          <w:szCs w:val="28"/>
          <w:lang w:val="sr-Cyrl-RS"/>
        </w:rPr>
        <w:t>Европски оквир предузетничких компетенција</w:t>
      </w:r>
      <w:r>
        <w:rPr>
          <w:b/>
          <w:color w:val="1F4E79" w:themeColor="accent1" w:themeShade="80"/>
          <w:sz w:val="28"/>
          <w:szCs w:val="28"/>
          <w:lang w:val="sr-Cyrl-RS"/>
        </w:rPr>
        <w:t xml:space="preserve"> - </w:t>
      </w:r>
      <w:r w:rsidR="008929D7" w:rsidRPr="00C83474">
        <w:rPr>
          <w:b/>
          <w:i/>
          <w:color w:val="1F4E79" w:themeColor="accent1" w:themeShade="80"/>
          <w:sz w:val="28"/>
          <w:szCs w:val="28"/>
        </w:rPr>
        <w:t>EntreComp</w:t>
      </w:r>
      <w:r w:rsidR="008929D7" w:rsidRPr="00051339">
        <w:rPr>
          <w:b/>
          <w:color w:val="1F4E79" w:themeColor="accent1" w:themeShade="80"/>
          <w:sz w:val="28"/>
          <w:szCs w:val="28"/>
        </w:rPr>
        <w:t>?</w:t>
      </w:r>
    </w:p>
    <w:p w14:paraId="6820CB86" w14:textId="4F5B5106" w:rsidR="008929D7" w:rsidRDefault="00C83474" w:rsidP="008929D7">
      <w:pPr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ЕнтреКомп - Европски оквир </w:t>
      </w:r>
      <w:r w:rsidR="00322FFE">
        <w:rPr>
          <w:color w:val="1F4E79" w:themeColor="accent1" w:themeShade="80"/>
          <w:lang w:val="sr-Cyrl-RS"/>
        </w:rPr>
        <w:t>предузетничких компетенција</w:t>
      </w:r>
      <w:r>
        <w:rPr>
          <w:color w:val="1F4E79" w:themeColor="accent1" w:themeShade="80"/>
          <w:lang w:val="sr-Cyrl-RS"/>
        </w:rPr>
        <w:t xml:space="preserve"> </w:t>
      </w:r>
      <w:hyperlink r:id="rId14" w:history="1">
        <w:r w:rsidR="008929D7" w:rsidRPr="00697702">
          <w:rPr>
            <w:rStyle w:val="Hyperlink"/>
          </w:rPr>
          <w:t>European Entrepreneurship Competence Framework</w:t>
        </w:r>
      </w:hyperlink>
      <w:r w:rsidR="008929D7">
        <w:rPr>
          <w:color w:val="1F4E79" w:themeColor="accent1" w:themeShade="80"/>
        </w:rPr>
        <w:t xml:space="preserve">, </w:t>
      </w:r>
      <w:r>
        <w:rPr>
          <w:color w:val="1F4E79" w:themeColor="accent1" w:themeShade="80"/>
          <w:lang w:val="sr-Cyrl-RS"/>
        </w:rPr>
        <w:t>се састоји из три области ком</w:t>
      </w:r>
      <w:r w:rsidR="00322FFE">
        <w:rPr>
          <w:color w:val="1F4E79" w:themeColor="accent1" w:themeShade="80"/>
          <w:lang w:val="sr-Cyrl-RS"/>
        </w:rPr>
        <w:t>п</w:t>
      </w:r>
      <w:r>
        <w:rPr>
          <w:color w:val="1F4E79" w:themeColor="accent1" w:themeShade="80"/>
          <w:lang w:val="sr-Cyrl-RS"/>
        </w:rPr>
        <w:t>етенције</w:t>
      </w:r>
      <w:r w:rsidR="008929D7" w:rsidRPr="00266C31">
        <w:rPr>
          <w:color w:val="1F4E79" w:themeColor="accent1" w:themeShade="80"/>
        </w:rPr>
        <w:t xml:space="preserve">: </w:t>
      </w:r>
      <w:r w:rsidR="008929D7">
        <w:rPr>
          <w:color w:val="1F4E79" w:themeColor="accent1" w:themeShade="80"/>
        </w:rPr>
        <w:t xml:space="preserve">a) </w:t>
      </w:r>
      <w:r>
        <w:rPr>
          <w:color w:val="1F4E79" w:themeColor="accent1" w:themeShade="80"/>
          <w:lang w:val="sr-Cyrl-RS"/>
        </w:rPr>
        <w:t>Идеје и могућности</w:t>
      </w:r>
      <w:r w:rsidR="008929D7" w:rsidRPr="00266C31">
        <w:rPr>
          <w:color w:val="1F4E79" w:themeColor="accent1" w:themeShade="80"/>
        </w:rPr>
        <w:t xml:space="preserve">, </w:t>
      </w:r>
      <w:r>
        <w:rPr>
          <w:color w:val="1F4E79" w:themeColor="accent1" w:themeShade="80"/>
        </w:rPr>
        <w:t>б</w:t>
      </w:r>
      <w:r w:rsidR="008929D7">
        <w:rPr>
          <w:color w:val="1F4E79" w:themeColor="accent1" w:themeShade="80"/>
        </w:rPr>
        <w:t xml:space="preserve">) </w:t>
      </w:r>
      <w:r>
        <w:rPr>
          <w:color w:val="1F4E79" w:themeColor="accent1" w:themeShade="80"/>
          <w:lang w:val="sr-Cyrl-RS"/>
        </w:rPr>
        <w:t>Ресурси</w:t>
      </w:r>
      <w:r w:rsidR="008929D7" w:rsidRPr="00266C31">
        <w:rPr>
          <w:color w:val="1F4E79" w:themeColor="accent1" w:themeShade="80"/>
        </w:rPr>
        <w:t>,</w:t>
      </w:r>
      <w:r w:rsidR="008929D7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и в)</w:t>
      </w:r>
      <w:r>
        <w:rPr>
          <w:color w:val="1F4E79" w:themeColor="accent1" w:themeShade="80"/>
          <w:lang w:val="sr-Cyrl-RS"/>
        </w:rPr>
        <w:t xml:space="preserve"> Напред у акцију</w:t>
      </w:r>
      <w:r w:rsidR="008929D7" w:rsidRPr="00266C31">
        <w:rPr>
          <w:color w:val="1F4E79" w:themeColor="accent1" w:themeShade="80"/>
        </w:rPr>
        <w:t xml:space="preserve">. </w:t>
      </w:r>
      <w:r>
        <w:rPr>
          <w:color w:val="1F4E79" w:themeColor="accent1" w:themeShade="80"/>
          <w:lang w:val="sr-Cyrl-RS"/>
        </w:rPr>
        <w:t>Све ове области се саст</w:t>
      </w:r>
      <w:r w:rsidR="00322FFE">
        <w:rPr>
          <w:color w:val="1F4E79" w:themeColor="accent1" w:themeShade="80"/>
          <w:lang w:val="sr-Cyrl-RS"/>
        </w:rPr>
        <w:t>оје из пет компетенција које чине основу предузетничке компетенције</w:t>
      </w:r>
      <w:r>
        <w:rPr>
          <w:color w:val="1F4E79" w:themeColor="accent1" w:themeShade="80"/>
          <w:lang w:val="sr-Cyrl-RS"/>
        </w:rPr>
        <w:t xml:space="preserve">. У овом оквиру одвија се развој 15 компетенција по моделу осмостепеног модела перманентног учења. </w:t>
      </w:r>
      <w:r w:rsidR="00233C46">
        <w:rPr>
          <w:color w:val="1F4E79" w:themeColor="accent1" w:themeShade="80"/>
          <w:lang w:val="sr-Cyrl-RS"/>
        </w:rPr>
        <w:t xml:space="preserve">Он садржи и примере исхода учења за сваку област кометенције. ЕнтреКомп може да се користи као основа за формулисање наставног плана и програма и исхода учења, као и за  формулисање плана наставе и учења. Може да се користи за оцењивање ученика и студената (више информација у анексу 1). </w:t>
      </w:r>
    </w:p>
    <w:p w14:paraId="0AE4C1DF" w14:textId="57C07B40" w:rsidR="009E0076" w:rsidRDefault="009E0076" w:rsidP="00890A6E">
      <w:pPr>
        <w:spacing w:after="0"/>
        <w:ind w:left="-284"/>
        <w:rPr>
          <w:b/>
          <w:color w:val="1F4E79" w:themeColor="accent1" w:themeShade="80"/>
        </w:rPr>
      </w:pPr>
      <w:r>
        <w:rPr>
          <w:noProof/>
          <w:color w:val="1D2129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51C5937E" wp14:editId="7FA89A4C">
            <wp:simplePos x="0" y="0"/>
            <wp:positionH relativeFrom="margin">
              <wp:posOffset>1731645</wp:posOffset>
            </wp:positionH>
            <wp:positionV relativeFrom="paragraph">
              <wp:posOffset>156210</wp:posOffset>
            </wp:positionV>
            <wp:extent cx="2271395" cy="2305050"/>
            <wp:effectExtent l="0" t="0" r="0" b="0"/>
            <wp:wrapSquare wrapText="bothSides"/>
            <wp:docPr id="7" name="Picture 7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2" t="9753" r="10359" b="10383"/>
                    <a:stretch/>
                  </pic:blipFill>
                  <pic:spPr bwMode="auto">
                    <a:xfrm>
                      <a:off x="0" y="0"/>
                      <a:ext cx="2271395" cy="23050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5876D" w14:textId="77777777" w:rsidR="00CE3F59" w:rsidRDefault="00CE3F59" w:rsidP="00A24E3C">
      <w:pPr>
        <w:spacing w:before="120" w:after="120"/>
        <w:ind w:left="-284"/>
        <w:rPr>
          <w:b/>
          <w:color w:val="1F4E79" w:themeColor="accent1" w:themeShade="80"/>
        </w:rPr>
      </w:pPr>
    </w:p>
    <w:p w14:paraId="68509AFA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77564AAC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447BB13B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584AEAF1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4D23F678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77B3280A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2F140EA8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2F8302CC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6DBFE903" w14:textId="77777777" w:rsidR="00CE3F59" w:rsidRDefault="00CE3F59" w:rsidP="00CE3F59">
      <w:pPr>
        <w:spacing w:before="120" w:after="120"/>
        <w:rPr>
          <w:b/>
          <w:color w:val="1F4E79" w:themeColor="accent1" w:themeShade="80"/>
        </w:rPr>
      </w:pPr>
    </w:p>
    <w:p w14:paraId="561384DE" w14:textId="18061CA5" w:rsidR="00233A5B" w:rsidRPr="00BA12E1" w:rsidRDefault="00BA12E1" w:rsidP="00BA12E1">
      <w:pPr>
        <w:spacing w:before="120" w:after="120"/>
        <w:ind w:left="-284"/>
        <w:rPr>
          <w:b/>
          <w:color w:val="1F4E79" w:themeColor="accent1" w:themeShade="80"/>
          <w:sz w:val="28"/>
          <w:szCs w:val="28"/>
          <w:lang w:val="sr-Cyrl-RS"/>
        </w:rPr>
      </w:pPr>
      <w:r>
        <w:rPr>
          <w:b/>
          <w:color w:val="1F4E79" w:themeColor="accent1" w:themeShade="80"/>
          <w:sz w:val="28"/>
          <w:szCs w:val="28"/>
          <w:lang w:val="sr-Cyrl-RS"/>
        </w:rPr>
        <w:t>Ко може да учествује</w:t>
      </w:r>
      <w:r w:rsidR="00233A5B" w:rsidRPr="00051339">
        <w:rPr>
          <w:b/>
          <w:color w:val="1F4E79" w:themeColor="accent1" w:themeShade="80"/>
          <w:sz w:val="28"/>
          <w:szCs w:val="28"/>
        </w:rPr>
        <w:t>?</w:t>
      </w:r>
    </w:p>
    <w:p w14:paraId="26D98189" w14:textId="2AF80632" w:rsidR="00EE2B9C" w:rsidRDefault="00BA12E1" w:rsidP="00EE2B9C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>Све школе, универзитети и центри за обуку (јавни или приватни) који се баве стручним образовањем и оспособљавањем у земљама партнерима ЕТФ</w:t>
      </w:r>
      <w:r w:rsidR="003B7A32">
        <w:rPr>
          <w:color w:val="1F4E79" w:themeColor="accent1" w:themeShade="80"/>
        </w:rPr>
        <w:t>.</w:t>
      </w:r>
      <w:r w:rsidR="00F945BC" w:rsidRPr="00EE2B9C">
        <w:rPr>
          <w:vertAlign w:val="superscript"/>
        </w:rPr>
        <w:footnoteReference w:id="2"/>
      </w:r>
    </w:p>
    <w:p w14:paraId="1A5EC20C" w14:textId="77777777" w:rsidR="00EE2B9C" w:rsidRPr="00EE2B9C" w:rsidRDefault="00EE2B9C" w:rsidP="00EE2B9C">
      <w:pPr>
        <w:spacing w:after="0"/>
        <w:ind w:left="-284"/>
        <w:rPr>
          <w:b/>
        </w:rPr>
      </w:pPr>
    </w:p>
    <w:p w14:paraId="4F6B3C71" w14:textId="5DF50780" w:rsidR="003428B6" w:rsidRPr="00051339" w:rsidRDefault="00BA12E1" w:rsidP="00A24E3C">
      <w:pPr>
        <w:spacing w:before="120" w:after="120"/>
        <w:ind w:left="-284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  <w:lang w:val="sr-Cyrl-RS"/>
        </w:rPr>
        <w:t>Како учествовати</w:t>
      </w:r>
    </w:p>
    <w:p w14:paraId="71BD37F3" w14:textId="2A5D6BE9" w:rsidR="008929D7" w:rsidRDefault="00BA12E1" w:rsidP="008929D7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Они који желе да поднесу пример добре праксе треба </w:t>
      </w:r>
      <w:r w:rsidR="00B43A19">
        <w:rPr>
          <w:color w:val="1F4E79" w:themeColor="accent1" w:themeShade="80"/>
        </w:rPr>
        <w:t xml:space="preserve"> </w:t>
      </w:r>
    </w:p>
    <w:p w14:paraId="41FC3235" w14:textId="6CC94E7D" w:rsidR="008929D7" w:rsidRDefault="00BA12E1" w:rsidP="008929D7">
      <w:pPr>
        <w:pStyle w:val="ListParagraph"/>
        <w:numPr>
          <w:ilvl w:val="0"/>
          <w:numId w:val="9"/>
        </w:numPr>
        <w:spacing w:after="0"/>
        <w:ind w:left="720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Да се пријаве за учешће у ЕТФ-овом вебинару где ће моћи да добију више података о позиву као и да сазнају више од најновијим кретањима на тему </w:t>
      </w:r>
      <w:r w:rsidR="00322FFE">
        <w:rPr>
          <w:color w:val="1F4E79" w:themeColor="accent1" w:themeShade="80"/>
          <w:lang w:val="sr-Cyrl-RS"/>
        </w:rPr>
        <w:t>предузетничких компетенција</w:t>
      </w:r>
      <w:r>
        <w:rPr>
          <w:color w:val="1F4E79" w:themeColor="accent1" w:themeShade="80"/>
          <w:lang w:val="sr-Cyrl-RS"/>
        </w:rPr>
        <w:t xml:space="preserve"> </w:t>
      </w:r>
      <w:r w:rsidR="00861E2C">
        <w:rPr>
          <w:color w:val="1F4E79" w:themeColor="accent1" w:themeShade="80"/>
        </w:rPr>
        <w:t>(</w:t>
      </w:r>
      <w:r>
        <w:rPr>
          <w:color w:val="1F4E79" w:themeColor="accent1" w:themeShade="80"/>
          <w:lang w:val="sr-Cyrl-RS"/>
        </w:rPr>
        <w:t>пријава се може извршити овде</w:t>
      </w:r>
      <w:r w:rsidR="00861E2C">
        <w:rPr>
          <w:color w:val="1F4E79" w:themeColor="accent1" w:themeShade="80"/>
        </w:rPr>
        <w:t xml:space="preserve"> </w:t>
      </w:r>
      <w:hyperlink r:id="rId16" w:history="1">
        <w:r w:rsidR="00861E2C" w:rsidRPr="00861E2C">
          <w:rPr>
            <w:rStyle w:val="Hyperlink"/>
          </w:rPr>
          <w:t>link</w:t>
        </w:r>
      </w:hyperlink>
      <w:r w:rsidR="00861E2C">
        <w:rPr>
          <w:color w:val="1F4E79" w:themeColor="accent1" w:themeShade="80"/>
        </w:rPr>
        <w:t>)</w:t>
      </w:r>
      <w:r w:rsidR="008929D7" w:rsidRPr="008929D7">
        <w:rPr>
          <w:color w:val="1F4E79" w:themeColor="accent1" w:themeShade="80"/>
        </w:rPr>
        <w:t xml:space="preserve">, </w:t>
      </w:r>
      <w:r>
        <w:rPr>
          <w:color w:val="1F4E79" w:themeColor="accent1" w:themeShade="80"/>
          <w:lang w:val="sr-Cyrl-RS"/>
        </w:rPr>
        <w:t xml:space="preserve">и </w:t>
      </w:r>
    </w:p>
    <w:p w14:paraId="25CB2320" w14:textId="33B47ED7" w:rsidR="00C06259" w:rsidRPr="008929D7" w:rsidRDefault="00BA12E1" w:rsidP="008929D7">
      <w:pPr>
        <w:pStyle w:val="ListParagraph"/>
        <w:numPr>
          <w:ilvl w:val="0"/>
          <w:numId w:val="9"/>
        </w:numPr>
        <w:spacing w:after="0"/>
        <w:ind w:left="720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Попуне образац пријаве </w:t>
      </w:r>
      <w:r w:rsidR="00287808" w:rsidRPr="008929D7">
        <w:rPr>
          <w:color w:val="1F4E79" w:themeColor="accent1" w:themeShade="80"/>
        </w:rPr>
        <w:t xml:space="preserve"> </w:t>
      </w:r>
      <w:r w:rsidR="00861E2C">
        <w:rPr>
          <w:color w:val="1F4E79" w:themeColor="accent1" w:themeShade="80"/>
          <w:lang w:val="it-IT"/>
        </w:rPr>
        <w:t>(</w:t>
      </w:r>
      <w:hyperlink r:id="rId17" w:history="1">
        <w:r w:rsidR="00861E2C" w:rsidRPr="00861E2C">
          <w:rPr>
            <w:rStyle w:val="Hyperlink"/>
            <w:lang w:val="it-IT"/>
          </w:rPr>
          <w:t>ETF Good Practice platform</w:t>
        </w:r>
      </w:hyperlink>
      <w:r w:rsidR="00861E2C">
        <w:rPr>
          <w:color w:val="1F4E79" w:themeColor="accent1" w:themeShade="80"/>
          <w:lang w:val="it-IT"/>
        </w:rPr>
        <w:t>)</w:t>
      </w:r>
    </w:p>
    <w:p w14:paraId="10D34D57" w14:textId="77777777" w:rsidR="008833A2" w:rsidRDefault="008833A2" w:rsidP="001C648E">
      <w:pPr>
        <w:spacing w:after="0"/>
        <w:ind w:left="-284"/>
        <w:rPr>
          <w:color w:val="1F4E79" w:themeColor="accent1" w:themeShade="80"/>
        </w:rPr>
      </w:pPr>
    </w:p>
    <w:p w14:paraId="5F130645" w14:textId="4DBFEE6A" w:rsidR="00563718" w:rsidRDefault="00BA12E1" w:rsidP="001C648E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Пријаве треба слати на енглеском језику, електронском поштом до </w:t>
      </w:r>
      <w:r w:rsidRPr="00BA12E1">
        <w:rPr>
          <w:b/>
          <w:color w:val="1F4E79" w:themeColor="accent1" w:themeShade="80"/>
          <w:lang w:val="sr-Cyrl-RS"/>
        </w:rPr>
        <w:t>22</w:t>
      </w:r>
      <w:r>
        <w:rPr>
          <w:b/>
          <w:color w:val="1F4E79" w:themeColor="accent1" w:themeShade="80"/>
          <w:lang w:val="sr-Cyrl-RS"/>
        </w:rPr>
        <w:t>.</w:t>
      </w:r>
      <w:r w:rsidRPr="00BA12E1">
        <w:rPr>
          <w:b/>
          <w:color w:val="1F4E79" w:themeColor="accent1" w:themeShade="80"/>
          <w:lang w:val="sr-Cyrl-RS"/>
        </w:rPr>
        <w:t xml:space="preserve"> маја 2018</w:t>
      </w:r>
      <w:r>
        <w:rPr>
          <w:color w:val="1F4E79" w:themeColor="accent1" w:themeShade="80"/>
          <w:lang w:val="sr-Cyrl-RS"/>
        </w:rPr>
        <w:t xml:space="preserve"> на </w:t>
      </w:r>
      <w:hyperlink r:id="rId18" w:history="1">
        <w:r w:rsidR="009F206D" w:rsidRPr="00E6034D">
          <w:rPr>
            <w:color w:val="1F4E79" w:themeColor="accent1" w:themeShade="80"/>
          </w:rPr>
          <w:t>EntreComp@etf.europa.eu</w:t>
        </w:r>
      </w:hyperlink>
      <w:r w:rsidR="009F206D" w:rsidRPr="00E6034D">
        <w:rPr>
          <w:color w:val="1F4E79" w:themeColor="accent1" w:themeShade="80"/>
        </w:rPr>
        <w:t>.</w:t>
      </w:r>
    </w:p>
    <w:p w14:paraId="1358497A" w14:textId="77777777" w:rsidR="00D15CC8" w:rsidRPr="003E4C37" w:rsidRDefault="00D15CC8" w:rsidP="001C648E">
      <w:pPr>
        <w:spacing w:after="0"/>
        <w:ind w:left="-284"/>
        <w:rPr>
          <w:b/>
          <w:lang w:val="it-IT"/>
        </w:rPr>
      </w:pPr>
    </w:p>
    <w:p w14:paraId="10E5A744" w14:textId="3FE48752" w:rsidR="00201C86" w:rsidRPr="00051339" w:rsidRDefault="00BA12E1" w:rsidP="00A24E3C">
      <w:pPr>
        <w:spacing w:before="120" w:after="120"/>
        <w:ind w:left="-284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  <w:lang w:val="sr-Cyrl-RS"/>
        </w:rPr>
        <w:t>Изборни поступак</w:t>
      </w:r>
    </w:p>
    <w:p w14:paraId="66E2DC97" w14:textId="2DF3D3C9" w:rsidR="008929D7" w:rsidRPr="00415224" w:rsidRDefault="00BA12E1" w:rsidP="00415224">
      <w:pPr>
        <w:spacing w:after="0"/>
        <w:ind w:left="-284"/>
        <w:rPr>
          <w:color w:val="1F4E79" w:themeColor="accent1" w:themeShade="80"/>
          <w:lang w:val="sr-Cyrl-RS"/>
        </w:rPr>
      </w:pPr>
      <w:r>
        <w:rPr>
          <w:color w:val="1F4E79" w:themeColor="accent1" w:themeShade="80"/>
          <w:lang w:val="sr-Cyrl-RS"/>
        </w:rPr>
        <w:t xml:space="preserve">Запослени у ЕТФ и експерти који представљају </w:t>
      </w:r>
      <w:r w:rsidR="00415224">
        <w:rPr>
          <w:color w:val="1F4E79" w:themeColor="accent1" w:themeShade="80"/>
          <w:lang w:val="sr-Cyrl-RS"/>
        </w:rPr>
        <w:t>организацију која се бави обуком која је освојила награду за предузетништво у 2017. години ће извршити преглед свих поднесака имајући у виду два критеријума</w:t>
      </w:r>
      <w:r w:rsidR="00201C86" w:rsidRPr="006D38AA">
        <w:rPr>
          <w:color w:val="1F4E79" w:themeColor="accent1" w:themeShade="80"/>
        </w:rPr>
        <w:t xml:space="preserve"> </w:t>
      </w:r>
    </w:p>
    <w:p w14:paraId="6BE21E1B" w14:textId="153E68A9" w:rsidR="008929D7" w:rsidRDefault="00415224" w:rsidP="008929D7">
      <w:pPr>
        <w:pStyle w:val="ListParagraph"/>
        <w:numPr>
          <w:ilvl w:val="0"/>
          <w:numId w:val="9"/>
        </w:numPr>
        <w:spacing w:after="0"/>
        <w:ind w:left="720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>Исходе учења у областима</w:t>
      </w:r>
      <w:r w:rsidR="00322FFE">
        <w:rPr>
          <w:color w:val="1F4E79" w:themeColor="accent1" w:themeShade="80"/>
          <w:lang w:val="sr-Cyrl-RS"/>
        </w:rPr>
        <w:t xml:space="preserve"> предузетничке компетенције</w:t>
      </w:r>
      <w:r>
        <w:rPr>
          <w:color w:val="1F4E79" w:themeColor="accent1" w:themeShade="80"/>
          <w:lang w:val="sr-Cyrl-RS"/>
        </w:rPr>
        <w:t xml:space="preserve"> и </w:t>
      </w:r>
      <w:r w:rsidR="00201C86" w:rsidRPr="006D38AA">
        <w:rPr>
          <w:color w:val="1F4E79" w:themeColor="accent1" w:themeShade="80"/>
        </w:rPr>
        <w:t xml:space="preserve"> </w:t>
      </w:r>
    </w:p>
    <w:p w14:paraId="31B1BE90" w14:textId="2869A3CB" w:rsidR="003B7A32" w:rsidRDefault="00415224" w:rsidP="008929D7">
      <w:pPr>
        <w:pStyle w:val="ListParagraph"/>
        <w:numPr>
          <w:ilvl w:val="0"/>
          <w:numId w:val="9"/>
        </w:numPr>
        <w:spacing w:after="0"/>
        <w:ind w:left="720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>Приступе у настави и учењу који се примењују у пракси</w:t>
      </w:r>
      <w:r w:rsidR="00BD5C79" w:rsidRPr="006D38AA">
        <w:rPr>
          <w:color w:val="1F4E79" w:themeColor="accent1" w:themeShade="80"/>
        </w:rPr>
        <w:t>.</w:t>
      </w:r>
      <w:r w:rsidR="00201C86" w:rsidRPr="006D38AA">
        <w:rPr>
          <w:color w:val="1F4E79" w:themeColor="accent1" w:themeShade="80"/>
        </w:rPr>
        <w:t xml:space="preserve"> </w:t>
      </w:r>
    </w:p>
    <w:p w14:paraId="117ADC54" w14:textId="77777777" w:rsidR="003B7A32" w:rsidRDefault="003B7A32" w:rsidP="001C648E">
      <w:pPr>
        <w:spacing w:after="0"/>
        <w:ind w:left="-284"/>
        <w:rPr>
          <w:color w:val="1F4E79" w:themeColor="accent1" w:themeShade="80"/>
        </w:rPr>
      </w:pPr>
    </w:p>
    <w:p w14:paraId="554E87AF" w14:textId="65930979" w:rsidR="00201C86" w:rsidRPr="006D38AA" w:rsidRDefault="00415224" w:rsidP="001C648E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Победник ће бити проглашен </w:t>
      </w:r>
      <w:r w:rsidRPr="00415224">
        <w:rPr>
          <w:b/>
          <w:color w:val="1F4E79" w:themeColor="accent1" w:themeShade="80"/>
          <w:lang w:val="sr-Cyrl-RS"/>
        </w:rPr>
        <w:t>8</w:t>
      </w:r>
      <w:r>
        <w:rPr>
          <w:b/>
          <w:color w:val="1F4E79" w:themeColor="accent1" w:themeShade="80"/>
          <w:lang w:val="sr-Cyrl-RS"/>
        </w:rPr>
        <w:t>.</w:t>
      </w:r>
      <w:r w:rsidRPr="00415224">
        <w:rPr>
          <w:b/>
          <w:color w:val="1F4E79" w:themeColor="accent1" w:themeShade="80"/>
          <w:lang w:val="sr-Cyrl-RS"/>
        </w:rPr>
        <w:t xml:space="preserve"> јуна 2018</w:t>
      </w:r>
      <w:r>
        <w:rPr>
          <w:b/>
          <w:color w:val="1F4E79" w:themeColor="accent1" w:themeShade="80"/>
          <w:lang w:val="sr-Cyrl-RS"/>
        </w:rPr>
        <w:t>.</w:t>
      </w:r>
      <w:r>
        <w:rPr>
          <w:color w:val="1F4E79" w:themeColor="accent1" w:themeShade="80"/>
          <w:lang w:val="sr-Cyrl-RS"/>
        </w:rPr>
        <w:t xml:space="preserve"> године на интернет страници ЕТФ. </w:t>
      </w:r>
    </w:p>
    <w:p w14:paraId="40B83651" w14:textId="77777777" w:rsidR="005F7C71" w:rsidRPr="006D38AA" w:rsidRDefault="005F7C71" w:rsidP="001C648E">
      <w:pPr>
        <w:spacing w:after="0"/>
        <w:ind w:left="-284"/>
        <w:rPr>
          <w:b/>
          <w:color w:val="1F4E79" w:themeColor="accent1" w:themeShade="80"/>
        </w:rPr>
      </w:pPr>
    </w:p>
    <w:p w14:paraId="760890EC" w14:textId="3599BB75" w:rsidR="00201C86" w:rsidRPr="00051339" w:rsidRDefault="00BA12E1" w:rsidP="00A24E3C">
      <w:pPr>
        <w:spacing w:before="120" w:after="120"/>
        <w:ind w:left="-284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  <w:lang w:val="sr-Cyrl-RS"/>
        </w:rPr>
        <w:t>Свечана додела награде</w:t>
      </w:r>
      <w:r w:rsidR="00726612" w:rsidRPr="00051339">
        <w:rPr>
          <w:b/>
          <w:color w:val="1F4E79" w:themeColor="accent1" w:themeShade="80"/>
          <w:sz w:val="28"/>
          <w:szCs w:val="28"/>
        </w:rPr>
        <w:t xml:space="preserve"> </w:t>
      </w:r>
    </w:p>
    <w:p w14:paraId="768BE669" w14:textId="42C7E1A1" w:rsidR="00051339" w:rsidRDefault="00322FFE" w:rsidP="00AA2256">
      <w:pPr>
        <w:spacing w:after="0"/>
        <w:ind w:left="-284"/>
        <w:rPr>
          <w:color w:val="1F4E79" w:themeColor="accent1" w:themeShade="80"/>
        </w:rPr>
      </w:pPr>
      <w:r w:rsidRPr="00AA2256">
        <w:rPr>
          <w:color w:val="1F4E79" w:themeColor="accent1" w:themeShade="80"/>
          <w:lang w:val="sr-Cyrl-RS"/>
        </w:rPr>
        <w:lastRenderedPageBreak/>
        <w:t>Један представник изабране организације</w:t>
      </w:r>
      <w:r w:rsidR="00415224" w:rsidRPr="00AA2256">
        <w:rPr>
          <w:color w:val="1F4E79" w:themeColor="accent1" w:themeShade="80"/>
          <w:lang w:val="sr-Cyrl-RS"/>
        </w:rPr>
        <w:t xml:space="preserve"> која </w:t>
      </w:r>
      <w:r w:rsidRPr="00AA2256">
        <w:rPr>
          <w:color w:val="1F4E79" w:themeColor="accent1" w:themeShade="80"/>
          <w:lang w:val="sr-Cyrl-RS"/>
        </w:rPr>
        <w:t>се бави обуком којој ће добити награду</w:t>
      </w:r>
      <w:r w:rsidR="00415224" w:rsidRPr="00AA2256">
        <w:rPr>
          <w:color w:val="1F4E79" w:themeColor="accent1" w:themeShade="80"/>
          <w:lang w:val="sr-Cyrl-RS"/>
        </w:rPr>
        <w:t xml:space="preserve"> за предузетништво коју додељује ЕТФ, један </w:t>
      </w:r>
      <w:r w:rsidR="00AA2256" w:rsidRPr="00AA2256">
        <w:rPr>
          <w:color w:val="1F4E79" w:themeColor="accent1" w:themeShade="80"/>
          <w:lang w:val="sr-Cyrl-RS"/>
        </w:rPr>
        <w:t xml:space="preserve">са њим </w:t>
      </w:r>
      <w:bookmarkStart w:id="0" w:name="_GoBack"/>
      <w:r w:rsidR="00AA2256" w:rsidRPr="00AA2256">
        <w:rPr>
          <w:color w:val="1F4E79" w:themeColor="accent1" w:themeShade="80"/>
          <w:lang w:val="sr-Cyrl-RS"/>
        </w:rPr>
        <w:t>повез</w:t>
      </w:r>
      <w:bookmarkEnd w:id="0"/>
      <w:r w:rsidR="00AA2256" w:rsidRPr="00AA2256">
        <w:rPr>
          <w:color w:val="1F4E79" w:themeColor="accent1" w:themeShade="80"/>
          <w:lang w:val="sr-Cyrl-RS"/>
        </w:rPr>
        <w:t xml:space="preserve">ан </w:t>
      </w:r>
      <w:r w:rsidR="00415224" w:rsidRPr="00AA2256">
        <w:rPr>
          <w:color w:val="1F4E79" w:themeColor="accent1" w:themeShade="80"/>
          <w:lang w:val="sr-Cyrl-RS"/>
        </w:rPr>
        <w:t xml:space="preserve">креатор политике </w:t>
      </w:r>
      <w:r w:rsidRPr="00AA2256">
        <w:rPr>
          <w:color w:val="1F4E79" w:themeColor="accent1" w:themeShade="80"/>
          <w:lang w:val="sr-Cyrl-RS"/>
        </w:rPr>
        <w:t>образовања и оспособљавања</w:t>
      </w:r>
      <w:r w:rsidR="00415224" w:rsidRPr="00AA2256">
        <w:rPr>
          <w:color w:val="1F4E79" w:themeColor="accent1" w:themeShade="80"/>
          <w:lang w:val="sr-Cyrl-RS"/>
        </w:rPr>
        <w:t>, биће позван</w:t>
      </w:r>
      <w:r w:rsidR="00AA2256" w:rsidRPr="00AA2256">
        <w:rPr>
          <w:color w:val="1F4E79" w:themeColor="accent1" w:themeShade="80"/>
          <w:lang w:val="sr-Cyrl-RS"/>
        </w:rPr>
        <w:t>и да дођу у Беч да учествују</w:t>
      </w:r>
      <w:r w:rsidR="00415224" w:rsidRPr="00AA2256">
        <w:rPr>
          <w:color w:val="1F4E79" w:themeColor="accent1" w:themeShade="80"/>
          <w:lang w:val="sr-Cyrl-RS"/>
        </w:rPr>
        <w:t xml:space="preserve"> на конференцији на којој ће се свечано обележити Европска недеља стручних квалификација у 2018. години. </w:t>
      </w:r>
      <w:r w:rsidR="001132BC" w:rsidRPr="00AA2256">
        <w:fldChar w:fldCharType="begin"/>
      </w:r>
      <w:r w:rsidR="001132BC" w:rsidRPr="00AA2256">
        <w:instrText xml:space="preserve"> HYPERLINK "https://ec.europa.eu/social/vocational-skills-week/evsw2018_en" </w:instrText>
      </w:r>
      <w:r w:rsidR="001132BC" w:rsidRPr="00AA2256">
        <w:fldChar w:fldCharType="separate"/>
      </w:r>
      <w:r w:rsidR="00160B8C" w:rsidRPr="00AA2256">
        <w:rPr>
          <w:rStyle w:val="Hyperlink"/>
        </w:rPr>
        <w:t xml:space="preserve">2018 </w:t>
      </w:r>
      <w:r w:rsidR="0056627C" w:rsidRPr="00AA2256">
        <w:rPr>
          <w:rStyle w:val="Hyperlink"/>
        </w:rPr>
        <w:t>European Vocational Skills Week</w:t>
      </w:r>
      <w:r w:rsidR="001132BC" w:rsidRPr="00AA2256">
        <w:rPr>
          <w:rStyle w:val="Hyperlink"/>
        </w:rPr>
        <w:fldChar w:fldCharType="end"/>
      </w:r>
      <w:r w:rsidR="00051339" w:rsidRPr="00AA2256">
        <w:rPr>
          <w:rStyle w:val="Hyperlink"/>
        </w:rPr>
        <w:t>.</w:t>
      </w:r>
      <w:r w:rsidR="0056627C">
        <w:rPr>
          <w:color w:val="1F4E79" w:themeColor="accent1" w:themeShade="80"/>
        </w:rPr>
        <w:t xml:space="preserve"> </w:t>
      </w:r>
    </w:p>
    <w:p w14:paraId="2B523589" w14:textId="77777777" w:rsidR="00051339" w:rsidRDefault="00051339" w:rsidP="00051339">
      <w:pPr>
        <w:spacing w:after="0"/>
        <w:ind w:left="-284"/>
        <w:rPr>
          <w:color w:val="1F4E79" w:themeColor="accent1" w:themeShade="80"/>
        </w:rPr>
      </w:pPr>
    </w:p>
    <w:p w14:paraId="0820EBF0" w14:textId="0D54E1A0" w:rsidR="00051339" w:rsidRDefault="00415224" w:rsidP="00051339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>Награду за предузентиштво коју додељује ЕТФ уручиће Маријана Тисен, европска комесарка за запошљавање, социјална питања и инклузију на гала вечери која ће бити уприличена на конференцији 8. новембра 2018. године.</w:t>
      </w:r>
    </w:p>
    <w:p w14:paraId="47681A26" w14:textId="77777777" w:rsidR="00DE1D12" w:rsidRDefault="00DE1D12" w:rsidP="00051339">
      <w:pPr>
        <w:spacing w:after="0"/>
        <w:ind w:left="-284"/>
        <w:rPr>
          <w:color w:val="1F4E79" w:themeColor="accent1" w:themeShade="80"/>
        </w:rPr>
      </w:pPr>
    </w:p>
    <w:p w14:paraId="7DE4AA70" w14:textId="194BE5E9" w:rsidR="00DE1D12" w:rsidRDefault="00415224" w:rsidP="00DE1D12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 xml:space="preserve">На овој конференцији биће објављена и дистрибуирана информација о победничком примеру добре праксе. </w:t>
      </w:r>
    </w:p>
    <w:p w14:paraId="0BDC8670" w14:textId="7ACC7D67" w:rsidR="00051339" w:rsidRDefault="00415224" w:rsidP="001C648E">
      <w:pPr>
        <w:spacing w:after="0"/>
        <w:ind w:left="-284"/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>ЕТФ ће, осим тога, подстицати тај прим</w:t>
      </w:r>
      <w:r w:rsidR="00322FFE">
        <w:rPr>
          <w:color w:val="1F4E79" w:themeColor="accent1" w:themeShade="80"/>
          <w:lang w:val="sr-Cyrl-RS"/>
        </w:rPr>
        <w:t>ер добре праксе у оквиру мреже организација са којима сарађује</w:t>
      </w:r>
      <w:r>
        <w:rPr>
          <w:color w:val="1F4E79" w:themeColor="accent1" w:themeShade="80"/>
          <w:lang w:val="sr-Cyrl-RS"/>
        </w:rPr>
        <w:t xml:space="preserve">, на </w:t>
      </w:r>
      <w:r w:rsidR="00D14F26">
        <w:rPr>
          <w:color w:val="1F4E79" w:themeColor="accent1" w:themeShade="80"/>
          <w:lang w:val="sr-Cyrl-RS"/>
        </w:rPr>
        <w:t>платформи</w:t>
      </w:r>
      <w:r>
        <w:rPr>
          <w:color w:val="1F4E79" w:themeColor="accent1" w:themeShade="80"/>
          <w:lang w:val="sr-Cyrl-RS"/>
        </w:rPr>
        <w:t xml:space="preserve"> добре праксе, у друштвеним медијима и у осталим публикацијама. </w:t>
      </w:r>
      <w:r w:rsidR="00C83474">
        <w:rPr>
          <w:color w:val="1F4E79" w:themeColor="accent1" w:themeShade="80"/>
          <w:lang w:val="sr-Cyrl-RS"/>
        </w:rPr>
        <w:t xml:space="preserve">Више информација о томе у Анексу 2. </w:t>
      </w:r>
    </w:p>
    <w:p w14:paraId="1A258151" w14:textId="77777777" w:rsidR="00051339" w:rsidRDefault="00051339" w:rsidP="001C648E">
      <w:pPr>
        <w:spacing w:after="0"/>
        <w:ind w:left="-284"/>
        <w:rPr>
          <w:color w:val="1F4E79" w:themeColor="accent1" w:themeShade="80"/>
        </w:rPr>
      </w:pPr>
    </w:p>
    <w:p w14:paraId="13C50968" w14:textId="77777777" w:rsidR="004433C1" w:rsidRDefault="004433C1" w:rsidP="001C648E">
      <w:pPr>
        <w:spacing w:after="0"/>
        <w:ind w:left="-284"/>
        <w:rPr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1D4D" w14:paraId="4B9F544B" w14:textId="77777777" w:rsidTr="00411D4D">
        <w:tc>
          <w:tcPr>
            <w:tcW w:w="4508" w:type="dxa"/>
          </w:tcPr>
          <w:p w14:paraId="16FE945B" w14:textId="77777777" w:rsidR="00411D4D" w:rsidRDefault="00411D4D" w:rsidP="00411D4D">
            <w:pPr>
              <w:rPr>
                <w:b/>
                <w:color w:val="1F4E79" w:themeColor="accent1" w:themeShade="80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9683E29" wp14:editId="1F2585EF">
                  <wp:extent cx="1979930" cy="860260"/>
                  <wp:effectExtent l="0" t="0" r="1270" b="0"/>
                  <wp:docPr id="6" name="Picture 6" descr="ETF MAS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 MAS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76" cy="86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F8E27F2" w14:textId="77777777" w:rsidR="00411D4D" w:rsidRDefault="00411D4D" w:rsidP="00411D4D">
            <w:pPr>
              <w:jc w:val="right"/>
              <w:rPr>
                <w:b/>
                <w:color w:val="1F4E79" w:themeColor="accent1" w:themeShade="80"/>
                <w:sz w:val="32"/>
                <w:szCs w:val="32"/>
              </w:rPr>
            </w:pPr>
            <w:r w:rsidRPr="0032255F">
              <w:rPr>
                <w:noProof/>
                <w:lang w:val="en-US"/>
              </w:rPr>
              <w:drawing>
                <wp:inline distT="0" distB="0" distL="0" distR="0" wp14:anchorId="7D8FEFE5" wp14:editId="15F32EBD">
                  <wp:extent cx="990952" cy="1199516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47" cy="122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191DF" w14:textId="77777777" w:rsidR="009F206D" w:rsidRDefault="009F206D" w:rsidP="00411D4D">
      <w:pPr>
        <w:jc w:val="center"/>
        <w:rPr>
          <w:b/>
          <w:color w:val="1F4E79" w:themeColor="accent1" w:themeShade="80"/>
        </w:rPr>
      </w:pPr>
    </w:p>
    <w:p w14:paraId="4934AF4A" w14:textId="77777777" w:rsidR="00C20613" w:rsidRPr="004D3604" w:rsidRDefault="00C20613" w:rsidP="00411D4D">
      <w:pPr>
        <w:jc w:val="center"/>
        <w:rPr>
          <w:b/>
          <w:color w:val="1F4E79" w:themeColor="accent1" w:themeShade="80"/>
        </w:rPr>
      </w:pPr>
    </w:p>
    <w:p w14:paraId="31F5DC93" w14:textId="0CF16C68" w:rsidR="00411D4D" w:rsidRPr="00B46D72" w:rsidRDefault="00252250" w:rsidP="00411D4D">
      <w:pPr>
        <w:jc w:val="center"/>
        <w:rPr>
          <w:b/>
          <w:color w:val="1F4E79" w:themeColor="accent1" w:themeShade="80"/>
          <w:sz w:val="52"/>
          <w:szCs w:val="52"/>
        </w:rPr>
      </w:pPr>
      <w:r>
        <w:rPr>
          <w:b/>
          <w:color w:val="1F4E79" w:themeColor="accent1" w:themeShade="80"/>
          <w:sz w:val="52"/>
          <w:szCs w:val="52"/>
          <w:lang w:val="sr-Cyrl-RS"/>
        </w:rPr>
        <w:t>ОБРАЗАЦ ПРИЈАВЕ</w:t>
      </w:r>
    </w:p>
    <w:p w14:paraId="401BAE99" w14:textId="77777777" w:rsidR="00411D4D" w:rsidRDefault="00411D4D" w:rsidP="00411D4D">
      <w:pPr>
        <w:rPr>
          <w:b/>
          <w:color w:val="1F4E79" w:themeColor="accent1" w:themeShade="80"/>
          <w:sz w:val="20"/>
          <w:szCs w:val="20"/>
        </w:rPr>
      </w:pPr>
    </w:p>
    <w:p w14:paraId="21E69F68" w14:textId="77777777" w:rsidR="007D5041" w:rsidRPr="00A506F1" w:rsidRDefault="007D5041" w:rsidP="00411D4D">
      <w:pPr>
        <w:rPr>
          <w:b/>
          <w:color w:val="1F4E79" w:themeColor="accent1" w:themeShade="80"/>
          <w:sz w:val="20"/>
          <w:szCs w:val="20"/>
        </w:rPr>
      </w:pPr>
    </w:p>
    <w:p w14:paraId="0105EA18" w14:textId="25476643" w:rsidR="00411D4D" w:rsidRPr="00DE1D12" w:rsidRDefault="00252250" w:rsidP="007D5041">
      <w:pPr>
        <w:jc w:val="center"/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  <w:lang w:val="sr-Cyrl-RS"/>
        </w:rPr>
        <w:t>Награда за предузетништво коју додељује ЕТФ</w:t>
      </w:r>
    </w:p>
    <w:p w14:paraId="54E58079" w14:textId="77777777" w:rsidR="008078DF" w:rsidRDefault="008078DF" w:rsidP="00411D4D">
      <w:pPr>
        <w:jc w:val="both"/>
        <w:rPr>
          <w:color w:val="1F4E79" w:themeColor="accent1" w:themeShade="80"/>
        </w:rPr>
      </w:pPr>
    </w:p>
    <w:p w14:paraId="6809EFE1" w14:textId="5846270B" w:rsidR="00E0006C" w:rsidRPr="00DE1D12" w:rsidRDefault="00252250" w:rsidP="00411D4D">
      <w:pPr>
        <w:jc w:val="both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  <w:lang w:val="sr-Cyrl-RS"/>
        </w:rPr>
        <w:t>Да ли сте стручна школа, универзитет или центар за обуку из земље партнера ЕТФ-а, која се бави стручним образовањем и оспособљавањем</w:t>
      </w:r>
      <w:r w:rsidR="00E34BD0" w:rsidRPr="00DE1D12">
        <w:rPr>
          <w:color w:val="1F4E79" w:themeColor="accent1" w:themeShade="80"/>
          <w:sz w:val="28"/>
          <w:szCs w:val="28"/>
        </w:rPr>
        <w:t xml:space="preserve">? </w:t>
      </w:r>
    </w:p>
    <w:p w14:paraId="43DE6BFA" w14:textId="77777777" w:rsidR="0088798C" w:rsidRPr="00DE1D12" w:rsidRDefault="0088798C" w:rsidP="00411D4D">
      <w:pPr>
        <w:jc w:val="both"/>
        <w:rPr>
          <w:color w:val="1F4E79" w:themeColor="accent1" w:themeShade="80"/>
          <w:sz w:val="28"/>
          <w:szCs w:val="28"/>
        </w:rPr>
      </w:pPr>
    </w:p>
    <w:p w14:paraId="26B092D0" w14:textId="6007B10F" w:rsidR="00BA3E42" w:rsidRPr="00DE1D12" w:rsidRDefault="00252250" w:rsidP="00BA3E42">
      <w:pPr>
        <w:jc w:val="both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  <w:lang w:val="sr-Cyrl-RS"/>
        </w:rPr>
        <w:t>Да ли подстичете најмање једну од компетенција из области „Идеје и могућности“ Европског оквира предузетничких компетенција</w:t>
      </w:r>
      <w:r w:rsidR="00BA3E42" w:rsidRPr="00DE1D12">
        <w:rPr>
          <w:color w:val="1F4E79" w:themeColor="accent1" w:themeShade="80"/>
          <w:sz w:val="28"/>
          <w:szCs w:val="28"/>
        </w:rPr>
        <w:t>?</w:t>
      </w:r>
    </w:p>
    <w:p w14:paraId="5EFD0EE0" w14:textId="77777777" w:rsidR="00BA3E42" w:rsidRPr="00DE1D12" w:rsidRDefault="00BA3E42" w:rsidP="00BA3E42">
      <w:pPr>
        <w:jc w:val="both"/>
        <w:rPr>
          <w:color w:val="1F4E79" w:themeColor="accent1" w:themeShade="80"/>
          <w:sz w:val="28"/>
          <w:szCs w:val="28"/>
        </w:rPr>
      </w:pPr>
    </w:p>
    <w:p w14:paraId="506F2B99" w14:textId="72EC1FE0" w:rsidR="009C7AEB" w:rsidRPr="00DE1D12" w:rsidRDefault="00252250" w:rsidP="00411D4D">
      <w:pPr>
        <w:jc w:val="both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  <w:lang w:val="sr-Cyrl-RS"/>
        </w:rPr>
        <w:t>Да ли подстичете најмање једну од компетенција из друге две области: „Ресурси“ и „Напред у акцију“ Европског оквира предузетничких компетенција</w:t>
      </w:r>
      <w:r w:rsidR="00BA3E42" w:rsidRPr="00DE1D12">
        <w:rPr>
          <w:color w:val="1F4E79" w:themeColor="accent1" w:themeShade="80"/>
          <w:sz w:val="28"/>
          <w:szCs w:val="28"/>
        </w:rPr>
        <w:t>?</w:t>
      </w:r>
    </w:p>
    <w:p w14:paraId="4672C923" w14:textId="77777777" w:rsidR="0088798C" w:rsidRPr="00DE1D12" w:rsidRDefault="0088798C" w:rsidP="00411D4D">
      <w:pPr>
        <w:jc w:val="both"/>
        <w:rPr>
          <w:color w:val="1F4E79" w:themeColor="accent1" w:themeShade="80"/>
          <w:sz w:val="28"/>
          <w:szCs w:val="28"/>
        </w:rPr>
      </w:pPr>
    </w:p>
    <w:p w14:paraId="1AF6BC90" w14:textId="0F798B56" w:rsidR="00411D4D" w:rsidRPr="00252250" w:rsidRDefault="00252250" w:rsidP="00DE1D12">
      <w:pPr>
        <w:jc w:val="both"/>
        <w:rPr>
          <w:b/>
          <w:color w:val="1F4E79" w:themeColor="accent1" w:themeShade="80"/>
          <w:sz w:val="28"/>
          <w:szCs w:val="28"/>
          <w:lang w:val="sr-Cyrl-RS"/>
        </w:rPr>
      </w:pPr>
      <w:r>
        <w:rPr>
          <w:color w:val="1F4E79" w:themeColor="accent1" w:themeShade="80"/>
          <w:sz w:val="28"/>
          <w:szCs w:val="28"/>
          <w:lang w:val="sr-Cyrl-RS"/>
        </w:rPr>
        <w:t xml:space="preserve">Ако је ваш одговор потврдан, молимо вас да се пријавите путем електронске поште на  </w:t>
      </w:r>
      <w:hyperlink r:id="rId20" w:history="1">
        <w:r w:rsidR="00411D4D" w:rsidRPr="00DE1D12">
          <w:rPr>
            <w:color w:val="1F4E79" w:themeColor="accent1" w:themeShade="80"/>
            <w:sz w:val="28"/>
            <w:szCs w:val="28"/>
          </w:rPr>
          <w:t>EntreComp@etf.europa.eu</w:t>
        </w:r>
      </w:hyperlink>
      <w:r w:rsidR="00DE1D12" w:rsidRPr="00DE1D12">
        <w:rPr>
          <w:color w:val="1F4E79" w:themeColor="accent1" w:themeShade="80"/>
          <w:sz w:val="28"/>
          <w:szCs w:val="28"/>
        </w:rPr>
        <w:t xml:space="preserve"> </w:t>
      </w:r>
      <w:r>
        <w:rPr>
          <w:color w:val="1F4E79" w:themeColor="accent1" w:themeShade="80"/>
          <w:sz w:val="28"/>
          <w:szCs w:val="28"/>
          <w:lang w:val="sr-Cyrl-RS"/>
        </w:rPr>
        <w:t xml:space="preserve">до </w:t>
      </w:r>
      <w:r w:rsidR="0088798C" w:rsidRPr="00DE1D12">
        <w:rPr>
          <w:b/>
          <w:color w:val="1F4E79" w:themeColor="accent1" w:themeShade="80"/>
          <w:sz w:val="28"/>
          <w:szCs w:val="28"/>
        </w:rPr>
        <w:t>22</w:t>
      </w:r>
      <w:r>
        <w:rPr>
          <w:b/>
          <w:color w:val="1F4E79" w:themeColor="accent1" w:themeShade="80"/>
          <w:sz w:val="28"/>
          <w:szCs w:val="28"/>
          <w:lang w:val="sr-Cyrl-RS"/>
        </w:rPr>
        <w:t>. маја</w:t>
      </w:r>
      <w:r w:rsidR="0088798C" w:rsidRPr="00DE1D12">
        <w:rPr>
          <w:b/>
          <w:color w:val="1F4E79" w:themeColor="accent1" w:themeShade="80"/>
          <w:sz w:val="28"/>
          <w:szCs w:val="28"/>
        </w:rPr>
        <w:t xml:space="preserve"> 2018</w:t>
      </w:r>
      <w:r w:rsidR="00DE1D12">
        <w:rPr>
          <w:b/>
          <w:color w:val="1F4E79" w:themeColor="accent1" w:themeShade="80"/>
          <w:sz w:val="28"/>
          <w:szCs w:val="28"/>
        </w:rPr>
        <w:t>.</w:t>
      </w:r>
      <w:r>
        <w:rPr>
          <w:b/>
          <w:color w:val="1F4E79" w:themeColor="accent1" w:themeShade="80"/>
          <w:sz w:val="28"/>
          <w:szCs w:val="28"/>
          <w:lang w:val="sr-Cyrl-RS"/>
        </w:rPr>
        <w:t xml:space="preserve"> </w:t>
      </w:r>
      <w:r>
        <w:rPr>
          <w:color w:val="1F4E79" w:themeColor="accent1" w:themeShade="80"/>
          <w:sz w:val="28"/>
          <w:szCs w:val="28"/>
          <w:lang w:val="sr-Cyrl-RS"/>
        </w:rPr>
        <w:t>г</w:t>
      </w:r>
      <w:r w:rsidRPr="00252250">
        <w:rPr>
          <w:color w:val="1F4E79" w:themeColor="accent1" w:themeShade="80"/>
          <w:sz w:val="28"/>
          <w:szCs w:val="28"/>
          <w:lang w:val="sr-Cyrl-RS"/>
        </w:rPr>
        <w:t>одине.</w:t>
      </w:r>
    </w:p>
    <w:p w14:paraId="2F29CA8D" w14:textId="77777777" w:rsidR="00760D8C" w:rsidRDefault="00760D8C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</w:rPr>
        <w:br w:type="page"/>
      </w:r>
    </w:p>
    <w:p w14:paraId="0ECAC805" w14:textId="018753C6" w:rsidR="00302A1E" w:rsidRPr="004433C1" w:rsidRDefault="00252250" w:rsidP="005F78EF">
      <w:pPr>
        <w:rPr>
          <w:color w:val="1F4E79" w:themeColor="accent1" w:themeShade="80"/>
        </w:rPr>
      </w:pPr>
      <w:r>
        <w:rPr>
          <w:b/>
          <w:color w:val="1F4E79" w:themeColor="accent1" w:themeShade="80"/>
          <w:sz w:val="32"/>
          <w:szCs w:val="32"/>
          <w:lang w:val="sr-Cyrl-RS"/>
        </w:rPr>
        <w:lastRenderedPageBreak/>
        <w:t>Награда за предузетништво коју додељује ЕТФ</w:t>
      </w:r>
    </w:p>
    <w:p w14:paraId="146823FD" w14:textId="036E109B" w:rsidR="00302A1E" w:rsidRPr="005F7C71" w:rsidRDefault="00252250" w:rsidP="005F78EF">
      <w:pPr>
        <w:rPr>
          <w:color w:val="1F4E79" w:themeColor="accent1" w:themeShade="80"/>
        </w:rPr>
      </w:pPr>
      <w:r>
        <w:rPr>
          <w:color w:val="1F4E79" w:themeColor="accent1" w:themeShade="80"/>
          <w:lang w:val="sr-Cyrl-RS"/>
        </w:rPr>
        <w:t>Доставите информације које се траже у наставку</w:t>
      </w:r>
      <w:r w:rsidR="005F7C71" w:rsidRPr="005F7C71">
        <w:rPr>
          <w:color w:val="1F4E79" w:themeColor="accent1" w:themeShade="80"/>
        </w:rPr>
        <w:t xml:space="preserve">. </w:t>
      </w:r>
    </w:p>
    <w:p w14:paraId="7A394EEA" w14:textId="77777777" w:rsidR="005F7C71" w:rsidRDefault="005F7C71" w:rsidP="005F78EF">
      <w:pPr>
        <w:rPr>
          <w:b/>
          <w:color w:val="1F4E79" w:themeColor="accent1" w:themeShade="80"/>
        </w:rPr>
      </w:pPr>
    </w:p>
    <w:p w14:paraId="671200E9" w14:textId="7F05F3AE" w:rsidR="00021F8A" w:rsidRDefault="005F7C71" w:rsidP="00BD409C">
      <w:pPr>
        <w:spacing w:after="0"/>
        <w:rPr>
          <w:b/>
          <w:color w:val="1F4E79" w:themeColor="accent1" w:themeShade="80"/>
          <w:sz w:val="26"/>
          <w:szCs w:val="26"/>
        </w:rPr>
      </w:pPr>
      <w:r w:rsidRPr="00BD409C">
        <w:rPr>
          <w:b/>
          <w:color w:val="1F4E79" w:themeColor="accent1" w:themeShade="80"/>
          <w:sz w:val="26"/>
          <w:szCs w:val="26"/>
        </w:rPr>
        <w:t>1.</w:t>
      </w:r>
      <w:r w:rsidRPr="00BD409C">
        <w:rPr>
          <w:b/>
          <w:color w:val="1F4E79" w:themeColor="accent1" w:themeShade="80"/>
          <w:sz w:val="26"/>
          <w:szCs w:val="26"/>
        </w:rPr>
        <w:tab/>
      </w:r>
      <w:r w:rsidR="00252250">
        <w:rPr>
          <w:b/>
          <w:color w:val="1F4E79" w:themeColor="accent1" w:themeShade="80"/>
          <w:sz w:val="26"/>
          <w:szCs w:val="26"/>
          <w:lang w:val="sr-Cyrl-RS"/>
        </w:rPr>
        <w:t>Информације о учеснику и партнеру који се бави формулисањем мера политике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484"/>
      </w:tblGrid>
      <w:tr w:rsidR="00727FEB" w14:paraId="2156AE0F" w14:textId="77777777" w:rsidTr="00D62452">
        <w:tc>
          <w:tcPr>
            <w:tcW w:w="1696" w:type="dxa"/>
          </w:tcPr>
          <w:p w14:paraId="777C5643" w14:textId="70C962A7" w:rsidR="00727FEB" w:rsidRDefault="00252250" w:rsidP="0025225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Назив</w:t>
            </w:r>
          </w:p>
        </w:tc>
        <w:tc>
          <w:tcPr>
            <w:tcW w:w="7484" w:type="dxa"/>
          </w:tcPr>
          <w:p w14:paraId="4F959C55" w14:textId="77777777" w:rsidR="00727FEB" w:rsidRDefault="00727FEB" w:rsidP="00727FEB">
            <w:pPr>
              <w:rPr>
                <w:color w:val="1F4E79" w:themeColor="accent1" w:themeShade="80"/>
              </w:rPr>
            </w:pPr>
          </w:p>
          <w:p w14:paraId="7806361B" w14:textId="77777777" w:rsidR="00726069" w:rsidRDefault="00726069" w:rsidP="00727FEB">
            <w:pPr>
              <w:rPr>
                <w:color w:val="1F4E79" w:themeColor="accent1" w:themeShade="80"/>
              </w:rPr>
            </w:pPr>
          </w:p>
        </w:tc>
      </w:tr>
      <w:tr w:rsidR="00727FEB" w14:paraId="16893A80" w14:textId="77777777" w:rsidTr="00D62452">
        <w:tc>
          <w:tcPr>
            <w:tcW w:w="1696" w:type="dxa"/>
          </w:tcPr>
          <w:p w14:paraId="15603FDB" w14:textId="20686CEF" w:rsidR="00727FEB" w:rsidRDefault="00252250" w:rsidP="0025225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Адреса</w:t>
            </w:r>
          </w:p>
        </w:tc>
        <w:tc>
          <w:tcPr>
            <w:tcW w:w="7484" w:type="dxa"/>
          </w:tcPr>
          <w:p w14:paraId="399B3EBF" w14:textId="77777777" w:rsidR="00727FEB" w:rsidRDefault="00727FEB" w:rsidP="00727FEB">
            <w:pPr>
              <w:rPr>
                <w:color w:val="1F4E79" w:themeColor="accent1" w:themeShade="80"/>
              </w:rPr>
            </w:pPr>
          </w:p>
          <w:p w14:paraId="13C3055F" w14:textId="77777777" w:rsidR="00726069" w:rsidRDefault="00726069" w:rsidP="00727FEB">
            <w:pPr>
              <w:rPr>
                <w:color w:val="1F4E79" w:themeColor="accent1" w:themeShade="80"/>
              </w:rPr>
            </w:pPr>
          </w:p>
          <w:p w14:paraId="287E7633" w14:textId="77777777" w:rsidR="00726069" w:rsidRDefault="00726069" w:rsidP="00727FEB">
            <w:pPr>
              <w:rPr>
                <w:color w:val="1F4E79" w:themeColor="accent1" w:themeShade="80"/>
              </w:rPr>
            </w:pPr>
          </w:p>
        </w:tc>
      </w:tr>
      <w:tr w:rsidR="00727FEB" w14:paraId="4DC1DDC9" w14:textId="77777777" w:rsidTr="00D62452">
        <w:tc>
          <w:tcPr>
            <w:tcW w:w="1696" w:type="dxa"/>
          </w:tcPr>
          <w:p w14:paraId="29960E47" w14:textId="6B70E3C7" w:rsidR="00727FEB" w:rsidRDefault="00252250" w:rsidP="0025225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Телефон</w:t>
            </w:r>
          </w:p>
        </w:tc>
        <w:tc>
          <w:tcPr>
            <w:tcW w:w="7484" w:type="dxa"/>
          </w:tcPr>
          <w:p w14:paraId="3BB1DB23" w14:textId="77777777" w:rsidR="00727FEB" w:rsidRDefault="00727FEB" w:rsidP="00727FEB">
            <w:pPr>
              <w:rPr>
                <w:color w:val="1F4E79" w:themeColor="accent1" w:themeShade="80"/>
              </w:rPr>
            </w:pPr>
          </w:p>
          <w:p w14:paraId="7CAE8218" w14:textId="77777777" w:rsidR="00726069" w:rsidRDefault="00726069" w:rsidP="00727FEB">
            <w:pPr>
              <w:rPr>
                <w:color w:val="1F4E79" w:themeColor="accent1" w:themeShade="80"/>
              </w:rPr>
            </w:pPr>
          </w:p>
        </w:tc>
      </w:tr>
      <w:tr w:rsidR="00727FEB" w14:paraId="0E7C279D" w14:textId="77777777" w:rsidTr="00D62452">
        <w:tc>
          <w:tcPr>
            <w:tcW w:w="1696" w:type="dxa"/>
          </w:tcPr>
          <w:p w14:paraId="216646A8" w14:textId="5F8BC5AA" w:rsidR="00727FEB" w:rsidRDefault="00252250" w:rsidP="00252250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Е-маил</w:t>
            </w:r>
          </w:p>
        </w:tc>
        <w:tc>
          <w:tcPr>
            <w:tcW w:w="7484" w:type="dxa"/>
          </w:tcPr>
          <w:p w14:paraId="3130AE73" w14:textId="77777777" w:rsidR="00727FEB" w:rsidRDefault="00727FEB" w:rsidP="00727FEB">
            <w:pPr>
              <w:rPr>
                <w:color w:val="1F4E79" w:themeColor="accent1" w:themeShade="80"/>
              </w:rPr>
            </w:pPr>
          </w:p>
          <w:p w14:paraId="6BB15E51" w14:textId="77777777" w:rsidR="00726069" w:rsidRDefault="00726069" w:rsidP="00727FEB">
            <w:pPr>
              <w:rPr>
                <w:color w:val="1F4E79" w:themeColor="accent1" w:themeShade="80"/>
              </w:rPr>
            </w:pPr>
          </w:p>
        </w:tc>
      </w:tr>
      <w:tr w:rsidR="00727FEB" w14:paraId="08C3A195" w14:textId="77777777" w:rsidTr="00D62452">
        <w:tc>
          <w:tcPr>
            <w:tcW w:w="1696" w:type="dxa"/>
          </w:tcPr>
          <w:p w14:paraId="36396463" w14:textId="0650766D" w:rsidR="0011613F" w:rsidRDefault="00252250" w:rsidP="0011613F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Препоручени учесник конференције</w:t>
            </w:r>
          </w:p>
          <w:p w14:paraId="4C0871F3" w14:textId="52CCF45E" w:rsidR="00727FEB" w:rsidRPr="00727FEB" w:rsidRDefault="00727FEB" w:rsidP="0011613F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7484" w:type="dxa"/>
          </w:tcPr>
          <w:p w14:paraId="33A1385C" w14:textId="794E5CD8" w:rsidR="00727FEB" w:rsidRDefault="00DE1D12" w:rsidP="00727FEB">
            <w:pPr>
              <w:rPr>
                <w:color w:val="1F4E79" w:themeColor="accent1" w:themeShade="80"/>
              </w:rPr>
            </w:pPr>
            <w:r w:rsidRPr="002F065A">
              <w:rPr>
                <w:i/>
                <w:color w:val="1F4E79" w:themeColor="accent1" w:themeShade="80"/>
                <w:sz w:val="18"/>
                <w:szCs w:val="18"/>
              </w:rPr>
              <w:t>[</w:t>
            </w:r>
            <w:r w:rsidR="0015352B"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>или други запослени који ће присуствовати Европској недељи стручних квалификација и Гала вечери</w:t>
            </w:r>
            <w:r w:rsidR="0011613F">
              <w:rPr>
                <w:i/>
                <w:color w:val="1F4E79" w:themeColor="accent1" w:themeShade="80"/>
                <w:sz w:val="18"/>
                <w:szCs w:val="18"/>
              </w:rPr>
              <w:t>]</w:t>
            </w:r>
          </w:p>
          <w:p w14:paraId="7B084ECA" w14:textId="77777777" w:rsidR="00726069" w:rsidRDefault="00726069" w:rsidP="00727FEB">
            <w:pPr>
              <w:rPr>
                <w:color w:val="1F4E79" w:themeColor="accent1" w:themeShade="80"/>
              </w:rPr>
            </w:pPr>
          </w:p>
        </w:tc>
      </w:tr>
      <w:tr w:rsidR="00DE1D12" w14:paraId="7D6AF570" w14:textId="77777777" w:rsidTr="00D62452">
        <w:tc>
          <w:tcPr>
            <w:tcW w:w="1696" w:type="dxa"/>
          </w:tcPr>
          <w:p w14:paraId="3A6FEFED" w14:textId="50B8A40C" w:rsidR="00DE1D12" w:rsidRPr="00252250" w:rsidRDefault="00252250" w:rsidP="00252250">
            <w:pPr>
              <w:rPr>
                <w:color w:val="1F4E79" w:themeColor="accent1" w:themeShade="80"/>
                <w:lang w:val="sr-Cyrl-RS"/>
              </w:rPr>
            </w:pPr>
            <w:r>
              <w:rPr>
                <w:color w:val="1F4E79" w:themeColor="accent1" w:themeShade="80"/>
                <w:lang w:val="sr-Cyrl-RS"/>
              </w:rPr>
              <w:t>Други учесник који може да  замени првог</w:t>
            </w:r>
          </w:p>
        </w:tc>
        <w:tc>
          <w:tcPr>
            <w:tcW w:w="7484" w:type="dxa"/>
          </w:tcPr>
          <w:p w14:paraId="0B8D8053" w14:textId="796F4113" w:rsidR="0011613F" w:rsidRDefault="00DE1D12" w:rsidP="0011613F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 w:rsidRPr="002F065A">
              <w:rPr>
                <w:i/>
                <w:color w:val="1F4E79" w:themeColor="accent1" w:themeShade="80"/>
                <w:sz w:val="18"/>
                <w:szCs w:val="18"/>
              </w:rPr>
              <w:t>[</w:t>
            </w:r>
            <w:r w:rsidR="0015352B"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>У случају горенаведени учесник не може да дође на конференцију и свечаност доделе награде у новембру, из неких других разлога, позив ће добити његов заменик</w:t>
            </w:r>
            <w:r>
              <w:rPr>
                <w:i/>
                <w:color w:val="1F4E79" w:themeColor="accent1" w:themeShade="80"/>
                <w:sz w:val="18"/>
                <w:szCs w:val="18"/>
              </w:rPr>
              <w:t>]</w:t>
            </w:r>
          </w:p>
          <w:p w14:paraId="3A932C52" w14:textId="77777777" w:rsidR="0011613F" w:rsidRDefault="0011613F" w:rsidP="0011613F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73542060" w14:textId="4E80B456" w:rsidR="00DE1D12" w:rsidRDefault="00DE1D12" w:rsidP="0011613F">
            <w:pPr>
              <w:rPr>
                <w:color w:val="1F4E79" w:themeColor="accent1" w:themeShade="80"/>
              </w:rPr>
            </w:pPr>
          </w:p>
        </w:tc>
      </w:tr>
      <w:tr w:rsidR="00DE1D12" w14:paraId="23634CDB" w14:textId="77777777" w:rsidTr="00B04D25">
        <w:trPr>
          <w:trHeight w:val="645"/>
        </w:trPr>
        <w:tc>
          <w:tcPr>
            <w:tcW w:w="1696" w:type="dxa"/>
          </w:tcPr>
          <w:p w14:paraId="6411F258" w14:textId="163282BC" w:rsidR="00DE1D12" w:rsidRDefault="0015352B" w:rsidP="00DE1D1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Партнер</w:t>
            </w:r>
            <w:r w:rsidR="00252250">
              <w:rPr>
                <w:color w:val="1F4E79" w:themeColor="accent1" w:themeShade="80"/>
                <w:lang w:val="sr-Cyrl-RS"/>
              </w:rPr>
              <w:t xml:space="preserve"> који се бави израдом мера политике</w:t>
            </w:r>
          </w:p>
          <w:p w14:paraId="261D29D4" w14:textId="61771703" w:rsidR="00DE1D12" w:rsidRDefault="00DE1D12" w:rsidP="00DE1D12">
            <w:pPr>
              <w:rPr>
                <w:color w:val="1F4E79" w:themeColor="accent1" w:themeShade="80"/>
              </w:rPr>
            </w:pPr>
          </w:p>
        </w:tc>
        <w:tc>
          <w:tcPr>
            <w:tcW w:w="7484" w:type="dxa"/>
          </w:tcPr>
          <w:p w14:paraId="30BAA888" w14:textId="7BFE3AEF" w:rsidR="00DE1D12" w:rsidRPr="00726069" w:rsidRDefault="00DE1D12" w:rsidP="00DE1D12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i/>
                <w:color w:val="1F4E79" w:themeColor="accent1" w:themeShade="80"/>
              </w:rPr>
              <w:t>[</w:t>
            </w:r>
            <w:r w:rsidR="0015352B"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>Подносилац примера који победи добиће позив да присуствује Европској недељи стручних квалификација 2018. и свечаној додели награде у Бечу, заједно са креатором политике мера стручног образовања и оспособљавања који се повезује са примером добре праксе. По консултовању са креатором политике, доставите податке о лицу које се бави креирањем политике које ће заједно са учесником доћи у Беч</w:t>
            </w:r>
            <w:r w:rsidRPr="00726069">
              <w:rPr>
                <w:i/>
                <w:color w:val="1F4E79" w:themeColor="accent1" w:themeShade="80"/>
                <w:sz w:val="18"/>
                <w:szCs w:val="18"/>
              </w:rPr>
              <w:t>]</w:t>
            </w:r>
          </w:p>
          <w:p w14:paraId="47DA7911" w14:textId="414BD7E7" w:rsidR="00DE1D12" w:rsidRPr="0046470C" w:rsidRDefault="00DE1D12" w:rsidP="00DE1D12">
            <w:pPr>
              <w:rPr>
                <w:color w:val="1F4E79" w:themeColor="accent1" w:themeShade="80"/>
              </w:rPr>
            </w:pPr>
          </w:p>
        </w:tc>
      </w:tr>
      <w:tr w:rsidR="00DE1D12" w14:paraId="67404C69" w14:textId="77777777" w:rsidTr="00D62452">
        <w:trPr>
          <w:trHeight w:val="645"/>
        </w:trPr>
        <w:tc>
          <w:tcPr>
            <w:tcW w:w="1696" w:type="dxa"/>
            <w:vMerge/>
          </w:tcPr>
          <w:p w14:paraId="62134831" w14:textId="77777777" w:rsidR="00DE1D12" w:rsidRDefault="00DE1D12" w:rsidP="00DE1D12">
            <w:pPr>
              <w:rPr>
                <w:color w:val="1F4E79" w:themeColor="accent1" w:themeShade="80"/>
              </w:rPr>
            </w:pPr>
          </w:p>
        </w:tc>
        <w:tc>
          <w:tcPr>
            <w:tcW w:w="7484" w:type="dxa"/>
          </w:tcPr>
          <w:p w14:paraId="18C561A9" w14:textId="663C5DF4" w:rsidR="00DE1D12" w:rsidRDefault="0015352B" w:rsidP="0015352B">
            <w:pPr>
              <w:rPr>
                <w:i/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Име</w:t>
            </w:r>
            <w:r w:rsidR="00DE1D12">
              <w:rPr>
                <w:color w:val="1F4E79" w:themeColor="accent1" w:themeShade="80"/>
              </w:rPr>
              <w:t>:</w:t>
            </w:r>
          </w:p>
        </w:tc>
      </w:tr>
      <w:tr w:rsidR="00DE1D12" w14:paraId="6C3D7E12" w14:textId="77777777" w:rsidTr="00D62452">
        <w:trPr>
          <w:trHeight w:val="645"/>
        </w:trPr>
        <w:tc>
          <w:tcPr>
            <w:tcW w:w="1696" w:type="dxa"/>
            <w:vMerge/>
          </w:tcPr>
          <w:p w14:paraId="28C044F1" w14:textId="77777777" w:rsidR="00DE1D12" w:rsidRDefault="00DE1D12" w:rsidP="00DE1D12">
            <w:pPr>
              <w:rPr>
                <w:color w:val="1F4E79" w:themeColor="accent1" w:themeShade="80"/>
              </w:rPr>
            </w:pPr>
          </w:p>
        </w:tc>
        <w:tc>
          <w:tcPr>
            <w:tcW w:w="7484" w:type="dxa"/>
          </w:tcPr>
          <w:p w14:paraId="74CC09E8" w14:textId="7C2168F9" w:rsidR="00DE1D12" w:rsidRDefault="0015352B" w:rsidP="00DE1D1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Звање</w:t>
            </w:r>
            <w:r w:rsidR="00DE1D12">
              <w:rPr>
                <w:color w:val="1F4E79" w:themeColor="accent1" w:themeShade="80"/>
              </w:rPr>
              <w:t>:</w:t>
            </w:r>
          </w:p>
          <w:p w14:paraId="7321A17F" w14:textId="4A2C44EC" w:rsidR="00DE1D12" w:rsidRDefault="00DE1D12" w:rsidP="00DE1D12">
            <w:pPr>
              <w:rPr>
                <w:i/>
                <w:color w:val="1F4E79" w:themeColor="accent1" w:themeShade="80"/>
              </w:rPr>
            </w:pPr>
          </w:p>
        </w:tc>
      </w:tr>
      <w:tr w:rsidR="00DE1D12" w14:paraId="1AE71E49" w14:textId="77777777" w:rsidTr="00D62452">
        <w:trPr>
          <w:trHeight w:val="645"/>
        </w:trPr>
        <w:tc>
          <w:tcPr>
            <w:tcW w:w="1696" w:type="dxa"/>
            <w:vMerge/>
          </w:tcPr>
          <w:p w14:paraId="0E1A58FA" w14:textId="77777777" w:rsidR="00DE1D12" w:rsidRDefault="00DE1D12" w:rsidP="00DE1D12">
            <w:pPr>
              <w:rPr>
                <w:color w:val="1F4E79" w:themeColor="accent1" w:themeShade="80"/>
              </w:rPr>
            </w:pPr>
          </w:p>
        </w:tc>
        <w:tc>
          <w:tcPr>
            <w:tcW w:w="7484" w:type="dxa"/>
          </w:tcPr>
          <w:p w14:paraId="23D4199B" w14:textId="6F5E3C52" w:rsidR="00DE1D12" w:rsidRDefault="0015352B" w:rsidP="0015352B">
            <w:pPr>
              <w:rPr>
                <w:i/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Организација</w:t>
            </w:r>
            <w:r w:rsidR="00DE1D12">
              <w:rPr>
                <w:color w:val="1F4E79" w:themeColor="accent1" w:themeShade="80"/>
              </w:rPr>
              <w:t xml:space="preserve">: </w:t>
            </w:r>
          </w:p>
        </w:tc>
      </w:tr>
      <w:tr w:rsidR="00DE1D12" w14:paraId="48EF4BF1" w14:textId="77777777" w:rsidTr="00B04D25">
        <w:trPr>
          <w:trHeight w:val="270"/>
        </w:trPr>
        <w:tc>
          <w:tcPr>
            <w:tcW w:w="1696" w:type="dxa"/>
            <w:vMerge/>
          </w:tcPr>
          <w:p w14:paraId="2F819B3B" w14:textId="77777777" w:rsidR="00DE1D12" w:rsidRDefault="00DE1D12" w:rsidP="00DE1D12">
            <w:pPr>
              <w:rPr>
                <w:color w:val="1F4E79" w:themeColor="accent1" w:themeShade="80"/>
              </w:rPr>
            </w:pPr>
          </w:p>
        </w:tc>
        <w:tc>
          <w:tcPr>
            <w:tcW w:w="7484" w:type="dxa"/>
          </w:tcPr>
          <w:p w14:paraId="7237B412" w14:textId="3FC750A8" w:rsidR="00DE1D12" w:rsidRDefault="0015352B" w:rsidP="00DE1D1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Адреса</w:t>
            </w:r>
            <w:r w:rsidR="00DE1D12">
              <w:rPr>
                <w:color w:val="1F4E79" w:themeColor="accent1" w:themeShade="80"/>
              </w:rPr>
              <w:t>:</w:t>
            </w:r>
          </w:p>
          <w:p w14:paraId="2AF93592" w14:textId="77777777" w:rsidR="00DE1D12" w:rsidRDefault="00DE1D12" w:rsidP="00DE1D12">
            <w:pPr>
              <w:rPr>
                <w:i/>
                <w:color w:val="1F4E79" w:themeColor="accent1" w:themeShade="80"/>
              </w:rPr>
            </w:pPr>
          </w:p>
          <w:p w14:paraId="04E004E6" w14:textId="77777777" w:rsidR="00DE1D12" w:rsidRDefault="00DE1D12" w:rsidP="00DE1D12">
            <w:pPr>
              <w:rPr>
                <w:i/>
                <w:color w:val="1F4E79" w:themeColor="accent1" w:themeShade="80"/>
              </w:rPr>
            </w:pPr>
          </w:p>
          <w:p w14:paraId="1A2CEF91" w14:textId="20850ABA" w:rsidR="00DE1D12" w:rsidRDefault="00DE1D12" w:rsidP="00DE1D12">
            <w:pPr>
              <w:rPr>
                <w:i/>
                <w:color w:val="1F4E79" w:themeColor="accent1" w:themeShade="80"/>
              </w:rPr>
            </w:pPr>
          </w:p>
        </w:tc>
      </w:tr>
      <w:tr w:rsidR="00DE1D12" w14:paraId="6D4A9370" w14:textId="77777777" w:rsidTr="00D62452">
        <w:trPr>
          <w:trHeight w:val="270"/>
        </w:trPr>
        <w:tc>
          <w:tcPr>
            <w:tcW w:w="1696" w:type="dxa"/>
            <w:vMerge/>
          </w:tcPr>
          <w:p w14:paraId="049E95BD" w14:textId="77777777" w:rsidR="00DE1D12" w:rsidRDefault="00DE1D12" w:rsidP="00DE1D12">
            <w:pPr>
              <w:rPr>
                <w:color w:val="1F4E79" w:themeColor="accent1" w:themeShade="80"/>
              </w:rPr>
            </w:pPr>
          </w:p>
        </w:tc>
        <w:tc>
          <w:tcPr>
            <w:tcW w:w="7484" w:type="dxa"/>
          </w:tcPr>
          <w:p w14:paraId="51DA9106" w14:textId="27CA16A1" w:rsidR="00DE1D12" w:rsidRDefault="0015352B" w:rsidP="00DE1D1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Емаил</w:t>
            </w:r>
            <w:r w:rsidR="00DE1D12">
              <w:rPr>
                <w:color w:val="1F4E79" w:themeColor="accent1" w:themeShade="80"/>
              </w:rPr>
              <w:t>:</w:t>
            </w:r>
          </w:p>
          <w:p w14:paraId="52E31933" w14:textId="365CB72C" w:rsidR="00DE1D12" w:rsidRDefault="00DE1D12" w:rsidP="00DE1D12">
            <w:pPr>
              <w:rPr>
                <w:i/>
                <w:color w:val="1F4E79" w:themeColor="accent1" w:themeShade="80"/>
              </w:rPr>
            </w:pPr>
          </w:p>
        </w:tc>
      </w:tr>
      <w:tr w:rsidR="00DE1D12" w14:paraId="1D8CBC83" w14:textId="77777777" w:rsidTr="00D62452">
        <w:trPr>
          <w:trHeight w:val="270"/>
        </w:trPr>
        <w:tc>
          <w:tcPr>
            <w:tcW w:w="1696" w:type="dxa"/>
            <w:vMerge/>
          </w:tcPr>
          <w:p w14:paraId="61072EB0" w14:textId="77777777" w:rsidR="00DE1D12" w:rsidRDefault="00DE1D12" w:rsidP="00DE1D12">
            <w:pPr>
              <w:rPr>
                <w:color w:val="1F4E79" w:themeColor="accent1" w:themeShade="80"/>
              </w:rPr>
            </w:pPr>
          </w:p>
        </w:tc>
        <w:tc>
          <w:tcPr>
            <w:tcW w:w="7484" w:type="dxa"/>
          </w:tcPr>
          <w:p w14:paraId="1DEBDE37" w14:textId="0B1DB348" w:rsidR="00DE1D12" w:rsidRDefault="0015352B" w:rsidP="00DE1D12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Телефон</w:t>
            </w:r>
            <w:r w:rsidR="00DE1D12">
              <w:rPr>
                <w:color w:val="1F4E79" w:themeColor="accent1" w:themeShade="80"/>
              </w:rPr>
              <w:t>:</w:t>
            </w:r>
          </w:p>
          <w:p w14:paraId="6B9711A4" w14:textId="7CB8A58A" w:rsidR="00DE1D12" w:rsidRDefault="00DE1D12" w:rsidP="00DE1D12">
            <w:pPr>
              <w:rPr>
                <w:i/>
                <w:color w:val="1F4E79" w:themeColor="accent1" w:themeShade="80"/>
              </w:rPr>
            </w:pPr>
          </w:p>
        </w:tc>
      </w:tr>
      <w:tr w:rsidR="0011613F" w14:paraId="46AECB56" w14:textId="77777777" w:rsidTr="00D62452">
        <w:trPr>
          <w:trHeight w:val="270"/>
        </w:trPr>
        <w:tc>
          <w:tcPr>
            <w:tcW w:w="1696" w:type="dxa"/>
          </w:tcPr>
          <w:p w14:paraId="04D3D0CD" w14:textId="627EDD49" w:rsidR="0011613F" w:rsidRDefault="0015352B" w:rsidP="0015352B">
            <w:pPr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  <w:lang w:val="sr-Cyrl-RS"/>
              </w:rPr>
              <w:t>Сарадња са фирмом</w:t>
            </w:r>
            <w:r w:rsidR="0011613F">
              <w:rPr>
                <w:color w:val="1F4E79" w:themeColor="accent1" w:themeShade="80"/>
              </w:rPr>
              <w:t xml:space="preserve"> </w:t>
            </w:r>
            <w:r w:rsidR="0011613F" w:rsidRPr="0015352B">
              <w:rPr>
                <w:i/>
                <w:color w:val="1F4E79" w:themeColor="accent1" w:themeShade="80"/>
              </w:rPr>
              <w:t>(</w:t>
            </w:r>
            <w:r w:rsidRPr="0015352B">
              <w:rPr>
                <w:i/>
                <w:color w:val="1F4E79" w:themeColor="accent1" w:themeShade="80"/>
                <w:lang w:val="sr-Cyrl-RS"/>
              </w:rPr>
              <w:t>факултативно</w:t>
            </w:r>
            <w:r w:rsidR="0011613F" w:rsidRPr="0015352B">
              <w:rPr>
                <w:i/>
                <w:color w:val="1F4E79" w:themeColor="accent1" w:themeShade="80"/>
              </w:rPr>
              <w:t>)</w:t>
            </w:r>
          </w:p>
        </w:tc>
        <w:tc>
          <w:tcPr>
            <w:tcW w:w="7484" w:type="dxa"/>
          </w:tcPr>
          <w:p w14:paraId="013F42D6" w14:textId="34867C9B" w:rsidR="0011613F" w:rsidRPr="00726069" w:rsidRDefault="0011613F" w:rsidP="0011613F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 w:rsidRPr="00726069">
              <w:rPr>
                <w:i/>
                <w:color w:val="1F4E79" w:themeColor="accent1" w:themeShade="80"/>
                <w:sz w:val="18"/>
                <w:szCs w:val="18"/>
              </w:rPr>
              <w:t>[</w:t>
            </w:r>
            <w:r w:rsidR="0015352B"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>Укратко опиште улогу коју фирма има у примеру добре праксе, уколико има такву улогу</w:t>
            </w:r>
            <w:r w:rsidRPr="00726069">
              <w:rPr>
                <w:i/>
                <w:color w:val="1F4E79" w:themeColor="accent1" w:themeShade="80"/>
                <w:sz w:val="18"/>
                <w:szCs w:val="18"/>
              </w:rPr>
              <w:t>]</w:t>
            </w:r>
          </w:p>
          <w:p w14:paraId="72F3BA1F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0B3821D1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0375F2D2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5EF115FD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61E5717C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3A3F9570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3454B90A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314B75D2" w14:textId="77777777" w:rsidR="0011613F" w:rsidRDefault="0011613F" w:rsidP="0011613F">
            <w:pPr>
              <w:rPr>
                <w:i/>
                <w:color w:val="1F4E79" w:themeColor="accent1" w:themeShade="80"/>
              </w:rPr>
            </w:pPr>
          </w:p>
          <w:p w14:paraId="4CFDFBB9" w14:textId="00C1BACF" w:rsidR="0011613F" w:rsidRDefault="0011613F" w:rsidP="0011613F">
            <w:pPr>
              <w:rPr>
                <w:color w:val="1F4E79" w:themeColor="accent1" w:themeShade="80"/>
              </w:rPr>
            </w:pPr>
          </w:p>
        </w:tc>
      </w:tr>
    </w:tbl>
    <w:p w14:paraId="4188DF0C" w14:textId="77777777" w:rsidR="00D62452" w:rsidRPr="00563718" w:rsidRDefault="00D62452" w:rsidP="005F78EF"/>
    <w:p w14:paraId="2E395C89" w14:textId="4B686D96" w:rsidR="005F78EF" w:rsidRPr="00BD409C" w:rsidRDefault="00EF4392" w:rsidP="00BD409C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</w:rPr>
        <w:t>2</w:t>
      </w:r>
      <w:r w:rsidR="00A938B3" w:rsidRPr="00BD409C">
        <w:rPr>
          <w:b/>
          <w:color w:val="1F4E79" w:themeColor="accent1" w:themeShade="80"/>
          <w:sz w:val="26"/>
          <w:szCs w:val="26"/>
        </w:rPr>
        <w:t xml:space="preserve">. </w:t>
      </w:r>
      <w:r w:rsidR="00A938B3" w:rsidRPr="00BD409C">
        <w:rPr>
          <w:b/>
          <w:color w:val="1F4E79" w:themeColor="accent1" w:themeShade="80"/>
          <w:sz w:val="26"/>
          <w:szCs w:val="26"/>
        </w:rPr>
        <w:tab/>
      </w:r>
      <w:r w:rsidR="0015352B">
        <w:rPr>
          <w:b/>
          <w:color w:val="1F4E79" w:themeColor="accent1" w:themeShade="80"/>
          <w:sz w:val="26"/>
          <w:szCs w:val="26"/>
          <w:lang w:val="sr-Cyrl-RS"/>
        </w:rPr>
        <w:t xml:space="preserve">Основне предузетничке компетенције у области „Идеје и </w:t>
      </w:r>
      <w:proofErr w:type="gramStart"/>
      <w:r w:rsidR="0015352B">
        <w:rPr>
          <w:b/>
          <w:color w:val="1F4E79" w:themeColor="accent1" w:themeShade="80"/>
          <w:sz w:val="26"/>
          <w:szCs w:val="26"/>
          <w:lang w:val="sr-Cyrl-RS"/>
        </w:rPr>
        <w:t>могућности“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78EF" w:rsidRPr="00563718" w14:paraId="0B5810D6" w14:textId="77777777" w:rsidTr="005F78EF">
        <w:tc>
          <w:tcPr>
            <w:tcW w:w="9016" w:type="dxa"/>
          </w:tcPr>
          <w:p w14:paraId="56C680AA" w14:textId="7A269417" w:rsidR="00726069" w:rsidRDefault="005311A1" w:rsidP="005F78EF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 xml:space="preserve">Наведите које компетенције подстичете а које су одраз оних које потпадају под област „Идеје и могућности“ из Европског оквира предузетничких компетенција. </w:t>
            </w:r>
          </w:p>
          <w:p w14:paraId="501B24F9" w14:textId="3C66480A" w:rsidR="00726069" w:rsidRDefault="00726069" w:rsidP="005F78EF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2E109FDA" w14:textId="77777777" w:rsidR="005F78EF" w:rsidRDefault="005F78EF" w:rsidP="005F78EF"/>
          <w:p w14:paraId="073DFD8A" w14:textId="57CF8BBE" w:rsidR="00271220" w:rsidRDefault="00271220" w:rsidP="005F78EF"/>
          <w:p w14:paraId="5A4D0542" w14:textId="77777777" w:rsidR="00271220" w:rsidRDefault="00271220" w:rsidP="005F78EF"/>
          <w:p w14:paraId="1E1B8046" w14:textId="77777777" w:rsidR="00271220" w:rsidRDefault="00271220" w:rsidP="005F78EF"/>
          <w:p w14:paraId="1E30AC38" w14:textId="77777777" w:rsidR="00271220" w:rsidRPr="00563718" w:rsidRDefault="00271220" w:rsidP="005F78EF"/>
          <w:p w14:paraId="74B58D73" w14:textId="77777777" w:rsidR="009D49B5" w:rsidRDefault="009D49B5" w:rsidP="009D49B5"/>
          <w:p w14:paraId="600B19FE" w14:textId="4197A9D4" w:rsidR="009D49B5" w:rsidRPr="00726069" w:rsidRDefault="005311A1" w:rsidP="009D49B5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>Наведите пример (један или више) исхода учења за дате компетенцие (не више од 100 речи)</w:t>
            </w:r>
            <w:r w:rsidR="009D49B5" w:rsidRPr="00726069">
              <w:rPr>
                <w:i/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14:paraId="4ED138C0" w14:textId="5221938A" w:rsidR="00302A1E" w:rsidRPr="00563718" w:rsidRDefault="00302A1E" w:rsidP="005F78EF"/>
          <w:p w14:paraId="4B7AED53" w14:textId="77777777" w:rsidR="00302A1E" w:rsidRPr="00563718" w:rsidRDefault="00302A1E" w:rsidP="005F78EF"/>
          <w:p w14:paraId="45EF5F3F" w14:textId="77777777" w:rsidR="00302A1E" w:rsidRDefault="00302A1E" w:rsidP="005F78EF"/>
          <w:p w14:paraId="6ABA1D89" w14:textId="77777777" w:rsidR="008A5CA2" w:rsidRDefault="008A5CA2" w:rsidP="005F78EF"/>
          <w:p w14:paraId="010BEE5C" w14:textId="77777777" w:rsidR="008A5CA2" w:rsidRDefault="008A5CA2" w:rsidP="005F78EF"/>
          <w:p w14:paraId="41C3EDE1" w14:textId="77777777" w:rsidR="008A5CA2" w:rsidRDefault="008A5CA2" w:rsidP="005F78EF"/>
          <w:p w14:paraId="14899BE5" w14:textId="77777777" w:rsidR="008A5CA2" w:rsidRDefault="008A5CA2" w:rsidP="005F78EF"/>
          <w:p w14:paraId="7D8652EC" w14:textId="5B4F8F6F" w:rsidR="009D49B5" w:rsidRDefault="009D49B5" w:rsidP="005F78EF"/>
          <w:p w14:paraId="74AE3C63" w14:textId="77777777" w:rsidR="009D49B5" w:rsidRDefault="009D49B5" w:rsidP="005F78EF"/>
          <w:p w14:paraId="6694C976" w14:textId="77777777" w:rsidR="009D49B5" w:rsidRDefault="009D49B5" w:rsidP="005F78EF"/>
          <w:p w14:paraId="42A01DC5" w14:textId="77777777" w:rsidR="00A938B3" w:rsidRDefault="00A938B3" w:rsidP="005F78EF"/>
          <w:p w14:paraId="23B0FED6" w14:textId="77777777" w:rsidR="009D49B5" w:rsidRDefault="009D49B5" w:rsidP="005F78EF"/>
          <w:p w14:paraId="64AB2A84" w14:textId="13882D40" w:rsidR="00726069" w:rsidRDefault="005311A1" w:rsidP="005F78EF"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 xml:space="preserve">Опишите приступе у настави и учењу који се примењују да би се постигли исходи учења (не више од 200 речи). </w:t>
            </w:r>
          </w:p>
          <w:p w14:paraId="2727F5AA" w14:textId="77777777" w:rsidR="00726069" w:rsidRDefault="00726069" w:rsidP="005F78EF"/>
          <w:p w14:paraId="1E9DB08E" w14:textId="77777777" w:rsidR="00726069" w:rsidRDefault="00726069" w:rsidP="005F78EF"/>
          <w:p w14:paraId="083F14D7" w14:textId="77777777" w:rsidR="00726069" w:rsidRDefault="00726069" w:rsidP="005F78EF"/>
          <w:p w14:paraId="0CA4ACDF" w14:textId="77777777" w:rsidR="00726069" w:rsidRDefault="00726069" w:rsidP="005F78EF"/>
          <w:p w14:paraId="57062F28" w14:textId="77777777" w:rsidR="00726069" w:rsidRDefault="00726069" w:rsidP="005F78EF"/>
          <w:p w14:paraId="1415F184" w14:textId="77777777" w:rsidR="009D49B5" w:rsidRDefault="009D49B5" w:rsidP="005F78EF"/>
          <w:p w14:paraId="28DF244E" w14:textId="77777777" w:rsidR="009D49B5" w:rsidRDefault="009D49B5" w:rsidP="005F78EF"/>
          <w:p w14:paraId="13808587" w14:textId="77777777" w:rsidR="009D49B5" w:rsidRDefault="009D49B5" w:rsidP="005F78EF"/>
          <w:p w14:paraId="448F4091" w14:textId="77777777" w:rsidR="009D49B5" w:rsidRDefault="009D49B5" w:rsidP="005F78EF"/>
          <w:p w14:paraId="46ACE12D" w14:textId="77777777" w:rsidR="009D49B5" w:rsidRDefault="009D49B5" w:rsidP="005F78EF"/>
          <w:p w14:paraId="714767C4" w14:textId="77777777" w:rsidR="009D49B5" w:rsidRDefault="009D49B5" w:rsidP="005F78EF"/>
          <w:p w14:paraId="5B64C409" w14:textId="77777777" w:rsidR="009D49B5" w:rsidRDefault="009D49B5" w:rsidP="005F78EF"/>
          <w:p w14:paraId="43C17499" w14:textId="77777777" w:rsidR="009D49B5" w:rsidRDefault="009D49B5" w:rsidP="005F78EF"/>
          <w:p w14:paraId="6FA2D790" w14:textId="77777777" w:rsidR="009D49B5" w:rsidRDefault="009D49B5" w:rsidP="005F78EF"/>
          <w:p w14:paraId="5534A22D" w14:textId="77777777" w:rsidR="009D49B5" w:rsidRDefault="009D49B5" w:rsidP="005F78EF"/>
          <w:p w14:paraId="5F3E83B8" w14:textId="77777777" w:rsidR="009D49B5" w:rsidRDefault="009D49B5" w:rsidP="005F78EF"/>
          <w:p w14:paraId="26566EFA" w14:textId="77777777" w:rsidR="009D49B5" w:rsidRDefault="009D49B5" w:rsidP="005F78EF"/>
          <w:p w14:paraId="0E391F6B" w14:textId="77777777" w:rsidR="00726069" w:rsidRDefault="00726069" w:rsidP="005F78EF"/>
          <w:p w14:paraId="7917657C" w14:textId="77777777" w:rsidR="00726069" w:rsidRDefault="00726069" w:rsidP="005F78EF"/>
          <w:p w14:paraId="12C397EF" w14:textId="77777777" w:rsidR="00726069" w:rsidRDefault="00726069" w:rsidP="005F78EF"/>
          <w:p w14:paraId="6ACAD06F" w14:textId="77777777" w:rsidR="00726069" w:rsidRDefault="00726069" w:rsidP="005F78EF"/>
          <w:p w14:paraId="6210E47E" w14:textId="77777777" w:rsidR="00726069" w:rsidRDefault="00726069" w:rsidP="005F78EF"/>
          <w:p w14:paraId="5E672C44" w14:textId="77777777" w:rsidR="00726069" w:rsidRDefault="00726069" w:rsidP="005F78EF"/>
          <w:p w14:paraId="7973982E" w14:textId="77777777" w:rsidR="00726069" w:rsidRDefault="00726069" w:rsidP="005F78EF"/>
          <w:p w14:paraId="1D185A4D" w14:textId="77777777" w:rsidR="00726069" w:rsidRDefault="00726069" w:rsidP="005F78EF"/>
          <w:p w14:paraId="07C9FD62" w14:textId="77777777" w:rsidR="00726069" w:rsidRDefault="00726069" w:rsidP="005F78EF"/>
          <w:p w14:paraId="5529C8BC" w14:textId="77777777" w:rsidR="00726069" w:rsidRDefault="00726069" w:rsidP="005F78EF"/>
          <w:p w14:paraId="6CEE419D" w14:textId="77777777" w:rsidR="00302A1E" w:rsidRPr="00563718" w:rsidRDefault="00302A1E" w:rsidP="005F78EF"/>
        </w:tc>
      </w:tr>
    </w:tbl>
    <w:p w14:paraId="2402429C" w14:textId="5B64D7B3" w:rsidR="009D49B5" w:rsidRDefault="009D49B5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lastRenderedPageBreak/>
        <w:br w:type="page"/>
      </w:r>
    </w:p>
    <w:p w14:paraId="03448B02" w14:textId="50F96E6E" w:rsidR="004018F1" w:rsidRPr="00BD409C" w:rsidRDefault="009D49B5" w:rsidP="00BD409C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</w:rPr>
        <w:lastRenderedPageBreak/>
        <w:t>3</w:t>
      </w:r>
      <w:r w:rsidR="00BD409C">
        <w:rPr>
          <w:b/>
          <w:color w:val="1F4E79" w:themeColor="accent1" w:themeShade="80"/>
          <w:sz w:val="26"/>
          <w:szCs w:val="26"/>
        </w:rPr>
        <w:t xml:space="preserve">. </w:t>
      </w:r>
      <w:r w:rsidR="00BD409C">
        <w:rPr>
          <w:b/>
          <w:color w:val="1F4E79" w:themeColor="accent1" w:themeShade="80"/>
          <w:sz w:val="26"/>
          <w:szCs w:val="26"/>
        </w:rPr>
        <w:tab/>
      </w:r>
      <w:r w:rsidR="005311A1">
        <w:rPr>
          <w:b/>
          <w:color w:val="1F4E79" w:themeColor="accent1" w:themeShade="80"/>
          <w:sz w:val="26"/>
          <w:szCs w:val="26"/>
          <w:lang w:val="sr-Cyrl-RS"/>
        </w:rPr>
        <w:t>Основне предузетничке компетенције из области „</w:t>
      </w:r>
      <w:proofErr w:type="gramStart"/>
      <w:r w:rsidR="005311A1">
        <w:rPr>
          <w:b/>
          <w:color w:val="1F4E79" w:themeColor="accent1" w:themeShade="80"/>
          <w:sz w:val="26"/>
          <w:szCs w:val="26"/>
          <w:lang w:val="sr-Cyrl-RS"/>
        </w:rPr>
        <w:t>Ресурси“ и</w:t>
      </w:r>
      <w:proofErr w:type="gramEnd"/>
      <w:r w:rsidR="005311A1">
        <w:rPr>
          <w:b/>
          <w:color w:val="1F4E79" w:themeColor="accent1" w:themeShade="80"/>
          <w:sz w:val="26"/>
          <w:szCs w:val="26"/>
          <w:lang w:val="sr-Cyrl-RS"/>
        </w:rPr>
        <w:t xml:space="preserve"> „Напред у акцију“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8F1" w:rsidRPr="00563718" w14:paraId="311E72CC" w14:textId="77777777" w:rsidTr="004018F1">
        <w:tc>
          <w:tcPr>
            <w:tcW w:w="9016" w:type="dxa"/>
          </w:tcPr>
          <w:p w14:paraId="236B9B61" w14:textId="044A789C" w:rsidR="005311A1" w:rsidRDefault="005311A1" w:rsidP="005311A1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>Наведите које компетенције подстичете а које су одраз оних које потпадају под област „</w:t>
            </w:r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 xml:space="preserve"> Расурси“ и/или „Напред у акцију</w:t>
            </w:r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 xml:space="preserve">“ из Европског оквира предузетничких компетенција. </w:t>
            </w:r>
          </w:p>
          <w:p w14:paraId="2A27ABE4" w14:textId="77777777" w:rsidR="009D49B5" w:rsidRDefault="009D49B5" w:rsidP="009D49B5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1EF97B94" w14:textId="77777777" w:rsidR="009D49B5" w:rsidRDefault="009D49B5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6BAD229F" w14:textId="77777777" w:rsidR="009D49B5" w:rsidRDefault="009D49B5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19B1D29D" w14:textId="13B34DEC" w:rsidR="003A4337" w:rsidRDefault="003A4337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6E281B7C" w14:textId="77777777" w:rsidR="003A4337" w:rsidRDefault="003A4337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57308344" w14:textId="77777777" w:rsidR="003A4337" w:rsidRDefault="003A4337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2029D4DA" w14:textId="77777777" w:rsidR="003A4337" w:rsidRDefault="003A4337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71D8C48A" w14:textId="77777777" w:rsidR="003A4337" w:rsidRDefault="003A4337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36EC0321" w14:textId="77777777" w:rsidR="003A4337" w:rsidRDefault="003A4337" w:rsidP="00302A1E">
            <w:pPr>
              <w:rPr>
                <w:i/>
                <w:color w:val="1F4E79" w:themeColor="accent1" w:themeShade="80"/>
                <w:sz w:val="18"/>
                <w:szCs w:val="18"/>
              </w:rPr>
            </w:pPr>
          </w:p>
          <w:p w14:paraId="534329DD" w14:textId="77777777" w:rsidR="005311A1" w:rsidRPr="00726069" w:rsidRDefault="005311A1" w:rsidP="005311A1">
            <w:pPr>
              <w:rPr>
                <w:i/>
                <w:color w:val="1F4E79" w:themeColor="accent1" w:themeShade="80"/>
                <w:sz w:val="18"/>
                <w:szCs w:val="18"/>
              </w:rPr>
            </w:pPr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>Наведите пример (један или више) исхода учења за дате компетенцие (не више од 100 речи)</w:t>
            </w:r>
            <w:r w:rsidRPr="00726069">
              <w:rPr>
                <w:i/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14:paraId="75D6B532" w14:textId="77777777" w:rsidR="00302A1E" w:rsidRPr="0046605A" w:rsidRDefault="00302A1E" w:rsidP="005F78EF">
            <w:pPr>
              <w:rPr>
                <w:i/>
                <w:color w:val="1F4E79" w:themeColor="accent1" w:themeShade="80"/>
              </w:rPr>
            </w:pPr>
          </w:p>
          <w:p w14:paraId="48F240A4" w14:textId="77777777" w:rsidR="00302A1E" w:rsidRPr="0046605A" w:rsidRDefault="00302A1E" w:rsidP="005F78EF">
            <w:pPr>
              <w:rPr>
                <w:i/>
                <w:color w:val="1F4E79" w:themeColor="accent1" w:themeShade="80"/>
              </w:rPr>
            </w:pPr>
          </w:p>
          <w:p w14:paraId="10A6A8A0" w14:textId="77777777" w:rsidR="00302A1E" w:rsidRPr="0046605A" w:rsidRDefault="00302A1E" w:rsidP="005F78EF">
            <w:pPr>
              <w:rPr>
                <w:i/>
                <w:color w:val="1F4E79" w:themeColor="accent1" w:themeShade="80"/>
              </w:rPr>
            </w:pPr>
          </w:p>
          <w:p w14:paraId="649FBBD1" w14:textId="77777777" w:rsidR="00302A1E" w:rsidRPr="0046605A" w:rsidRDefault="00302A1E" w:rsidP="005F78EF">
            <w:pPr>
              <w:rPr>
                <w:i/>
                <w:color w:val="1F4E79" w:themeColor="accent1" w:themeShade="80"/>
              </w:rPr>
            </w:pPr>
          </w:p>
          <w:p w14:paraId="5EF53BE2" w14:textId="77777777" w:rsidR="00021F8A" w:rsidRPr="0046605A" w:rsidRDefault="00021F8A" w:rsidP="005F78EF">
            <w:pPr>
              <w:rPr>
                <w:i/>
                <w:color w:val="1F4E79" w:themeColor="accent1" w:themeShade="80"/>
              </w:rPr>
            </w:pPr>
          </w:p>
          <w:p w14:paraId="010729B8" w14:textId="77777777" w:rsidR="00021F8A" w:rsidRPr="0046605A" w:rsidRDefault="00021F8A" w:rsidP="005F78EF">
            <w:pPr>
              <w:rPr>
                <w:i/>
                <w:color w:val="1F4E79" w:themeColor="accent1" w:themeShade="80"/>
              </w:rPr>
            </w:pPr>
          </w:p>
          <w:p w14:paraId="0AD81871" w14:textId="77777777" w:rsidR="00021F8A" w:rsidRPr="0046605A" w:rsidRDefault="00021F8A" w:rsidP="005F78EF">
            <w:pPr>
              <w:rPr>
                <w:i/>
                <w:color w:val="1F4E79" w:themeColor="accent1" w:themeShade="80"/>
              </w:rPr>
            </w:pPr>
          </w:p>
          <w:p w14:paraId="1F2E5B0E" w14:textId="77777777" w:rsidR="00021F8A" w:rsidRPr="0046605A" w:rsidRDefault="00021F8A" w:rsidP="005F78EF">
            <w:pPr>
              <w:rPr>
                <w:i/>
                <w:color w:val="1F4E79" w:themeColor="accent1" w:themeShade="80"/>
              </w:rPr>
            </w:pPr>
          </w:p>
          <w:p w14:paraId="5067E94F" w14:textId="77777777" w:rsidR="00302A1E" w:rsidRPr="0046605A" w:rsidRDefault="00302A1E" w:rsidP="005F78EF">
            <w:pPr>
              <w:rPr>
                <w:i/>
                <w:color w:val="1F4E79" w:themeColor="accent1" w:themeShade="80"/>
              </w:rPr>
            </w:pPr>
          </w:p>
          <w:p w14:paraId="3D6E6D41" w14:textId="77777777" w:rsidR="00021F8A" w:rsidRPr="0046605A" w:rsidRDefault="00021F8A" w:rsidP="005F78EF">
            <w:pPr>
              <w:rPr>
                <w:i/>
                <w:color w:val="1F4E79" w:themeColor="accent1" w:themeShade="80"/>
              </w:rPr>
            </w:pPr>
          </w:p>
          <w:p w14:paraId="506227D6" w14:textId="77777777" w:rsidR="00021F8A" w:rsidRDefault="00021F8A" w:rsidP="005F78EF">
            <w:pPr>
              <w:rPr>
                <w:i/>
                <w:color w:val="1F4E79" w:themeColor="accent1" w:themeShade="80"/>
              </w:rPr>
            </w:pPr>
          </w:p>
          <w:p w14:paraId="40151967" w14:textId="0F081EC8" w:rsidR="00726069" w:rsidRDefault="00726069" w:rsidP="005F78EF">
            <w:pPr>
              <w:rPr>
                <w:i/>
                <w:color w:val="1F4E79" w:themeColor="accent1" w:themeShade="80"/>
              </w:rPr>
            </w:pPr>
          </w:p>
          <w:p w14:paraId="7CA3D63A" w14:textId="77777777" w:rsidR="005311A1" w:rsidRDefault="005311A1" w:rsidP="005311A1">
            <w:r>
              <w:rPr>
                <w:i/>
                <w:color w:val="1F4E79" w:themeColor="accent1" w:themeShade="80"/>
                <w:sz w:val="18"/>
                <w:szCs w:val="18"/>
                <w:lang w:val="sr-Cyrl-RS"/>
              </w:rPr>
              <w:t xml:space="preserve">Опишите приступе у настави и учењу који се примењују да би се постигли исходи учења (не више од 200 речи). </w:t>
            </w:r>
          </w:p>
          <w:p w14:paraId="345E6010" w14:textId="77777777" w:rsidR="005311A1" w:rsidRDefault="005311A1" w:rsidP="005311A1"/>
          <w:p w14:paraId="519CAA86" w14:textId="77777777" w:rsidR="00021F8A" w:rsidRPr="00563718" w:rsidRDefault="00021F8A" w:rsidP="005F78EF">
            <w:pPr>
              <w:rPr>
                <w:i/>
              </w:rPr>
            </w:pPr>
          </w:p>
          <w:p w14:paraId="0246C68D" w14:textId="77777777" w:rsidR="00021F8A" w:rsidRPr="00563718" w:rsidRDefault="00021F8A" w:rsidP="005F78EF">
            <w:pPr>
              <w:rPr>
                <w:i/>
              </w:rPr>
            </w:pPr>
          </w:p>
          <w:p w14:paraId="703BC9F7" w14:textId="77777777" w:rsidR="00021F8A" w:rsidRPr="00563718" w:rsidRDefault="00021F8A" w:rsidP="005F78EF">
            <w:pPr>
              <w:rPr>
                <w:i/>
              </w:rPr>
            </w:pPr>
          </w:p>
          <w:p w14:paraId="40BFF228" w14:textId="77777777" w:rsidR="00021F8A" w:rsidRPr="00563718" w:rsidRDefault="00021F8A" w:rsidP="005F78EF">
            <w:pPr>
              <w:rPr>
                <w:i/>
              </w:rPr>
            </w:pPr>
          </w:p>
          <w:p w14:paraId="1EB9C8D1" w14:textId="77777777" w:rsidR="00021F8A" w:rsidRPr="00563718" w:rsidRDefault="00021F8A" w:rsidP="005F78EF">
            <w:pPr>
              <w:rPr>
                <w:i/>
              </w:rPr>
            </w:pPr>
          </w:p>
          <w:p w14:paraId="5859BD0F" w14:textId="77777777" w:rsidR="00021F8A" w:rsidRPr="00563718" w:rsidRDefault="00021F8A" w:rsidP="005F78EF">
            <w:pPr>
              <w:rPr>
                <w:i/>
              </w:rPr>
            </w:pPr>
          </w:p>
          <w:p w14:paraId="05B6DF11" w14:textId="77777777" w:rsidR="004018F1" w:rsidRPr="00563718" w:rsidRDefault="004018F1" w:rsidP="005F78EF"/>
          <w:p w14:paraId="539830E5" w14:textId="77777777" w:rsidR="004018F1" w:rsidRPr="00563718" w:rsidRDefault="004018F1" w:rsidP="005F78EF"/>
          <w:p w14:paraId="109890FE" w14:textId="77777777" w:rsidR="004018F1" w:rsidRPr="00563718" w:rsidRDefault="004018F1" w:rsidP="005F78EF"/>
          <w:p w14:paraId="47FF24E8" w14:textId="77777777" w:rsidR="004018F1" w:rsidRPr="00563718" w:rsidRDefault="004018F1" w:rsidP="005F78EF"/>
          <w:p w14:paraId="2237C0CF" w14:textId="77777777" w:rsidR="004018F1" w:rsidRPr="00563718" w:rsidRDefault="004018F1" w:rsidP="00302A1E">
            <w:pPr>
              <w:spacing w:after="160" w:line="259" w:lineRule="auto"/>
            </w:pPr>
          </w:p>
          <w:p w14:paraId="4FEC8796" w14:textId="77777777" w:rsidR="004018F1" w:rsidRPr="00563718" w:rsidRDefault="004018F1" w:rsidP="005F78EF"/>
          <w:p w14:paraId="401A5CC9" w14:textId="77777777" w:rsidR="004018F1" w:rsidRPr="00563718" w:rsidRDefault="004018F1" w:rsidP="005F78EF"/>
          <w:p w14:paraId="4E6655F3" w14:textId="77777777" w:rsidR="004018F1" w:rsidRPr="00563718" w:rsidRDefault="004018F1" w:rsidP="005F78EF"/>
          <w:p w14:paraId="46FC1754" w14:textId="77777777" w:rsidR="004018F1" w:rsidRPr="00563718" w:rsidRDefault="004018F1" w:rsidP="004018F1"/>
          <w:p w14:paraId="5017D95E" w14:textId="77777777" w:rsidR="00302A1E" w:rsidRPr="00563718" w:rsidRDefault="00302A1E" w:rsidP="004018F1"/>
          <w:p w14:paraId="3DFABB8C" w14:textId="77777777" w:rsidR="00302A1E" w:rsidRPr="00563718" w:rsidRDefault="00302A1E" w:rsidP="004018F1"/>
          <w:p w14:paraId="56F9BFE0" w14:textId="77777777" w:rsidR="00021F8A" w:rsidRPr="00563718" w:rsidRDefault="00021F8A" w:rsidP="004018F1"/>
          <w:p w14:paraId="4642E24B" w14:textId="77777777" w:rsidR="00021F8A" w:rsidRDefault="00021F8A" w:rsidP="004018F1"/>
          <w:p w14:paraId="0EF042FF" w14:textId="77777777" w:rsidR="00CD52C5" w:rsidRDefault="00CD52C5" w:rsidP="004018F1"/>
          <w:p w14:paraId="3246EBC2" w14:textId="77777777" w:rsidR="00CD52C5" w:rsidRDefault="00CD52C5" w:rsidP="004018F1"/>
          <w:p w14:paraId="69A30AF7" w14:textId="77777777" w:rsidR="00BF69D6" w:rsidRDefault="00BF69D6" w:rsidP="004018F1"/>
          <w:p w14:paraId="64154CD9" w14:textId="77777777" w:rsidR="00CD52C5" w:rsidRDefault="00CD52C5" w:rsidP="004018F1"/>
          <w:p w14:paraId="2EE883C4" w14:textId="77777777" w:rsidR="00BF69D6" w:rsidRDefault="00BF69D6" w:rsidP="004018F1"/>
          <w:p w14:paraId="20320503" w14:textId="77777777" w:rsidR="00CD52C5" w:rsidRDefault="00CD52C5" w:rsidP="004018F1"/>
          <w:p w14:paraId="39F7184F" w14:textId="77777777" w:rsidR="00CD52C5" w:rsidRDefault="00CD52C5" w:rsidP="004018F1"/>
          <w:p w14:paraId="4BDC2C88" w14:textId="6052B458" w:rsidR="009D49B5" w:rsidRDefault="009D49B5" w:rsidP="004018F1"/>
          <w:p w14:paraId="10EEB83B" w14:textId="6D4EFD48" w:rsidR="001B1A30" w:rsidRPr="00563718" w:rsidRDefault="001B1A30" w:rsidP="009D49B5"/>
        </w:tc>
      </w:tr>
    </w:tbl>
    <w:p w14:paraId="204FA69B" w14:textId="77777777" w:rsidR="00D345F4" w:rsidRPr="00D345F4" w:rsidRDefault="00D345F4" w:rsidP="00D345F4">
      <w:pPr>
        <w:spacing w:after="0"/>
        <w:rPr>
          <w:b/>
          <w:color w:val="1F4E79" w:themeColor="accent1" w:themeShade="80"/>
          <w:sz w:val="26"/>
          <w:szCs w:val="26"/>
        </w:rPr>
      </w:pPr>
    </w:p>
    <w:p w14:paraId="6F838087" w14:textId="22CC9C79" w:rsidR="009D49B5" w:rsidRDefault="00D345F4" w:rsidP="00D345F4">
      <w:r>
        <w:t xml:space="preserve"> </w:t>
      </w:r>
      <w:r w:rsidR="009D49B5">
        <w:br w:type="page"/>
      </w:r>
    </w:p>
    <w:p w14:paraId="4DE4AD37" w14:textId="6A07FFE2" w:rsidR="00CC21EE" w:rsidRPr="00CC21EE" w:rsidRDefault="005311A1" w:rsidP="00CC21EE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  <w:lang w:val="sr-Cyrl-RS"/>
        </w:rPr>
        <w:lastRenderedPageBreak/>
        <w:t>АНЕКС</w:t>
      </w:r>
      <w:r w:rsidR="00CC21EE" w:rsidRPr="00CC21EE">
        <w:rPr>
          <w:b/>
          <w:color w:val="1F4E79" w:themeColor="accent1" w:themeShade="80"/>
          <w:sz w:val="32"/>
          <w:szCs w:val="32"/>
        </w:rPr>
        <w:t xml:space="preserve"> 1 – </w:t>
      </w:r>
      <w:r>
        <w:rPr>
          <w:b/>
          <w:color w:val="1F4E79" w:themeColor="accent1" w:themeShade="80"/>
          <w:sz w:val="32"/>
          <w:szCs w:val="32"/>
          <w:lang w:val="sr-Cyrl-RS"/>
        </w:rPr>
        <w:t>Преглед компетенција у Европском оквиру предузетничких компетенција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689"/>
        <w:gridCol w:w="6491"/>
      </w:tblGrid>
      <w:tr w:rsidR="00CC21EE" w14:paraId="0044669E" w14:textId="77777777" w:rsidTr="0041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08BC"/>
            <w:vAlign w:val="center"/>
          </w:tcPr>
          <w:p w14:paraId="23C94B59" w14:textId="0D89C709" w:rsidR="00CC21EE" w:rsidRPr="003125E2" w:rsidRDefault="005311A1" w:rsidP="005311A1">
            <w:pPr>
              <w:jc w:val="center"/>
              <w:rPr>
                <w:sz w:val="34"/>
                <w:szCs w:val="34"/>
              </w:rPr>
            </w:pPr>
            <w:r>
              <w:rPr>
                <w:i/>
                <w:sz w:val="34"/>
                <w:szCs w:val="34"/>
                <w:lang w:val="sr-Cyrl-RS"/>
              </w:rPr>
              <w:t>Област компетенције</w:t>
            </w:r>
          </w:p>
        </w:tc>
        <w:tc>
          <w:tcPr>
            <w:tcW w:w="649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2208BC"/>
            <w:vAlign w:val="center"/>
          </w:tcPr>
          <w:p w14:paraId="7C5C6966" w14:textId="619DCD27" w:rsidR="00CC21EE" w:rsidRPr="003125E2" w:rsidRDefault="005311A1" w:rsidP="005311A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  <w:lang w:val="sr-Cyrl-RS"/>
              </w:rPr>
              <w:t>Комптенције</w:t>
            </w:r>
          </w:p>
        </w:tc>
      </w:tr>
      <w:tr w:rsidR="00CC21EE" w14:paraId="733C1A06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tcBorders>
              <w:top w:val="single" w:sz="4" w:space="0" w:color="FFFFFF" w:themeColor="background1"/>
            </w:tcBorders>
            <w:shd w:val="clear" w:color="auto" w:fill="2208BC"/>
            <w:vAlign w:val="center"/>
          </w:tcPr>
          <w:p w14:paraId="63EB767B" w14:textId="388880FF" w:rsidR="00CC21EE" w:rsidRPr="00CC21EE" w:rsidRDefault="005311A1" w:rsidP="005311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Идеје и могућности</w:t>
            </w:r>
          </w:p>
        </w:tc>
        <w:tc>
          <w:tcPr>
            <w:tcW w:w="6491" w:type="dxa"/>
            <w:tcBorders>
              <w:top w:val="single" w:sz="4" w:space="0" w:color="FFFFFF" w:themeColor="background1"/>
            </w:tcBorders>
            <w:vAlign w:val="center"/>
          </w:tcPr>
          <w:p w14:paraId="5B2D4850" w14:textId="48843243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Запажање могућности</w:t>
            </w:r>
          </w:p>
        </w:tc>
      </w:tr>
      <w:tr w:rsidR="00CC21EE" w14:paraId="0BCC1784" w14:textId="77777777" w:rsidTr="004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63BF46C6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3C0AF7AA" w14:textId="3E28C13D" w:rsidR="003125E2" w:rsidRPr="003125E2" w:rsidRDefault="005311A1" w:rsidP="005311A1">
            <w:pPr>
              <w:spacing w:after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Креативност</w:t>
            </w:r>
          </w:p>
        </w:tc>
      </w:tr>
      <w:tr w:rsidR="00CC21EE" w14:paraId="392554B8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2FAEE5DE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63B530FD" w14:textId="31EE9278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Визија</w:t>
            </w:r>
          </w:p>
        </w:tc>
      </w:tr>
      <w:tr w:rsidR="00CC21EE" w14:paraId="56BF1791" w14:textId="77777777" w:rsidTr="004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682FE584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1084EE85" w14:textId="2EB073F8" w:rsidR="003125E2" w:rsidRPr="003125E2" w:rsidRDefault="005311A1" w:rsidP="005311A1">
            <w:pPr>
              <w:spacing w:after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Вредновање идеја</w:t>
            </w:r>
          </w:p>
        </w:tc>
      </w:tr>
      <w:tr w:rsidR="00CC21EE" w14:paraId="68EB5A1B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7BF7F8CD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7310DC96" w14:textId="576A2DD3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Етичко и одрживо размишљање</w:t>
            </w:r>
          </w:p>
        </w:tc>
      </w:tr>
      <w:tr w:rsidR="00CC21EE" w14:paraId="0BE914E8" w14:textId="77777777" w:rsidTr="004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shd w:val="clear" w:color="auto" w:fill="2208BC"/>
            <w:vAlign w:val="center"/>
          </w:tcPr>
          <w:p w14:paraId="27ECA224" w14:textId="44D165F8" w:rsidR="00CC21EE" w:rsidRPr="00CC21EE" w:rsidRDefault="005311A1" w:rsidP="005311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Ресурси</w:t>
            </w:r>
          </w:p>
        </w:tc>
        <w:tc>
          <w:tcPr>
            <w:tcW w:w="6491" w:type="dxa"/>
            <w:vAlign w:val="center"/>
          </w:tcPr>
          <w:p w14:paraId="3C14FADF" w14:textId="74F9A7F9" w:rsidR="003125E2" w:rsidRPr="003125E2" w:rsidRDefault="005311A1" w:rsidP="005311A1">
            <w:pPr>
              <w:spacing w:after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Самосвест и самоефикасност</w:t>
            </w:r>
          </w:p>
        </w:tc>
      </w:tr>
      <w:tr w:rsidR="00CC21EE" w14:paraId="6382D896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07D3BE3C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6135AEE1" w14:textId="30832D19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Мотивација и упорност</w:t>
            </w:r>
          </w:p>
        </w:tc>
      </w:tr>
      <w:tr w:rsidR="00CC21EE" w14:paraId="4F4DDF85" w14:textId="77777777" w:rsidTr="004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2DBBCD15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18B76943" w14:textId="35C0BA62" w:rsidR="003125E2" w:rsidRPr="003125E2" w:rsidRDefault="005311A1" w:rsidP="005311A1">
            <w:pPr>
              <w:spacing w:after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Ангажовање ресурса</w:t>
            </w:r>
          </w:p>
        </w:tc>
      </w:tr>
      <w:tr w:rsidR="00CC21EE" w14:paraId="690B28D5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7984C349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7544BCC8" w14:textId="15C4C3A7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Финансијска и економска писменост</w:t>
            </w:r>
          </w:p>
        </w:tc>
      </w:tr>
      <w:tr w:rsidR="00CC21EE" w14:paraId="5F4EB1F4" w14:textId="77777777" w:rsidTr="004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6C2A6E09" w14:textId="77777777" w:rsidR="00CC21EE" w:rsidRPr="00CC21EE" w:rsidRDefault="00CC21EE" w:rsidP="0041061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491" w:type="dxa"/>
            <w:vAlign w:val="center"/>
          </w:tcPr>
          <w:p w14:paraId="32CC365F" w14:textId="6D8DD386" w:rsidR="003125E2" w:rsidRPr="003125E2" w:rsidRDefault="005311A1" w:rsidP="005311A1">
            <w:pPr>
              <w:spacing w:after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Покретање других на ангажовање</w:t>
            </w:r>
          </w:p>
        </w:tc>
      </w:tr>
      <w:tr w:rsidR="00CC21EE" w14:paraId="24410ADF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shd w:val="clear" w:color="auto" w:fill="2208BC"/>
            <w:vAlign w:val="center"/>
          </w:tcPr>
          <w:p w14:paraId="690DB681" w14:textId="04DFC015" w:rsidR="00CC21EE" w:rsidRPr="00CC21EE" w:rsidRDefault="005311A1" w:rsidP="005311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Напред у акцију</w:t>
            </w:r>
          </w:p>
        </w:tc>
        <w:tc>
          <w:tcPr>
            <w:tcW w:w="6491" w:type="dxa"/>
            <w:vAlign w:val="center"/>
          </w:tcPr>
          <w:p w14:paraId="4E1F5D09" w14:textId="0511BF67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Предузимање иницијативе</w:t>
            </w:r>
            <w:r w:rsidR="00CC21EE" w:rsidRPr="003125E2">
              <w:rPr>
                <w:sz w:val="32"/>
                <w:szCs w:val="32"/>
              </w:rPr>
              <w:t xml:space="preserve"> </w:t>
            </w:r>
          </w:p>
        </w:tc>
      </w:tr>
      <w:tr w:rsidR="00CC21EE" w14:paraId="7535C03D" w14:textId="77777777" w:rsidTr="004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6E4AD65D" w14:textId="77777777" w:rsidR="00CC21EE" w:rsidRDefault="00CC21EE" w:rsidP="0041061A">
            <w:pPr>
              <w:jc w:val="center"/>
            </w:pPr>
          </w:p>
        </w:tc>
        <w:tc>
          <w:tcPr>
            <w:tcW w:w="6491" w:type="dxa"/>
            <w:vAlign w:val="center"/>
          </w:tcPr>
          <w:p w14:paraId="480EA752" w14:textId="5E0A5AC5" w:rsidR="003125E2" w:rsidRPr="003125E2" w:rsidRDefault="005311A1" w:rsidP="005311A1">
            <w:pPr>
              <w:spacing w:after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Планирање и руковођење</w:t>
            </w:r>
            <w:r w:rsidR="00CC21EE" w:rsidRPr="003125E2">
              <w:rPr>
                <w:sz w:val="32"/>
                <w:szCs w:val="32"/>
              </w:rPr>
              <w:t xml:space="preserve"> </w:t>
            </w:r>
          </w:p>
        </w:tc>
      </w:tr>
      <w:tr w:rsidR="00CC21EE" w14:paraId="0B24A58F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2A1CE0FE" w14:textId="77777777" w:rsidR="00CC21EE" w:rsidRDefault="00CC21EE" w:rsidP="0041061A">
            <w:pPr>
              <w:jc w:val="center"/>
            </w:pPr>
          </w:p>
        </w:tc>
        <w:tc>
          <w:tcPr>
            <w:tcW w:w="6491" w:type="dxa"/>
            <w:vAlign w:val="center"/>
          </w:tcPr>
          <w:p w14:paraId="30F03B6E" w14:textId="14134E61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Савладавање неизвесности, несигурности и ризика</w:t>
            </w:r>
            <w:r w:rsidR="00CC21EE" w:rsidRPr="003125E2">
              <w:rPr>
                <w:sz w:val="32"/>
                <w:szCs w:val="32"/>
              </w:rPr>
              <w:t xml:space="preserve"> </w:t>
            </w:r>
          </w:p>
        </w:tc>
      </w:tr>
      <w:tr w:rsidR="00CC21EE" w14:paraId="394D970D" w14:textId="77777777" w:rsidTr="00410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17F01413" w14:textId="77777777" w:rsidR="00CC21EE" w:rsidRDefault="00CC21EE" w:rsidP="0041061A">
            <w:pPr>
              <w:jc w:val="center"/>
            </w:pPr>
          </w:p>
        </w:tc>
        <w:tc>
          <w:tcPr>
            <w:tcW w:w="6491" w:type="dxa"/>
            <w:vAlign w:val="center"/>
          </w:tcPr>
          <w:p w14:paraId="703EEE6C" w14:textId="771307DA" w:rsidR="003125E2" w:rsidRPr="003125E2" w:rsidRDefault="005311A1" w:rsidP="005311A1">
            <w:pPr>
              <w:spacing w:after="4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Сарадња са другима</w:t>
            </w:r>
            <w:r w:rsidR="00CC21EE" w:rsidRPr="003125E2">
              <w:rPr>
                <w:sz w:val="32"/>
                <w:szCs w:val="32"/>
              </w:rPr>
              <w:t xml:space="preserve"> </w:t>
            </w:r>
          </w:p>
        </w:tc>
      </w:tr>
      <w:tr w:rsidR="00CC21EE" w14:paraId="2E4B39E6" w14:textId="77777777" w:rsidTr="00410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2208BC"/>
            <w:vAlign w:val="center"/>
          </w:tcPr>
          <w:p w14:paraId="70A8A443" w14:textId="77777777" w:rsidR="00CC21EE" w:rsidRDefault="00CC21EE" w:rsidP="0041061A">
            <w:pPr>
              <w:jc w:val="center"/>
            </w:pPr>
          </w:p>
        </w:tc>
        <w:tc>
          <w:tcPr>
            <w:tcW w:w="6491" w:type="dxa"/>
            <w:vAlign w:val="center"/>
          </w:tcPr>
          <w:p w14:paraId="10B296AE" w14:textId="205150B2" w:rsidR="003125E2" w:rsidRPr="003125E2" w:rsidRDefault="005311A1" w:rsidP="005311A1">
            <w:pPr>
              <w:spacing w:after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Учење из искуства</w:t>
            </w:r>
          </w:p>
        </w:tc>
      </w:tr>
    </w:tbl>
    <w:p w14:paraId="16F8F83C" w14:textId="0A44343A" w:rsidR="00CC21EE" w:rsidRDefault="00CC21EE" w:rsidP="00CC21EE"/>
    <w:p w14:paraId="045AFCC7" w14:textId="683CCFF5" w:rsidR="00CC21EE" w:rsidRDefault="00CC21EE" w:rsidP="008A5CA2">
      <w:pPr>
        <w:rPr>
          <w:b/>
          <w:color w:val="1F4E79" w:themeColor="accent1" w:themeShade="80"/>
          <w:sz w:val="32"/>
          <w:szCs w:val="32"/>
        </w:rPr>
      </w:pPr>
      <w:r>
        <w:br w:type="page"/>
      </w:r>
      <w:r>
        <w:rPr>
          <w:b/>
          <w:color w:val="1F4E79" w:themeColor="accent1" w:themeShade="80"/>
          <w:sz w:val="32"/>
          <w:szCs w:val="32"/>
        </w:rPr>
        <w:lastRenderedPageBreak/>
        <w:t>A</w:t>
      </w:r>
      <w:r w:rsidR="005311A1">
        <w:rPr>
          <w:b/>
          <w:color w:val="1F4E79" w:themeColor="accent1" w:themeShade="80"/>
          <w:sz w:val="32"/>
          <w:szCs w:val="32"/>
          <w:lang w:val="sr-Cyrl-RS"/>
        </w:rPr>
        <w:t>некс</w:t>
      </w:r>
      <w:r>
        <w:rPr>
          <w:b/>
          <w:color w:val="1F4E79" w:themeColor="accent1" w:themeShade="80"/>
          <w:sz w:val="32"/>
          <w:szCs w:val="32"/>
        </w:rPr>
        <w:t xml:space="preserve"> 2</w:t>
      </w:r>
    </w:p>
    <w:p w14:paraId="72BBA39E" w14:textId="4D23EC0A" w:rsidR="008A5CA2" w:rsidRPr="008A5CA2" w:rsidRDefault="00AA2256" w:rsidP="008A5CA2">
      <w:pPr>
        <w:rPr>
          <w:b/>
          <w:color w:val="1F4E79" w:themeColor="accent1" w:themeShade="80"/>
          <w:sz w:val="32"/>
          <w:szCs w:val="32"/>
        </w:rPr>
      </w:pPr>
      <w:r>
        <w:rPr>
          <w:b/>
          <w:color w:val="1F4E79" w:themeColor="accent1" w:themeShade="80"/>
          <w:sz w:val="32"/>
          <w:szCs w:val="32"/>
          <w:lang w:val="sr-Cyrl-RS"/>
        </w:rPr>
        <w:t>ДЕКЛАРАЦИЈА О ЗАШТИТИ ПОДА5ТКА ЗА ПОДНОСИОЦЕ ОБРАСЦА ПРИЈАВЕ КОЈИ УЧЕСТВУЈУ У ПОЗИВУ ЗА ПРИКУПЉАЊЕ ПРИМЕРА ДОБРЕ ПРАКСЕ</w:t>
      </w:r>
    </w:p>
    <w:p w14:paraId="2380D35F" w14:textId="3BBD9D72" w:rsidR="008A5CA2" w:rsidRPr="008A5CA2" w:rsidRDefault="00523A01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Контекст</w:t>
      </w:r>
    </w:p>
    <w:p w14:paraId="20399770" w14:textId="7941880E" w:rsidR="008A5CA2" w:rsidRDefault="00523A01" w:rsidP="008A5CA2">
      <w:r>
        <w:rPr>
          <w:lang w:val="sr-Cyrl-RS"/>
        </w:rPr>
        <w:t xml:space="preserve">ЕТФ расписује позив за достављање примера добре праксе у </w:t>
      </w:r>
      <w:r w:rsidR="00B86780">
        <w:rPr>
          <w:lang w:val="sr-Cyrl-RS"/>
        </w:rPr>
        <w:t>настави о предузетништву</w:t>
      </w:r>
      <w:r>
        <w:rPr>
          <w:lang w:val="sr-Cyrl-RS"/>
        </w:rPr>
        <w:t xml:space="preserve"> са циљем да се изаберу један или више програма оспособљавања који ће бити ширени као примери добре праксе у датој области. </w:t>
      </w:r>
    </w:p>
    <w:p w14:paraId="5C7378CE" w14:textId="2B218019" w:rsidR="008A5CA2" w:rsidRDefault="00B86780" w:rsidP="008A5CA2">
      <w:r>
        <w:rPr>
          <w:lang w:val="sr-Cyrl-RS"/>
        </w:rPr>
        <w:t xml:space="preserve">У контексту позива ће се са свим подацима о личности поступати у складу са Уредбом (ЕЗ) бр. </w:t>
      </w:r>
      <w:r w:rsidR="008A5CA2">
        <w:t xml:space="preserve">45/2001 </w:t>
      </w:r>
      <w:r>
        <w:rPr>
          <w:lang w:val="sr-Cyrl-RS"/>
        </w:rPr>
        <w:t xml:space="preserve">Европског парламента и Савета од 18. децембра 2000. о заштити лица у вези са обрадом података о личности у институцијама и телима Заједнице и њиховом слободном кретању, у даљем тексту Уредба </w:t>
      </w:r>
    </w:p>
    <w:p w14:paraId="54EE5DDD" w14:textId="0CAC9C36" w:rsidR="008A5CA2" w:rsidRDefault="00B86780" w:rsidP="008A5CA2">
      <w:r>
        <w:rPr>
          <w:lang w:val="sr-Cyrl-RS"/>
        </w:rPr>
        <w:t>У складу са члановима 11 и 12 Уредбе, ЕТФ о обради података даје следеће информације</w:t>
      </w:r>
      <w:r w:rsidR="008A5CA2">
        <w:t>.</w:t>
      </w:r>
    </w:p>
    <w:p w14:paraId="5793B7C2" w14:textId="064FE3D9" w:rsidR="008A5CA2" w:rsidRPr="008A5CA2" w:rsidRDefault="00B86780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Сврха обраде</w:t>
      </w:r>
    </w:p>
    <w:p w14:paraId="58FD6A76" w14:textId="36F018BA" w:rsidR="008A5CA2" w:rsidRDefault="00B86780" w:rsidP="008A5CA2">
      <w:r>
        <w:rPr>
          <w:lang w:val="sr-Cyrl-RS"/>
        </w:rPr>
        <w:t>Сврха обраде</w:t>
      </w:r>
      <w:r w:rsidR="008A5CA2">
        <w:t>:</w:t>
      </w:r>
    </w:p>
    <w:p w14:paraId="0CEA1AAB" w14:textId="22825429" w:rsidR="008A5CA2" w:rsidRDefault="00B86780" w:rsidP="00450643">
      <w:pPr>
        <w:pStyle w:val="ListParagraph"/>
        <w:numPr>
          <w:ilvl w:val="0"/>
          <w:numId w:val="4"/>
        </w:numPr>
      </w:pPr>
      <w:r>
        <w:rPr>
          <w:lang w:val="sr-Cyrl-RS"/>
        </w:rPr>
        <w:t>Логистичко и административно управљање позивом за достављање примера добре праске</w:t>
      </w:r>
    </w:p>
    <w:p w14:paraId="0C0DD7E2" w14:textId="70B1DD4D" w:rsidR="008A5CA2" w:rsidRDefault="00D14F26" w:rsidP="00450643">
      <w:pPr>
        <w:pStyle w:val="ListParagraph"/>
        <w:numPr>
          <w:ilvl w:val="0"/>
          <w:numId w:val="4"/>
        </w:numPr>
      </w:pPr>
      <w:r>
        <w:rPr>
          <w:lang w:val="sr-Cyrl-RS"/>
        </w:rPr>
        <w:t>Дистрибуција</w:t>
      </w:r>
      <w:r w:rsidR="00B86780">
        <w:rPr>
          <w:lang w:val="sr-Cyrl-RS"/>
        </w:rPr>
        <w:t xml:space="preserve"> података о </w:t>
      </w:r>
      <w:r>
        <w:rPr>
          <w:lang w:val="sr-Cyrl-RS"/>
        </w:rPr>
        <w:t>победницима конкурса у штампаним гласилима и на јавној интернет платформи</w:t>
      </w:r>
    </w:p>
    <w:p w14:paraId="0A1FB0B4" w14:textId="31646099" w:rsidR="008A5CA2" w:rsidRPr="008A5CA2" w:rsidRDefault="00D14F26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Подаци о личности</w:t>
      </w:r>
    </w:p>
    <w:p w14:paraId="7CCA9452" w14:textId="7CB24894" w:rsidR="008A5CA2" w:rsidRDefault="00D14F26" w:rsidP="008A5CA2">
      <w:r>
        <w:rPr>
          <w:lang w:val="sr-Cyrl-RS"/>
        </w:rPr>
        <w:t>Подаци о личности који се прикупљају и даље обрађују</w:t>
      </w:r>
      <w:r w:rsidR="008A5CA2">
        <w:t>:</w:t>
      </w:r>
    </w:p>
    <w:p w14:paraId="02A91111" w14:textId="57CE1575" w:rsidR="008A5CA2" w:rsidRDefault="00D14F26" w:rsidP="00450643">
      <w:pPr>
        <w:pStyle w:val="ListParagraph"/>
        <w:numPr>
          <w:ilvl w:val="0"/>
          <w:numId w:val="5"/>
        </w:numPr>
      </w:pPr>
      <w:r>
        <w:rPr>
          <w:lang w:val="sr-Cyrl-RS"/>
        </w:rPr>
        <w:t>Име и презиме и контакт подаци (адреса, емаил, телефон) лица које представља стручну школу или центар за обуку који учествују у конкурсу и лице које представља са њима повезаног креатора политике</w:t>
      </w:r>
    </w:p>
    <w:p w14:paraId="2B0075A5" w14:textId="30F259F4" w:rsidR="008A5CA2" w:rsidRDefault="00D14F26" w:rsidP="008A5CA2">
      <w:r>
        <w:rPr>
          <w:lang w:val="sr-Cyrl-RS"/>
        </w:rPr>
        <w:t>Подаци се достављају у обрасцу пријаве</w:t>
      </w:r>
      <w:r w:rsidR="008A5CA2">
        <w:t>.</w:t>
      </w:r>
    </w:p>
    <w:p w14:paraId="4BAE04D3" w14:textId="4B67F465" w:rsidR="008A5CA2" w:rsidRDefault="00D14F26" w:rsidP="008A5CA2">
      <w:r>
        <w:rPr>
          <w:lang w:val="sr-Cyrl-RS"/>
        </w:rPr>
        <w:t xml:space="preserve">Подаци се подносе на добровољној основи. У одсуству ових података, у позиву се користе општи контакт подаци о организатору обуке.  </w:t>
      </w:r>
    </w:p>
    <w:p w14:paraId="6DFBE0E0" w14:textId="512EA3B2" w:rsidR="008A5CA2" w:rsidRPr="008A5CA2" w:rsidRDefault="00D14F26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Правни основ</w:t>
      </w:r>
    </w:p>
    <w:p w14:paraId="72EEE37D" w14:textId="6D19ADB2" w:rsidR="008A5CA2" w:rsidRDefault="00D14F26" w:rsidP="008A5CA2">
      <w:r>
        <w:rPr>
          <w:lang w:val="sr-Cyrl-RS"/>
        </w:rPr>
        <w:t>Правни основ за обраду податка о личности</w:t>
      </w:r>
      <w:r w:rsidR="008A5CA2">
        <w:t>:</w:t>
      </w:r>
    </w:p>
    <w:p w14:paraId="519A24D3" w14:textId="7FDBCEEA" w:rsidR="008A5CA2" w:rsidRDefault="00D14F26" w:rsidP="00C32080">
      <w:pPr>
        <w:pStyle w:val="ListParagraph"/>
        <w:numPr>
          <w:ilvl w:val="0"/>
          <w:numId w:val="5"/>
        </w:numPr>
      </w:pPr>
      <w:r>
        <w:rPr>
          <w:lang w:val="sr-Cyrl-RS"/>
        </w:rPr>
        <w:t>Мандат ЕТФ, члан 1. Циљеви и предмет, (б), члан 2, функције, (ф)</w:t>
      </w:r>
      <w:r w:rsidR="008A5CA2">
        <w:t>.</w:t>
      </w:r>
    </w:p>
    <w:p w14:paraId="21839A94" w14:textId="54358F9A" w:rsidR="008A5CA2" w:rsidRPr="008A5CA2" w:rsidRDefault="00D14F26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Руковалац подацима</w:t>
      </w:r>
    </w:p>
    <w:p w14:paraId="50CDF722" w14:textId="5A5B1E66" w:rsidR="008A5CA2" w:rsidRDefault="00D14F26" w:rsidP="008A5CA2">
      <w:r>
        <w:rPr>
          <w:lang w:val="sr-Cyrl-RS"/>
        </w:rPr>
        <w:t>Директор ЕТФ</w:t>
      </w:r>
      <w:r w:rsidR="00C32080">
        <w:t>.</w:t>
      </w:r>
    </w:p>
    <w:p w14:paraId="6366502E" w14:textId="557FF4CB" w:rsidR="008A5CA2" w:rsidRPr="008A5CA2" w:rsidRDefault="00D14F26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Техничка средства за обраду података</w:t>
      </w:r>
    </w:p>
    <w:p w14:paraId="671EDCEF" w14:textId="62D00592" w:rsidR="008A5CA2" w:rsidRDefault="00D14F26" w:rsidP="008A5CA2">
      <w:r>
        <w:rPr>
          <w:lang w:val="sr-Cyrl-RS"/>
        </w:rPr>
        <w:t>Подаци се обрађују и у штампаној и електронској форми</w:t>
      </w:r>
      <w:r w:rsidR="008A5CA2">
        <w:t>.</w:t>
      </w:r>
    </w:p>
    <w:p w14:paraId="260EB011" w14:textId="6152BEE5" w:rsidR="008A5CA2" w:rsidRPr="008A5CA2" w:rsidRDefault="00D14F26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Корисници податка о личности</w:t>
      </w:r>
    </w:p>
    <w:p w14:paraId="1C853D97" w14:textId="4E18EF53" w:rsidR="008A5CA2" w:rsidRDefault="00D14F26" w:rsidP="008A5CA2">
      <w:r>
        <w:rPr>
          <w:lang w:val="sr-Cyrl-RS"/>
        </w:rPr>
        <w:t>У гореназначене сврхе, достављеним подациам о личности може да приступи</w:t>
      </w:r>
      <w:r w:rsidR="008A5CA2">
        <w:t>:</w:t>
      </w:r>
    </w:p>
    <w:p w14:paraId="3E989349" w14:textId="32EC468F" w:rsidR="008A5CA2" w:rsidRDefault="00D14F26" w:rsidP="008A5CA2">
      <w:pPr>
        <w:pStyle w:val="ListParagraph"/>
        <w:numPr>
          <w:ilvl w:val="0"/>
          <w:numId w:val="3"/>
        </w:numPr>
      </w:pPr>
      <w:r>
        <w:rPr>
          <w:lang w:val="sr-Cyrl-RS"/>
        </w:rPr>
        <w:t xml:space="preserve">Тим ЕТФ-а који руководи позивом и један спољни испитивач који ради на администрацији позива по систему </w:t>
      </w:r>
      <w:r w:rsidR="00F8039D">
        <w:rPr>
          <w:lang w:val="sr-Cyrl-RS"/>
        </w:rPr>
        <w:t>окткривања података само када је то потребноу  мери у којој је потребно</w:t>
      </w:r>
    </w:p>
    <w:p w14:paraId="7E5731A8" w14:textId="31060933" w:rsidR="008A5CA2" w:rsidRDefault="00D14F26" w:rsidP="008A5CA2">
      <w:pPr>
        <w:pStyle w:val="ListParagraph"/>
        <w:numPr>
          <w:ilvl w:val="0"/>
          <w:numId w:val="3"/>
        </w:numPr>
      </w:pPr>
      <w:r>
        <w:rPr>
          <w:lang w:val="sr-Cyrl-RS"/>
        </w:rPr>
        <w:lastRenderedPageBreak/>
        <w:t>Сви учесници ЕТФ-ове платформе о доброј пракси</w:t>
      </w:r>
    </w:p>
    <w:p w14:paraId="7218E793" w14:textId="33EAAD21" w:rsidR="008A5CA2" w:rsidRDefault="00D14F26" w:rsidP="008A5CA2">
      <w:pPr>
        <w:pStyle w:val="ListParagraph"/>
        <w:numPr>
          <w:ilvl w:val="0"/>
          <w:numId w:val="3"/>
        </w:numPr>
      </w:pPr>
      <w:r>
        <w:rPr>
          <w:lang w:val="sr-Cyrl-RS"/>
        </w:rPr>
        <w:t>Целокупна јавност којој се дистрибура информација о примеру добре праксе (само у случају победника)</w:t>
      </w:r>
    </w:p>
    <w:p w14:paraId="7FC7537E" w14:textId="51588CD7" w:rsidR="008758EE" w:rsidRDefault="00D14F26" w:rsidP="008A5CA2">
      <w:pPr>
        <w:pStyle w:val="ListParagraph"/>
        <w:numPr>
          <w:ilvl w:val="0"/>
          <w:numId w:val="3"/>
        </w:numPr>
      </w:pPr>
      <w:r>
        <w:rPr>
          <w:lang w:val="sr-Cyrl-RS"/>
        </w:rPr>
        <w:t>Европска комисија као организатор Европске недеље стручних квалификација 2018. (само у случају победника)</w:t>
      </w:r>
    </w:p>
    <w:p w14:paraId="4078E1D2" w14:textId="3E9D0950" w:rsidR="008A5CA2" w:rsidRDefault="00D14F26" w:rsidP="008A5CA2">
      <w:r>
        <w:rPr>
          <w:lang w:val="sr-Cyrl-RS"/>
        </w:rPr>
        <w:t>ЕТФ неће откривати податке о личности за потребе директног маркетинга или у комерцијалне сврхе</w:t>
      </w:r>
      <w:r w:rsidR="008A5CA2">
        <w:t>.</w:t>
      </w:r>
    </w:p>
    <w:p w14:paraId="787C1305" w14:textId="1EE9F23C" w:rsidR="008A5CA2" w:rsidRDefault="00F8039D" w:rsidP="008A5CA2">
      <w:r>
        <w:rPr>
          <w:lang w:val="sr-Cyrl-RS"/>
        </w:rPr>
        <w:t>Не доводећи у питање могућ пренос органима надлежним за надзор или инспекцију у складу са правом ЕУ или домаћим правом, одређени подаци о личности могу да се обелодане по систему када је то потребно у мери у којој је потребно</w:t>
      </w:r>
      <w:r w:rsidR="008A5CA2">
        <w:t>:</w:t>
      </w:r>
    </w:p>
    <w:p w14:paraId="4AF2AFEF" w14:textId="4633445B" w:rsidR="008A5CA2" w:rsidRDefault="00F8039D" w:rsidP="008A5CA2">
      <w:pPr>
        <w:pStyle w:val="ListParagraph"/>
        <w:numPr>
          <w:ilvl w:val="0"/>
          <w:numId w:val="2"/>
        </w:numPr>
      </w:pPr>
      <w:r>
        <w:rPr>
          <w:lang w:val="sr-Cyrl-RS"/>
        </w:rPr>
        <w:t>Правном саветнику ЕТФ-а</w:t>
      </w:r>
      <w:r w:rsidR="008A5CA2">
        <w:t>,</w:t>
      </w:r>
    </w:p>
    <w:p w14:paraId="5B544D3F" w14:textId="37E85CD1" w:rsidR="008A5CA2" w:rsidRDefault="00F8039D" w:rsidP="008A5CA2">
      <w:pPr>
        <w:pStyle w:val="ListParagraph"/>
        <w:numPr>
          <w:ilvl w:val="0"/>
          <w:numId w:val="2"/>
        </w:numPr>
      </w:pPr>
      <w:r>
        <w:rPr>
          <w:lang w:val="sr-Cyrl-RS"/>
        </w:rPr>
        <w:t>Европском суду правде или правосудном органу у земљи</w:t>
      </w:r>
      <w:r w:rsidR="008A5CA2">
        <w:t>,</w:t>
      </w:r>
    </w:p>
    <w:p w14:paraId="4C245988" w14:textId="3A2C8D9D" w:rsidR="008A5CA2" w:rsidRDefault="00F8039D" w:rsidP="00020F48">
      <w:pPr>
        <w:pStyle w:val="ListParagraph"/>
        <w:numPr>
          <w:ilvl w:val="0"/>
          <w:numId w:val="2"/>
        </w:numPr>
      </w:pPr>
      <w:r>
        <w:rPr>
          <w:lang w:val="sr-Cyrl-RS"/>
        </w:rPr>
        <w:t>Европској служби за борбу против преваре (ОЛАФ)</w:t>
      </w:r>
      <w:r w:rsidR="008A5CA2">
        <w:t>,</w:t>
      </w:r>
    </w:p>
    <w:p w14:paraId="298B829C" w14:textId="589A6B5F" w:rsidR="008A5CA2" w:rsidRDefault="00F8039D" w:rsidP="008A5CA2">
      <w:pPr>
        <w:pStyle w:val="ListParagraph"/>
        <w:numPr>
          <w:ilvl w:val="0"/>
          <w:numId w:val="2"/>
        </w:numPr>
      </w:pPr>
      <w:r>
        <w:rPr>
          <w:lang w:val="sr-Cyrl-RS"/>
        </w:rPr>
        <w:t>Европском заштитнику грађана</w:t>
      </w:r>
      <w:r w:rsidR="008A5CA2">
        <w:t>,</w:t>
      </w:r>
    </w:p>
    <w:p w14:paraId="681E6A18" w14:textId="56ADB747" w:rsidR="008A5CA2" w:rsidRDefault="00F8039D" w:rsidP="008A5CA2">
      <w:pPr>
        <w:pStyle w:val="ListParagraph"/>
        <w:numPr>
          <w:ilvl w:val="0"/>
          <w:numId w:val="2"/>
        </w:numPr>
      </w:pPr>
      <w:r>
        <w:rPr>
          <w:lang w:val="sr-Cyrl-RS"/>
        </w:rPr>
        <w:t>Европском надзорнику за заштиту података</w:t>
      </w:r>
      <w:r w:rsidR="008A5CA2">
        <w:t>,</w:t>
      </w:r>
    </w:p>
    <w:p w14:paraId="71D9093C" w14:textId="5DD67E9C" w:rsidR="008A5CA2" w:rsidRDefault="00F8039D" w:rsidP="008A5CA2">
      <w:pPr>
        <w:pStyle w:val="ListParagraph"/>
        <w:numPr>
          <w:ilvl w:val="0"/>
          <w:numId w:val="2"/>
        </w:numPr>
      </w:pPr>
      <w:r>
        <w:rPr>
          <w:lang w:val="sr-Cyrl-RS"/>
        </w:rPr>
        <w:t>Европском ревизорском суду и инерној ревизорској служби</w:t>
      </w:r>
      <w:r w:rsidR="008A5CA2">
        <w:t>.</w:t>
      </w:r>
    </w:p>
    <w:p w14:paraId="2E443FEE" w14:textId="0B4052F9" w:rsidR="008A5CA2" w:rsidRPr="008A5CA2" w:rsidRDefault="00F8039D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Право приступа, исправке, блокирање и брисања</w:t>
      </w:r>
    </w:p>
    <w:p w14:paraId="0B554E21" w14:textId="09096F22" w:rsidR="008A5CA2" w:rsidRDefault="00F8039D" w:rsidP="008A5CA2">
      <w:r>
        <w:rPr>
          <w:lang w:val="sr-Cyrl-RS"/>
        </w:rPr>
        <w:t xml:space="preserve">Захтев за приступ, исправку, блокирање или брисање података о личности упућивати у писаној фори на руковалац подацима, директор ЕТФ-а : гдин. Ћезаре Онестини, на </w:t>
      </w:r>
      <w:r w:rsidR="00320742">
        <w:t>c</w:t>
      </w:r>
      <w:r w:rsidR="008A5CA2">
        <w:t>e</w:t>
      </w:r>
      <w:r w:rsidR="00320742">
        <w:t>o</w:t>
      </w:r>
      <w:r w:rsidR="008A5CA2">
        <w:t>@etf.europa.eu.</w:t>
      </w:r>
    </w:p>
    <w:p w14:paraId="62A2F219" w14:textId="5BF9983C" w:rsidR="008A5CA2" w:rsidRPr="008A5CA2" w:rsidRDefault="00F8039D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Рокови</w:t>
      </w:r>
    </w:p>
    <w:p w14:paraId="202E8612" w14:textId="7E578109" w:rsidR="008A5CA2" w:rsidRDefault="00F8039D" w:rsidP="008A5CA2">
      <w:r>
        <w:rPr>
          <w:lang w:val="sr-Cyrl-RS"/>
        </w:rPr>
        <w:t xml:space="preserve">Сви образложени и прописни захтеви извршиће се у року од месеца дана од пријема. </w:t>
      </w:r>
    </w:p>
    <w:p w14:paraId="33DA23FA" w14:textId="546859F1" w:rsidR="008A5CA2" w:rsidRPr="008A5CA2" w:rsidRDefault="00F8039D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Чување података</w:t>
      </w:r>
    </w:p>
    <w:p w14:paraId="52A2F394" w14:textId="62DD5918" w:rsidR="008A5CA2" w:rsidRDefault="00F8039D" w:rsidP="008A5CA2">
      <w:r>
        <w:rPr>
          <w:lang w:val="sr-Cyrl-RS"/>
        </w:rPr>
        <w:t xml:space="preserve">Прикупљени подаци се чувају 2 године од завршетка позива и објављивања примера добре праксе на Платформи ЕТФ-а о доброј пракси. </w:t>
      </w:r>
    </w:p>
    <w:p w14:paraId="506752BA" w14:textId="4CB4719A" w:rsidR="008A5CA2" w:rsidRPr="008A5CA2" w:rsidRDefault="00F8039D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Контакт подаци</w:t>
      </w:r>
    </w:p>
    <w:p w14:paraId="26DD7ADF" w14:textId="65A5BAB2" w:rsidR="008A5CA2" w:rsidRDefault="00F8039D" w:rsidP="008A5CA2">
      <w:r>
        <w:rPr>
          <w:lang w:val="sr-Cyrl-RS"/>
        </w:rPr>
        <w:t xml:space="preserve">У ЕТФ-у податке обрађују </w:t>
      </w:r>
      <w:r w:rsidR="008A5CA2">
        <w:t xml:space="preserve">: </w:t>
      </w:r>
      <w:r>
        <w:rPr>
          <w:lang w:val="sr-Cyrl-RS"/>
        </w:rPr>
        <w:t>Флоријан Кадлец</w:t>
      </w:r>
      <w:r w:rsidR="008A5CA2">
        <w:t xml:space="preserve"> (</w:t>
      </w:r>
      <w:r w:rsidR="009338A8">
        <w:t>fka</w:t>
      </w:r>
      <w:r w:rsidR="008A5CA2">
        <w:t xml:space="preserve">@etf.europa.eu) </w:t>
      </w:r>
      <w:r>
        <w:rPr>
          <w:lang w:val="sr-Cyrl-RS"/>
        </w:rPr>
        <w:t>и Галина Терзи</w:t>
      </w:r>
      <w:r w:rsidR="008A5CA2">
        <w:t xml:space="preserve"> (gte@etf.europa.eu).</w:t>
      </w:r>
    </w:p>
    <w:p w14:paraId="19BF7390" w14:textId="71035E5D" w:rsidR="008A5CA2" w:rsidRPr="008A5CA2" w:rsidRDefault="00AA2256" w:rsidP="008A5CA2">
      <w:pPr>
        <w:spacing w:after="0"/>
        <w:rPr>
          <w:b/>
          <w:color w:val="1F4E79" w:themeColor="accent1" w:themeShade="80"/>
          <w:sz w:val="26"/>
          <w:szCs w:val="26"/>
        </w:rPr>
      </w:pPr>
      <w:r>
        <w:rPr>
          <w:b/>
          <w:color w:val="1F4E79" w:themeColor="accent1" w:themeShade="80"/>
          <w:sz w:val="26"/>
          <w:szCs w:val="26"/>
          <w:lang w:val="sr-Cyrl-RS"/>
        </w:rPr>
        <w:t>Правно на одштету</w:t>
      </w:r>
    </w:p>
    <w:p w14:paraId="3785C9E6" w14:textId="2C7A3B73" w:rsidR="005F78EF" w:rsidRDefault="00AA2256" w:rsidP="008A5CA2">
      <w:r>
        <w:rPr>
          <w:lang w:val="sr-Cyrl-RS"/>
        </w:rPr>
        <w:t xml:space="preserve">Лица о којима се прикупљају подаци о личности увек имају право да се жале референту ЕТФ-а за заштиту података </w:t>
      </w:r>
      <w:r w:rsidR="008A5CA2">
        <w:t>(</w:t>
      </w:r>
      <w:hyperlink r:id="rId21" w:history="1">
        <w:r w:rsidRPr="00687F03">
          <w:rPr>
            <w:rStyle w:val="Hyperlink"/>
          </w:rPr>
          <w:t>dpo@etf.europa.eu</w:t>
        </w:r>
      </w:hyperlink>
      <w:r w:rsidR="008A5CA2">
        <w:t>),</w:t>
      </w:r>
      <w:r>
        <w:rPr>
          <w:lang w:val="sr-Cyrl-RS"/>
        </w:rPr>
        <w:t xml:space="preserve"> и или Европској служби за надзор над заштитом података </w:t>
      </w:r>
      <w:r w:rsidR="008A5CA2">
        <w:t xml:space="preserve"> (http://www.edps.europa.eu) </w:t>
      </w:r>
      <w:r>
        <w:rPr>
          <w:lang w:val="sr-Cyrl-RS"/>
        </w:rPr>
        <w:t xml:space="preserve">ако сматрају да им је ЕТФ у поступку обраде података о лчности повредио права из Уредбе </w:t>
      </w:r>
      <w:r w:rsidR="008A5CA2">
        <w:t>45/2001</w:t>
      </w:r>
      <w:r>
        <w:rPr>
          <w:lang w:val="sr-Cyrl-RS"/>
        </w:rPr>
        <w:t xml:space="preserve">. </w:t>
      </w:r>
      <w:r w:rsidR="008A5CA2">
        <w:t xml:space="preserve"> </w:t>
      </w:r>
    </w:p>
    <w:p w14:paraId="65A75F06" w14:textId="77777777" w:rsidR="00D71B7E" w:rsidRDefault="00D71B7E" w:rsidP="008A5CA2"/>
    <w:sectPr w:rsidR="00D71B7E" w:rsidSect="004433C1">
      <w:headerReference w:type="even" r:id="rId22"/>
      <w:headerReference w:type="default" r:id="rId23"/>
      <w:headerReference w:type="first" r:id="rId24"/>
      <w:pgSz w:w="11906" w:h="16838"/>
      <w:pgMar w:top="1134" w:right="1276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1D8C" w14:textId="77777777" w:rsidR="001132BC" w:rsidRDefault="001132BC" w:rsidP="004F16CE">
      <w:pPr>
        <w:spacing w:after="0" w:line="240" w:lineRule="auto"/>
      </w:pPr>
      <w:r>
        <w:separator/>
      </w:r>
    </w:p>
  </w:endnote>
  <w:endnote w:type="continuationSeparator" w:id="0">
    <w:p w14:paraId="2BC7794A" w14:textId="77777777" w:rsidR="001132BC" w:rsidRDefault="001132BC" w:rsidP="004F16CE">
      <w:pPr>
        <w:spacing w:after="0" w:line="240" w:lineRule="auto"/>
      </w:pPr>
      <w:r>
        <w:continuationSeparator/>
      </w:r>
    </w:p>
  </w:endnote>
  <w:endnote w:type="continuationNotice" w:id="1">
    <w:p w14:paraId="673D8C1E" w14:textId="77777777" w:rsidR="001132BC" w:rsidRDefault="001132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70423" w14:textId="77777777" w:rsidR="001132BC" w:rsidRDefault="001132BC" w:rsidP="004F16CE">
      <w:pPr>
        <w:spacing w:after="0" w:line="240" w:lineRule="auto"/>
      </w:pPr>
      <w:r>
        <w:separator/>
      </w:r>
    </w:p>
  </w:footnote>
  <w:footnote w:type="continuationSeparator" w:id="0">
    <w:p w14:paraId="7919CCBC" w14:textId="77777777" w:rsidR="001132BC" w:rsidRDefault="001132BC" w:rsidP="004F16CE">
      <w:pPr>
        <w:spacing w:after="0" w:line="240" w:lineRule="auto"/>
      </w:pPr>
      <w:r>
        <w:continuationSeparator/>
      </w:r>
    </w:p>
  </w:footnote>
  <w:footnote w:type="continuationNotice" w:id="1">
    <w:p w14:paraId="6AE48362" w14:textId="77777777" w:rsidR="001132BC" w:rsidRDefault="001132BC">
      <w:pPr>
        <w:spacing w:after="0" w:line="240" w:lineRule="auto"/>
      </w:pPr>
    </w:p>
  </w:footnote>
  <w:footnote w:id="2">
    <w:p w14:paraId="2F9FF1A7" w14:textId="6A1D31A4" w:rsidR="0011613F" w:rsidRPr="008929D7" w:rsidRDefault="0011613F" w:rsidP="00F945BC">
      <w:pPr>
        <w:pStyle w:val="FootnoteText"/>
        <w:rPr>
          <w:color w:val="44546A" w:themeColor="text2"/>
          <w:sz w:val="16"/>
          <w:szCs w:val="16"/>
        </w:rPr>
      </w:pPr>
      <w:r w:rsidRPr="008929D7">
        <w:rPr>
          <w:rStyle w:val="FootnoteReference"/>
          <w:sz w:val="16"/>
          <w:szCs w:val="16"/>
        </w:rPr>
        <w:footnoteRef/>
      </w:r>
      <w:r w:rsidRPr="008929D7">
        <w:rPr>
          <w:sz w:val="16"/>
          <w:szCs w:val="16"/>
        </w:rPr>
        <w:t xml:space="preserve"> </w:t>
      </w:r>
      <w:r w:rsidR="00C83474">
        <w:rPr>
          <w:sz w:val="16"/>
          <w:szCs w:val="16"/>
          <w:lang w:val="sr-Cyrl-RS"/>
        </w:rPr>
        <w:t xml:space="preserve">Албанија, Алжир, Белорусија, Јерменија, Азербејџан, Босна и Херцеговина, Египат, Грузија, Израел, Јордан, Казахстан, Киргистан, Либија, Косово </w:t>
      </w:r>
      <w:r w:rsidRPr="008929D7">
        <w:rPr>
          <w:color w:val="44546A" w:themeColor="text2"/>
          <w:sz w:val="16"/>
          <w:szCs w:val="16"/>
        </w:rPr>
        <w:t>*,</w:t>
      </w:r>
      <w:r w:rsidR="00C83474">
        <w:rPr>
          <w:color w:val="44546A" w:themeColor="text2"/>
          <w:sz w:val="16"/>
          <w:szCs w:val="16"/>
          <w:lang w:val="sr-Cyrl-RS"/>
        </w:rPr>
        <w:t xml:space="preserve"> Либан, бивша Југословенска Република Македонија, Молдавија, Црна Гора, Мароко, Палестина</w:t>
      </w:r>
      <w:r w:rsidRPr="008929D7">
        <w:rPr>
          <w:color w:val="44546A" w:themeColor="text2"/>
          <w:sz w:val="16"/>
          <w:szCs w:val="16"/>
        </w:rPr>
        <w:t xml:space="preserve">**, </w:t>
      </w:r>
      <w:r w:rsidR="00C83474">
        <w:rPr>
          <w:color w:val="44546A" w:themeColor="text2"/>
          <w:sz w:val="16"/>
          <w:szCs w:val="16"/>
          <w:lang w:val="sr-Cyrl-RS"/>
        </w:rPr>
        <w:t xml:space="preserve">Русија, Србија, Сирија, Таџикистан, Тунис, Турска, Туркменистан, Украјина, Узбекистан. </w:t>
      </w:r>
    </w:p>
    <w:p w14:paraId="08D0E5E2" w14:textId="77777777" w:rsidR="0011613F" w:rsidRPr="008929D7" w:rsidRDefault="0011613F" w:rsidP="00F945BC">
      <w:pPr>
        <w:pStyle w:val="FootnoteText"/>
        <w:rPr>
          <w:color w:val="44546A" w:themeColor="text2"/>
          <w:sz w:val="16"/>
          <w:szCs w:val="16"/>
        </w:rPr>
      </w:pPr>
    </w:p>
    <w:p w14:paraId="7315FF96" w14:textId="624E73CB" w:rsidR="0011613F" w:rsidRPr="008929D7" w:rsidRDefault="0011613F" w:rsidP="00F945BC">
      <w:pPr>
        <w:pStyle w:val="FootnoteText"/>
        <w:rPr>
          <w:i/>
          <w:color w:val="44546A" w:themeColor="text2"/>
          <w:sz w:val="16"/>
          <w:szCs w:val="16"/>
        </w:rPr>
      </w:pPr>
      <w:r w:rsidRPr="008929D7">
        <w:rPr>
          <w:i/>
          <w:color w:val="44546A" w:themeColor="text2"/>
          <w:sz w:val="16"/>
          <w:szCs w:val="16"/>
        </w:rPr>
        <w:t xml:space="preserve">* </w:t>
      </w:r>
      <w:r w:rsidR="00C83474">
        <w:rPr>
          <w:i/>
          <w:color w:val="44546A" w:themeColor="text2"/>
          <w:sz w:val="16"/>
          <w:szCs w:val="16"/>
          <w:lang w:val="sr-Cyrl-RS"/>
        </w:rPr>
        <w:t xml:space="preserve">Ова ознака не прејудицира став о статусу, и у складу је са Резолуцијом СБУН </w:t>
      </w:r>
      <w:r w:rsidRPr="008929D7">
        <w:rPr>
          <w:i/>
          <w:color w:val="44546A" w:themeColor="text2"/>
          <w:sz w:val="16"/>
          <w:szCs w:val="16"/>
        </w:rPr>
        <w:t xml:space="preserve">1244/1999 </w:t>
      </w:r>
      <w:r w:rsidR="00C83474">
        <w:rPr>
          <w:i/>
          <w:color w:val="44546A" w:themeColor="text2"/>
          <w:sz w:val="16"/>
          <w:szCs w:val="16"/>
          <w:lang w:val="sr-Cyrl-RS"/>
        </w:rPr>
        <w:t xml:space="preserve">и Мишљењем МКЈ о Деклерацији о независности Косова. </w:t>
      </w:r>
    </w:p>
    <w:p w14:paraId="63B46E47" w14:textId="63194E29" w:rsidR="0011613F" w:rsidRPr="00BD591A" w:rsidRDefault="0011613F" w:rsidP="00F945BC">
      <w:pPr>
        <w:pStyle w:val="FootnoteText"/>
        <w:rPr>
          <w:i/>
          <w:color w:val="44546A" w:themeColor="text2"/>
          <w:sz w:val="18"/>
          <w:szCs w:val="18"/>
        </w:rPr>
      </w:pPr>
      <w:r w:rsidRPr="008929D7">
        <w:rPr>
          <w:i/>
          <w:color w:val="44546A" w:themeColor="text2"/>
          <w:sz w:val="16"/>
          <w:szCs w:val="16"/>
        </w:rPr>
        <w:t>**</w:t>
      </w:r>
      <w:r w:rsidR="00C83474">
        <w:rPr>
          <w:i/>
          <w:color w:val="44546A" w:themeColor="text2"/>
          <w:sz w:val="16"/>
          <w:szCs w:val="16"/>
          <w:lang w:val="sr-Cyrl-RS"/>
        </w:rPr>
        <w:t xml:space="preserve"> Ова ознака се не може схватити као признање Државе Палестине и не доводи у питање појединачне позиције Држава чланица о овом питању</w:t>
      </w:r>
      <w:r w:rsidRPr="008929D7">
        <w:rPr>
          <w:i/>
          <w:color w:val="44546A" w:themeColor="text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3405" w14:textId="6AAA59C4" w:rsidR="0011613F" w:rsidRDefault="001132BC">
    <w:pPr>
      <w:pStyle w:val="Header"/>
    </w:pPr>
    <w:r>
      <w:rPr>
        <w:noProof/>
        <w:lang w:val="fr-FR" w:eastAsia="fr-FR"/>
      </w:rPr>
      <w:pict w14:anchorId="2442A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6659" o:spid="_x0000_s2050" type="#_x0000_t75" style="position:absolute;margin-left:0;margin-top:0;width:459.2pt;height:320.85pt;z-index:-251658239;mso-position-horizontal:center;mso-position-horizontal-relative:margin;mso-position-vertical:center;mso-position-vertical-relative:margin" o:allowincell="f">
          <v:imagedata r:id="rId1" o:title="Petal_Pattern_full_colou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ED9ED" w14:textId="2CFBD7DF" w:rsidR="0011613F" w:rsidRDefault="001132BC">
    <w:pPr>
      <w:pStyle w:val="Header"/>
    </w:pPr>
    <w:r>
      <w:rPr>
        <w:noProof/>
        <w:lang w:val="fr-FR" w:eastAsia="fr-FR"/>
      </w:rPr>
      <w:pict w14:anchorId="54954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6660" o:spid="_x0000_s2051" type="#_x0000_t75" style="position:absolute;margin-left:0;margin-top:0;width:459.2pt;height:320.85pt;z-index:-251658238;mso-position-horizontal:center;mso-position-horizontal-relative:margin;mso-position-vertical:center;mso-position-vertical-relative:margin" o:allowincell="f">
          <v:imagedata r:id="rId1" o:title="Petal_Pattern_full_colou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97FE" w14:textId="63248E7C" w:rsidR="0011613F" w:rsidRDefault="001132BC">
    <w:pPr>
      <w:pStyle w:val="Header"/>
    </w:pPr>
    <w:r>
      <w:rPr>
        <w:noProof/>
        <w:lang w:val="fr-FR" w:eastAsia="fr-FR"/>
      </w:rPr>
      <w:pict w14:anchorId="0C7B2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06658" o:spid="_x0000_s2049" type="#_x0000_t75" style="position:absolute;margin-left:0;margin-top:0;width:459.2pt;height:320.85pt;z-index:-251658240;mso-position-horizontal:center;mso-position-horizontal-relative:margin;mso-position-vertical:center;mso-position-vertical-relative:margin" o:allowincell="f">
          <v:imagedata r:id="rId1" o:title="Petal_Pattern_full_colou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C28"/>
    <w:multiLevelType w:val="hybridMultilevel"/>
    <w:tmpl w:val="1F508A96"/>
    <w:lvl w:ilvl="0" w:tplc="1C86C70E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8AB72AD"/>
    <w:multiLevelType w:val="hybridMultilevel"/>
    <w:tmpl w:val="3CE0C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6771A"/>
    <w:multiLevelType w:val="hybridMultilevel"/>
    <w:tmpl w:val="F2B4A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0528"/>
    <w:multiLevelType w:val="hybridMultilevel"/>
    <w:tmpl w:val="4A2607AE"/>
    <w:lvl w:ilvl="0" w:tplc="640EF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9417A"/>
    <w:multiLevelType w:val="hybridMultilevel"/>
    <w:tmpl w:val="4ADC468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8C37F4F"/>
    <w:multiLevelType w:val="hybridMultilevel"/>
    <w:tmpl w:val="E4DC77FE"/>
    <w:lvl w:ilvl="0" w:tplc="4F667FDE">
      <w:start w:val="18"/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6E200CAE"/>
    <w:multiLevelType w:val="hybridMultilevel"/>
    <w:tmpl w:val="4D843406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569BA"/>
    <w:multiLevelType w:val="hybridMultilevel"/>
    <w:tmpl w:val="C5667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75825"/>
    <w:multiLevelType w:val="hybridMultilevel"/>
    <w:tmpl w:val="61509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40"/>
    <w:rsid w:val="00003394"/>
    <w:rsid w:val="00013D29"/>
    <w:rsid w:val="00020F48"/>
    <w:rsid w:val="00021F8A"/>
    <w:rsid w:val="00023302"/>
    <w:rsid w:val="00032EB8"/>
    <w:rsid w:val="0003559A"/>
    <w:rsid w:val="000373B0"/>
    <w:rsid w:val="00041807"/>
    <w:rsid w:val="00045046"/>
    <w:rsid w:val="00051339"/>
    <w:rsid w:val="0005158C"/>
    <w:rsid w:val="00052B32"/>
    <w:rsid w:val="00066763"/>
    <w:rsid w:val="00072286"/>
    <w:rsid w:val="00082FEF"/>
    <w:rsid w:val="00083055"/>
    <w:rsid w:val="000858B1"/>
    <w:rsid w:val="000B79AC"/>
    <w:rsid w:val="000C36C3"/>
    <w:rsid w:val="000D00CB"/>
    <w:rsid w:val="000F518F"/>
    <w:rsid w:val="000F64C2"/>
    <w:rsid w:val="00103901"/>
    <w:rsid w:val="00110B03"/>
    <w:rsid w:val="001121CE"/>
    <w:rsid w:val="001132BC"/>
    <w:rsid w:val="00113426"/>
    <w:rsid w:val="00114E3E"/>
    <w:rsid w:val="0011613F"/>
    <w:rsid w:val="00125FF7"/>
    <w:rsid w:val="0013517D"/>
    <w:rsid w:val="001378CE"/>
    <w:rsid w:val="00146728"/>
    <w:rsid w:val="0015352B"/>
    <w:rsid w:val="00160B8C"/>
    <w:rsid w:val="00166EC7"/>
    <w:rsid w:val="001764E6"/>
    <w:rsid w:val="00182391"/>
    <w:rsid w:val="001861D8"/>
    <w:rsid w:val="001B179F"/>
    <w:rsid w:val="001B1A30"/>
    <w:rsid w:val="001B2A0E"/>
    <w:rsid w:val="001B71E2"/>
    <w:rsid w:val="001C648E"/>
    <w:rsid w:val="001E3135"/>
    <w:rsid w:val="001E34C0"/>
    <w:rsid w:val="00201C86"/>
    <w:rsid w:val="0020372B"/>
    <w:rsid w:val="00205E77"/>
    <w:rsid w:val="00222F46"/>
    <w:rsid w:val="00233A5B"/>
    <w:rsid w:val="00233C46"/>
    <w:rsid w:val="00243305"/>
    <w:rsid w:val="00243F6C"/>
    <w:rsid w:val="0024642B"/>
    <w:rsid w:val="00252250"/>
    <w:rsid w:val="0026662B"/>
    <w:rsid w:val="00266C31"/>
    <w:rsid w:val="0027067E"/>
    <w:rsid w:val="00271220"/>
    <w:rsid w:val="00273FA0"/>
    <w:rsid w:val="00274B7C"/>
    <w:rsid w:val="0028152F"/>
    <w:rsid w:val="00282F63"/>
    <w:rsid w:val="0028388D"/>
    <w:rsid w:val="00287808"/>
    <w:rsid w:val="002A189D"/>
    <w:rsid w:val="002A2421"/>
    <w:rsid w:val="002B6E5D"/>
    <w:rsid w:val="002C3620"/>
    <w:rsid w:val="002C69C2"/>
    <w:rsid w:val="002C6FFD"/>
    <w:rsid w:val="002D02F5"/>
    <w:rsid w:val="002F065A"/>
    <w:rsid w:val="002F45AD"/>
    <w:rsid w:val="00300D06"/>
    <w:rsid w:val="00302A1E"/>
    <w:rsid w:val="00311A8D"/>
    <w:rsid w:val="003125E2"/>
    <w:rsid w:val="00320742"/>
    <w:rsid w:val="00322FFE"/>
    <w:rsid w:val="0032579B"/>
    <w:rsid w:val="00333466"/>
    <w:rsid w:val="00340A77"/>
    <w:rsid w:val="003428B6"/>
    <w:rsid w:val="00351BCF"/>
    <w:rsid w:val="00356C6E"/>
    <w:rsid w:val="00357014"/>
    <w:rsid w:val="003725A0"/>
    <w:rsid w:val="003A0AB4"/>
    <w:rsid w:val="003A4337"/>
    <w:rsid w:val="003A758C"/>
    <w:rsid w:val="003B0BE5"/>
    <w:rsid w:val="003B7A32"/>
    <w:rsid w:val="003D2780"/>
    <w:rsid w:val="003D58D8"/>
    <w:rsid w:val="003D7B01"/>
    <w:rsid w:val="003E27EB"/>
    <w:rsid w:val="003E4C37"/>
    <w:rsid w:val="003E4EFB"/>
    <w:rsid w:val="003E541F"/>
    <w:rsid w:val="003F397E"/>
    <w:rsid w:val="0040130C"/>
    <w:rsid w:val="004018F1"/>
    <w:rsid w:val="00410A16"/>
    <w:rsid w:val="00411D4D"/>
    <w:rsid w:val="00415224"/>
    <w:rsid w:val="004232F8"/>
    <w:rsid w:val="004409F9"/>
    <w:rsid w:val="004433C1"/>
    <w:rsid w:val="00450643"/>
    <w:rsid w:val="0046470C"/>
    <w:rsid w:val="0046512D"/>
    <w:rsid w:val="0046605A"/>
    <w:rsid w:val="00480553"/>
    <w:rsid w:val="00485109"/>
    <w:rsid w:val="00490E01"/>
    <w:rsid w:val="00494AD3"/>
    <w:rsid w:val="004A4DD4"/>
    <w:rsid w:val="004B1900"/>
    <w:rsid w:val="004B41C9"/>
    <w:rsid w:val="004C7AFC"/>
    <w:rsid w:val="004D259A"/>
    <w:rsid w:val="004D3604"/>
    <w:rsid w:val="004D7731"/>
    <w:rsid w:val="004E1B12"/>
    <w:rsid w:val="004F16CE"/>
    <w:rsid w:val="004F25C7"/>
    <w:rsid w:val="004F5D59"/>
    <w:rsid w:val="00500E7B"/>
    <w:rsid w:val="0050739B"/>
    <w:rsid w:val="00521312"/>
    <w:rsid w:val="00523A01"/>
    <w:rsid w:val="00524766"/>
    <w:rsid w:val="005311A1"/>
    <w:rsid w:val="005431F6"/>
    <w:rsid w:val="00543284"/>
    <w:rsid w:val="0054538E"/>
    <w:rsid w:val="005569D9"/>
    <w:rsid w:val="00563718"/>
    <w:rsid w:val="0056627C"/>
    <w:rsid w:val="005832D8"/>
    <w:rsid w:val="00584EED"/>
    <w:rsid w:val="005B1F93"/>
    <w:rsid w:val="005C341A"/>
    <w:rsid w:val="005E060C"/>
    <w:rsid w:val="005F78EF"/>
    <w:rsid w:val="005F7C71"/>
    <w:rsid w:val="00605014"/>
    <w:rsid w:val="00626C64"/>
    <w:rsid w:val="0063525C"/>
    <w:rsid w:val="006434E1"/>
    <w:rsid w:val="006533A7"/>
    <w:rsid w:val="0065450F"/>
    <w:rsid w:val="00660EBC"/>
    <w:rsid w:val="00664F74"/>
    <w:rsid w:val="0066563B"/>
    <w:rsid w:val="006701DB"/>
    <w:rsid w:val="0067061F"/>
    <w:rsid w:val="00687C31"/>
    <w:rsid w:val="00693DEB"/>
    <w:rsid w:val="00694384"/>
    <w:rsid w:val="00694FEE"/>
    <w:rsid w:val="006955E6"/>
    <w:rsid w:val="00697702"/>
    <w:rsid w:val="006A000E"/>
    <w:rsid w:val="006A637D"/>
    <w:rsid w:val="006B3582"/>
    <w:rsid w:val="006C08F8"/>
    <w:rsid w:val="006C6481"/>
    <w:rsid w:val="006C6A7F"/>
    <w:rsid w:val="006D0014"/>
    <w:rsid w:val="006D38AA"/>
    <w:rsid w:val="006D49CE"/>
    <w:rsid w:val="006D6957"/>
    <w:rsid w:val="006E222C"/>
    <w:rsid w:val="006E2D81"/>
    <w:rsid w:val="006F178E"/>
    <w:rsid w:val="006F2B96"/>
    <w:rsid w:val="006F3326"/>
    <w:rsid w:val="00704B40"/>
    <w:rsid w:val="00712385"/>
    <w:rsid w:val="0071268C"/>
    <w:rsid w:val="00713068"/>
    <w:rsid w:val="007210ED"/>
    <w:rsid w:val="00726069"/>
    <w:rsid w:val="00726612"/>
    <w:rsid w:val="00727FEB"/>
    <w:rsid w:val="007448B8"/>
    <w:rsid w:val="00756094"/>
    <w:rsid w:val="00757176"/>
    <w:rsid w:val="00760D8C"/>
    <w:rsid w:val="00773734"/>
    <w:rsid w:val="00775789"/>
    <w:rsid w:val="00777828"/>
    <w:rsid w:val="00780448"/>
    <w:rsid w:val="007A3405"/>
    <w:rsid w:val="007A34D3"/>
    <w:rsid w:val="007A55EF"/>
    <w:rsid w:val="007A59EE"/>
    <w:rsid w:val="007B6E96"/>
    <w:rsid w:val="007B72E9"/>
    <w:rsid w:val="007C3393"/>
    <w:rsid w:val="007D5041"/>
    <w:rsid w:val="007D6560"/>
    <w:rsid w:val="007E24D4"/>
    <w:rsid w:val="007E705B"/>
    <w:rsid w:val="007E71BC"/>
    <w:rsid w:val="007F217F"/>
    <w:rsid w:val="008078DF"/>
    <w:rsid w:val="0081441F"/>
    <w:rsid w:val="00841297"/>
    <w:rsid w:val="00861E2C"/>
    <w:rsid w:val="008758EE"/>
    <w:rsid w:val="008833A2"/>
    <w:rsid w:val="008859B1"/>
    <w:rsid w:val="00886656"/>
    <w:rsid w:val="0088798C"/>
    <w:rsid w:val="00890A6E"/>
    <w:rsid w:val="008929D7"/>
    <w:rsid w:val="008975A8"/>
    <w:rsid w:val="008A5CA2"/>
    <w:rsid w:val="008B00A4"/>
    <w:rsid w:val="008C50DD"/>
    <w:rsid w:val="008D216C"/>
    <w:rsid w:val="008E3194"/>
    <w:rsid w:val="008E3A61"/>
    <w:rsid w:val="008F3EE3"/>
    <w:rsid w:val="00900018"/>
    <w:rsid w:val="00905610"/>
    <w:rsid w:val="0091296F"/>
    <w:rsid w:val="00931F28"/>
    <w:rsid w:val="009338A8"/>
    <w:rsid w:val="009400A0"/>
    <w:rsid w:val="00940BDF"/>
    <w:rsid w:val="009432A3"/>
    <w:rsid w:val="00953C89"/>
    <w:rsid w:val="00960AA7"/>
    <w:rsid w:val="0097056E"/>
    <w:rsid w:val="009762B3"/>
    <w:rsid w:val="00980CFC"/>
    <w:rsid w:val="009A01F5"/>
    <w:rsid w:val="009A04EA"/>
    <w:rsid w:val="009A5C97"/>
    <w:rsid w:val="009B678D"/>
    <w:rsid w:val="009B7FDC"/>
    <w:rsid w:val="009C1426"/>
    <w:rsid w:val="009C613A"/>
    <w:rsid w:val="009C7AEB"/>
    <w:rsid w:val="009D49B5"/>
    <w:rsid w:val="009E0076"/>
    <w:rsid w:val="009E7996"/>
    <w:rsid w:val="009F206D"/>
    <w:rsid w:val="00A11875"/>
    <w:rsid w:val="00A2055A"/>
    <w:rsid w:val="00A24E3C"/>
    <w:rsid w:val="00A27732"/>
    <w:rsid w:val="00A338DE"/>
    <w:rsid w:val="00A36AA2"/>
    <w:rsid w:val="00A448A0"/>
    <w:rsid w:val="00A506F1"/>
    <w:rsid w:val="00A54740"/>
    <w:rsid w:val="00A7201E"/>
    <w:rsid w:val="00A763B3"/>
    <w:rsid w:val="00A82CEF"/>
    <w:rsid w:val="00A938B3"/>
    <w:rsid w:val="00AA2256"/>
    <w:rsid w:val="00AB7C79"/>
    <w:rsid w:val="00AC707D"/>
    <w:rsid w:val="00AD4248"/>
    <w:rsid w:val="00AD7691"/>
    <w:rsid w:val="00AE3496"/>
    <w:rsid w:val="00AE5E4A"/>
    <w:rsid w:val="00AF63C9"/>
    <w:rsid w:val="00B04A3C"/>
    <w:rsid w:val="00B04D25"/>
    <w:rsid w:val="00B06AD6"/>
    <w:rsid w:val="00B1136E"/>
    <w:rsid w:val="00B156F8"/>
    <w:rsid w:val="00B21FD5"/>
    <w:rsid w:val="00B30940"/>
    <w:rsid w:val="00B32207"/>
    <w:rsid w:val="00B4128F"/>
    <w:rsid w:val="00B42E44"/>
    <w:rsid w:val="00B43A19"/>
    <w:rsid w:val="00B43AAB"/>
    <w:rsid w:val="00B50211"/>
    <w:rsid w:val="00B64222"/>
    <w:rsid w:val="00B86780"/>
    <w:rsid w:val="00B90254"/>
    <w:rsid w:val="00B92A97"/>
    <w:rsid w:val="00B973E4"/>
    <w:rsid w:val="00BA12E1"/>
    <w:rsid w:val="00BA1EBA"/>
    <w:rsid w:val="00BA26B4"/>
    <w:rsid w:val="00BA3E42"/>
    <w:rsid w:val="00BC279C"/>
    <w:rsid w:val="00BC4C2C"/>
    <w:rsid w:val="00BC7246"/>
    <w:rsid w:val="00BD26C0"/>
    <w:rsid w:val="00BD409C"/>
    <w:rsid w:val="00BD549E"/>
    <w:rsid w:val="00BD591A"/>
    <w:rsid w:val="00BD5C79"/>
    <w:rsid w:val="00BF69D6"/>
    <w:rsid w:val="00C06259"/>
    <w:rsid w:val="00C17539"/>
    <w:rsid w:val="00C20613"/>
    <w:rsid w:val="00C32080"/>
    <w:rsid w:val="00C44ACF"/>
    <w:rsid w:val="00C55FA5"/>
    <w:rsid w:val="00C56069"/>
    <w:rsid w:val="00C6141A"/>
    <w:rsid w:val="00C66FEC"/>
    <w:rsid w:val="00C82A1D"/>
    <w:rsid w:val="00C83474"/>
    <w:rsid w:val="00C8768F"/>
    <w:rsid w:val="00C906A1"/>
    <w:rsid w:val="00C9724B"/>
    <w:rsid w:val="00CA3150"/>
    <w:rsid w:val="00CB18FA"/>
    <w:rsid w:val="00CB5DA4"/>
    <w:rsid w:val="00CC21EE"/>
    <w:rsid w:val="00CD52C5"/>
    <w:rsid w:val="00CE3F59"/>
    <w:rsid w:val="00CE62D4"/>
    <w:rsid w:val="00CF6FA7"/>
    <w:rsid w:val="00D12A91"/>
    <w:rsid w:val="00D14F26"/>
    <w:rsid w:val="00D15CC8"/>
    <w:rsid w:val="00D16EE2"/>
    <w:rsid w:val="00D17DA0"/>
    <w:rsid w:val="00D215E4"/>
    <w:rsid w:val="00D276B2"/>
    <w:rsid w:val="00D345F4"/>
    <w:rsid w:val="00D3650E"/>
    <w:rsid w:val="00D62452"/>
    <w:rsid w:val="00D71A91"/>
    <w:rsid w:val="00D71B7E"/>
    <w:rsid w:val="00D857ED"/>
    <w:rsid w:val="00DA497D"/>
    <w:rsid w:val="00DC6952"/>
    <w:rsid w:val="00DD0209"/>
    <w:rsid w:val="00DD1BFF"/>
    <w:rsid w:val="00DD6BC3"/>
    <w:rsid w:val="00DD7A43"/>
    <w:rsid w:val="00DD7FBA"/>
    <w:rsid w:val="00DE05ED"/>
    <w:rsid w:val="00DE1D12"/>
    <w:rsid w:val="00DF0AF8"/>
    <w:rsid w:val="00DF6DBA"/>
    <w:rsid w:val="00E0006C"/>
    <w:rsid w:val="00E034CB"/>
    <w:rsid w:val="00E07D52"/>
    <w:rsid w:val="00E2790A"/>
    <w:rsid w:val="00E30A19"/>
    <w:rsid w:val="00E33792"/>
    <w:rsid w:val="00E33921"/>
    <w:rsid w:val="00E34BD0"/>
    <w:rsid w:val="00E3754B"/>
    <w:rsid w:val="00E4309F"/>
    <w:rsid w:val="00E6034D"/>
    <w:rsid w:val="00E663AC"/>
    <w:rsid w:val="00E769CB"/>
    <w:rsid w:val="00E8224A"/>
    <w:rsid w:val="00E82D0C"/>
    <w:rsid w:val="00EA1710"/>
    <w:rsid w:val="00EA1D65"/>
    <w:rsid w:val="00ED41A8"/>
    <w:rsid w:val="00ED4D81"/>
    <w:rsid w:val="00ED6F74"/>
    <w:rsid w:val="00EE2B9C"/>
    <w:rsid w:val="00EF1436"/>
    <w:rsid w:val="00EF33DF"/>
    <w:rsid w:val="00EF3475"/>
    <w:rsid w:val="00EF4392"/>
    <w:rsid w:val="00F04195"/>
    <w:rsid w:val="00F04F78"/>
    <w:rsid w:val="00F14BB8"/>
    <w:rsid w:val="00F16E3E"/>
    <w:rsid w:val="00F25A3C"/>
    <w:rsid w:val="00F317E1"/>
    <w:rsid w:val="00F5082B"/>
    <w:rsid w:val="00F52402"/>
    <w:rsid w:val="00F53607"/>
    <w:rsid w:val="00F537A9"/>
    <w:rsid w:val="00F60081"/>
    <w:rsid w:val="00F607E4"/>
    <w:rsid w:val="00F8039D"/>
    <w:rsid w:val="00F80836"/>
    <w:rsid w:val="00F9024D"/>
    <w:rsid w:val="00F945BC"/>
    <w:rsid w:val="00F960C8"/>
    <w:rsid w:val="00FA70E0"/>
    <w:rsid w:val="00FB3F56"/>
    <w:rsid w:val="00FC10BE"/>
    <w:rsid w:val="00FC7F94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6FFC9A"/>
  <w15:chartTrackingRefBased/>
  <w15:docId w15:val="{C7C83369-A131-4660-96A6-9F60CE20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1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2E44"/>
    <w:rPr>
      <w:i/>
      <w:iCs/>
    </w:rPr>
  </w:style>
  <w:style w:type="table" w:styleId="TableGrid">
    <w:name w:val="Table Grid"/>
    <w:basedOn w:val="TableNormal"/>
    <w:uiPriority w:val="39"/>
    <w:rsid w:val="005F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8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7C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16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6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6C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F16C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7E4"/>
  </w:style>
  <w:style w:type="paragraph" w:styleId="Footer">
    <w:name w:val="footer"/>
    <w:basedOn w:val="Normal"/>
    <w:link w:val="FooterChar"/>
    <w:uiPriority w:val="99"/>
    <w:unhideWhenUsed/>
    <w:rsid w:val="00F60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7E4"/>
  </w:style>
  <w:style w:type="character" w:styleId="FollowedHyperlink">
    <w:name w:val="FollowedHyperlink"/>
    <w:basedOn w:val="DefaultParagraphFont"/>
    <w:uiPriority w:val="99"/>
    <w:semiHidden/>
    <w:unhideWhenUsed/>
    <w:rsid w:val="006533A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2452"/>
    <w:rPr>
      <w:color w:val="808080"/>
    </w:rPr>
  </w:style>
  <w:style w:type="paragraph" w:customStyle="1" w:styleId="ETFBodyText">
    <w:name w:val="ETF Body Text"/>
    <w:basedOn w:val="Normal"/>
    <w:autoRedefine/>
    <w:rsid w:val="00D62452"/>
    <w:pPr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60" w:after="60" w:line="288" w:lineRule="auto"/>
    </w:pPr>
    <w:rPr>
      <w:rFonts w:ascii="Arial" w:hAnsi="Arial" w:cs="Arial"/>
      <w:color w:val="45555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4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C2C"/>
    <w:rPr>
      <w:b/>
      <w:bCs/>
      <w:sz w:val="20"/>
      <w:szCs w:val="20"/>
    </w:rPr>
  </w:style>
  <w:style w:type="paragraph" w:customStyle="1" w:styleId="Default">
    <w:name w:val="Default"/>
    <w:rsid w:val="009A04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fr-FR"/>
    </w:rPr>
  </w:style>
  <w:style w:type="table" w:styleId="GridTable5Dark-Accent1">
    <w:name w:val="Grid Table 5 Dark Accent 1"/>
    <w:basedOn w:val="TableNormal"/>
    <w:uiPriority w:val="50"/>
    <w:rsid w:val="009A04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9A04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EntreComp@etf.europa.e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dpo@etf.europa.e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nnections.etf.europa.eu/communities/service/html/communitystart?communityUuid=84c45127-91d0-4807-8008-ec79aba60b9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gizmo.com/s3/4294476/ETF-Entrepreneurship-Award-Webinar-registration" TargetMode="External"/><Relationship Id="rId20" Type="http://schemas.openxmlformats.org/officeDocument/2006/relationships/hyperlink" Target="mailto:EntreComp@etf.europa.e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jrc/en/publication/eur-scientific-and-technical-research-reports/entrecomp-entrepreneurship-competence-framewor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erations Document" ma:contentTypeID="0x01010018C77CAB493C4CC28C851D171ACDEB5D0200826E317276852546843F45A993757954" ma:contentTypeVersion="39" ma:contentTypeDescription="Create a new Operations document" ma:contentTypeScope="" ma:versionID="3b422f5ce91df1285caf8cdb106a7310">
  <xsd:schema xmlns:xsd="http://www.w3.org/2001/XMLSchema" xmlns:xs="http://www.w3.org/2001/XMLSchema" xmlns:p="http://schemas.microsoft.com/office/2006/metadata/properties" xmlns:ns1="df6b2545-d15d-4d63-86ca-644416e434f8" xmlns:ns2="050d60c3-2824-4ecd-8f49-5c18b8d0bf5f" targetNamespace="http://schemas.microsoft.com/office/2006/metadata/properties" ma:root="true" ma:fieldsID="f1fea2012fb3436081c15074239b066c" ns1:_="" ns2:_="">
    <xsd:import namespace="df6b2545-d15d-4d63-86ca-644416e434f8"/>
    <xsd:import namespace="050d60c3-2824-4ecd-8f49-5c18b8d0bf5f"/>
    <xsd:element name="properties">
      <xsd:complexType>
        <xsd:sequence>
          <xsd:element name="documentManagement">
            <xsd:complexType>
              <xsd:all>
                <xsd:element ref="ns1:Operations_x0020_Document_x0020_Type"/>
                <xsd:element ref="ns2:OperationsSubArea"/>
                <xsd:element ref="ns2:ReferenceYear"/>
                <xsd:element ref="ns2:Authors" minOccurs="0"/>
                <xsd:element ref="ns2:ETFLanguage" minOccurs="0"/>
                <xsd:element ref="ns2:ReferenceNumber" minOccurs="0"/>
                <xsd:element ref="ns1:OPS_x0020_Tags" minOccurs="0"/>
                <xsd:element ref="ns2:Entrepreneurial_x0020_Keywords" minOccurs="0"/>
                <xsd:element ref="ns1:Countries" minOccurs="0"/>
                <xsd:element ref="ns1:Regions" minOccurs="0"/>
                <xsd:element ref="ns1:PA_EL" minOccurs="0"/>
                <xsd:element ref="ns1:Functions" minOccurs="0"/>
                <xsd:element ref="ns2:Status" minOccurs="0"/>
                <xsd:element ref="ns2:Origin" minOccurs="0"/>
                <xsd:element ref="ns1:General_x0020_Keywords" minOccurs="0"/>
                <xsd:element ref="ns1:_dlc_DocId" minOccurs="0"/>
                <xsd:element ref="ns1:_dlc_DocIdUrl" minOccurs="0"/>
                <xsd:element ref="ns1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2545-d15d-4d63-86ca-644416e434f8" elementFormDefault="qualified">
    <xsd:import namespace="http://schemas.microsoft.com/office/2006/documentManagement/types"/>
    <xsd:import namespace="http://schemas.microsoft.com/office/infopath/2007/PartnerControls"/>
    <xsd:element name="Operations_x0020_Document_x0020_Type" ma:index="0" ma:displayName="Operations Document Type" ma:format="Dropdown" ma:internalName="Operations_x0020_Document_x0020_Type">
      <xsd:simpleType>
        <xsd:restriction base="dms:Choice">
          <xsd:enumeration value="Article"/>
          <xsd:enumeration value="Briefing"/>
          <xsd:enumeration value="Compendium"/>
          <xsd:enumeration value="Context mechanism outcome"/>
          <xsd:enumeration value="Country report"/>
          <xsd:enumeration value="Country fiche"/>
          <xsd:enumeration value="Country strategic perspective"/>
          <xsd:enumeration value="Employability fiche"/>
          <xsd:enumeration value="ETF assessment"/>
          <xsd:enumeration value="ETF review"/>
          <xsd:enumeration value="Formulation fiche"/>
          <xsd:enumeration value="Guide"/>
          <xsd:enumeration value="Identification fiche"/>
          <xsd:enumeration value="Information note"/>
          <xsd:enumeration value="Key indicators"/>
          <xsd:enumeration value="KIESE"/>
          <xsd:enumeration value="Methodology"/>
          <xsd:enumeration value="Note"/>
          <xsd:enumeration value="Policy"/>
          <xsd:enumeration value="Policy brief"/>
          <xsd:enumeration value="Position paper"/>
          <xsd:enumeration value="Project assessment"/>
          <xsd:enumeration value="Project implementation plan"/>
          <xsd:enumeration value="Project leaflet"/>
          <xsd:enumeration value="Publication"/>
          <xsd:enumeration value="Reference document"/>
          <xsd:enumeration value="Region report"/>
          <xsd:enumeration value="Region fiche"/>
          <xsd:enumeration value="Report"/>
          <xsd:enumeration value="Statistical annex"/>
          <xsd:enumeration value="Statistics report"/>
          <xsd:enumeration value="Study"/>
          <xsd:enumeration value="Terms of reference"/>
          <xsd:enumeration value="Thematic paper"/>
          <xsd:enumeration value="Toolkit"/>
          <xsd:enumeration value="TRP annex"/>
          <xsd:enumeration value="Working paper"/>
        </xsd:restriction>
      </xsd:simpleType>
    </xsd:element>
    <xsd:element name="OPS_x0020_Tags" ma:index="8" nillable="true" ma:displayName="OPS Tags" ma:internalName="OPS_x0020_Tag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etences"/>
                    <xsd:enumeration value="CVET and adult learning"/>
                    <xsd:enumeration value="Education and business"/>
                    <xsd:enumeration value="Employment and labour market"/>
                    <xsd:enumeration value="Enterprise skills"/>
                    <xsd:enumeration value="Entrepreneurial learning"/>
                    <xsd:enumeration value="Governance and LLL"/>
                    <xsd:enumeration value="Guidance"/>
                    <xsd:enumeration value="Indicators"/>
                    <xsd:enumeration value="Matching and anticipation of skills"/>
                    <xsd:enumeration value="Migration and skills"/>
                    <xsd:enumeration value="Qualifications"/>
                    <xsd:enumeration value="Quality in VET"/>
                    <xsd:enumeration value="Social partnership"/>
                    <xsd:enumeration value="Teaching and learning"/>
                    <xsd:enumeration value="Validation of prior learning"/>
                    <xsd:enumeration value="VET and social inclusion"/>
                    <xsd:enumeration value="VET and sustainable development"/>
                    <xsd:enumeration value="VET system assessment"/>
                    <xsd:enumeration value="Not Applicable"/>
                  </xsd:restriction>
                </xsd:simpleType>
              </xsd:element>
            </xsd:sequence>
          </xsd:extension>
        </xsd:complexContent>
      </xsd:complexType>
    </xsd:element>
    <xsd:element name="Countries" ma:index="10" nillable="true" ma:displayName="Countries" ma:list="{9194351c-4b7d-432a-9a74-6cfaf37d5a5a}" ma:internalName="Countries" ma:readOnly="false" ma:showField="Title" ma:web="df6b2545-d15d-4d63-86ca-644416e434f8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ions" ma:index="11" nillable="true" ma:displayName="Regions" ma:default="Not Applicable" ma:internalName="Region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Applicable"/>
                    <xsd:enumeration value="Central Asia"/>
                    <xsd:enumeration value="Eastern Europe"/>
                    <xsd:enumeration value="South Eastern Europe and Turkey (SEET)"/>
                    <xsd:enumeration value="Southern and Eastern Mediterranean (SEMED)"/>
                  </xsd:restriction>
                </xsd:simpleType>
              </xsd:element>
            </xsd:sequence>
          </xsd:extension>
        </xsd:complexContent>
      </xsd:complexType>
    </xsd:element>
    <xsd:element name="PA_EL" ma:index="12" nillable="true" ma:displayName="Project Activity" ma:list="{8b232e82-f23a-4f58-9337-9e613eb3e276}" ma:internalName="PA_EL" ma:showField="Title" ma:web="df6b2545-d15d-4d63-86ca-644416e434f8">
      <xsd:simpleType>
        <xsd:restriction base="dms:Lookup"/>
      </xsd:simpleType>
    </xsd:element>
    <xsd:element name="Functions" ma:index="13" nillable="true" ma:displayName="Functions" ma:internalName="Fun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1 Input to the Commission"/>
                    <xsd:enumeration value="F2 Capacity building"/>
                    <xsd:enumeration value="F3 Policy analysis"/>
                    <xsd:enumeration value="F4 Dissemination and networking"/>
                  </xsd:restriction>
                </xsd:simpleType>
              </xsd:element>
            </xsd:sequence>
          </xsd:extension>
        </xsd:complexContent>
      </xsd:complexType>
    </xsd:element>
    <xsd:element name="General_x0020_Keywords" ma:index="22" nillable="true" ma:displayName="General Keywords" ma:hidden="true" ma:internalName="General_x0020_Keyword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Audit"/>
                    <xsd:enumeration value="Budget"/>
                    <xsd:enumeration value="Communication"/>
                    <xsd:enumeration value="Corporate"/>
                    <xsd:enumeration value="Correspondence"/>
                    <xsd:enumeration value="Evaluation"/>
                    <xsd:enumeration value="Facilities"/>
                    <xsd:enumeration value="Finance"/>
                    <xsd:enumeration value="Governance"/>
                    <xsd:enumeration value="Human resources"/>
                    <xsd:enumeration value="ICT"/>
                    <xsd:enumeration value="Management"/>
                    <xsd:enumeration value="Monitoring"/>
                    <xsd:enumeration value="Operations"/>
                    <xsd:enumeration value="Organisational development"/>
                    <xsd:enumeration value="Planning"/>
                    <xsd:enumeration value="Procurement"/>
                    <xsd:enumeration value="Reporting"/>
                    <xsd:enumeration value="Staff committee"/>
                    <xsd:enumeration value="Strategy"/>
                  </xsd:restriction>
                </xsd:simpleType>
              </xsd:element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60c3-2824-4ecd-8f49-5c18b8d0bf5f" elementFormDefault="qualified">
    <xsd:import namespace="http://schemas.microsoft.com/office/2006/documentManagement/types"/>
    <xsd:import namespace="http://schemas.microsoft.com/office/infopath/2007/PartnerControls"/>
    <xsd:element name="OperationsSubArea" ma:index="1" ma:displayName="Operations Sub Area" ma:format="Dropdown" ma:internalName="OperationsSubArea">
      <xsd:simpleType>
        <xsd:restriction base="dms:Choice">
          <xsd:enumeration value="Support to the EU policy and external assistance"/>
          <xsd:enumeration value="Policy analysis and system wide progress monitoring"/>
          <xsd:enumeration value="VET governance"/>
          <xsd:enumeration value="Qualifications and qualification system"/>
          <xsd:enumeration value="VET provision and quality"/>
          <xsd:enumeration value="Employment, employability and mobility"/>
          <xsd:enumeration value="Entrepreneurial learning and enterprise skills"/>
          <xsd:enumeration value="Country desks"/>
          <xsd:enumeration value="GEMM"/>
          <xsd:enumeration value="Statistics"/>
          <xsd:enumeration value="Knowledge management"/>
          <xsd:enumeration value="Capacity building"/>
          <xsd:enumeration value="Expertise development"/>
          <xsd:enumeration value="Regional activities"/>
          <xsd:enumeration value="Management and coordination"/>
          <xsd:enumeration value="Planning monitoring and reporting"/>
          <xsd:enumeration value="Finance and procurement"/>
        </xsd:restriction>
      </xsd:simpleType>
    </xsd:element>
    <xsd:element name="ReferenceYear" ma:index="4" ma:displayName="Reference Year" ma:default="2018" ma:format="Dropdown" ma:internalName="ReferenceYear">
      <xsd:simpleType>
        <xsd:restriction base="dms:Choice">
          <xsd:enumeration value="2030"/>
          <xsd:enumeration value="2029"/>
          <xsd:enumeration value="2028"/>
          <xsd:enumeration value="2027"/>
          <xsd:enumeration value="2026"/>
          <xsd:enumeration value="2025"/>
          <xsd:enumeration value="2024"/>
          <xsd:enumeration value="2023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0000"/>
        </xsd:restriction>
      </xsd:simpleType>
    </xsd:element>
    <xsd:element name="Authors" ma:index="5" nillable="true" ma:displayName="Authors" ma:internalName="Authors">
      <xsd:simpleType>
        <xsd:restriction base="dms:Text"/>
      </xsd:simpleType>
    </xsd:element>
    <xsd:element name="ETFLanguage" ma:index="6" nillable="true" ma:displayName="Language" ma:default="English" ma:format="Dropdown" ma:internalName="ETFLanguage">
      <xsd:simpleType>
        <xsd:restriction base="dms:Choice">
          <xsd:enumeration value="English"/>
          <xsd:enumeration value="Italian"/>
          <xsd:enumeration value="French"/>
          <xsd:enumeration value="German"/>
          <xsd:enumeration value="Spanish"/>
          <xsd:enumeration value="Arabic"/>
          <xsd:enumeration value="Russian"/>
          <xsd:enumeration value="Local language"/>
        </xsd:restriction>
      </xsd:simpleType>
    </xsd:element>
    <xsd:element name="ReferenceNumber" ma:index="7" nillable="true" ma:displayName="Reference Number" ma:internalName="ReferenceNumber">
      <xsd:simpleType>
        <xsd:restriction base="dms:Text"/>
      </xsd:simpleType>
    </xsd:element>
    <xsd:element name="Entrepreneurial_x0020_Keywords" ma:index="9" nillable="true" ma:displayName="Entrepreneurial Keywords" ma:internalName="Entrepreneurial_x0020_Keywo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trepreneurial Learning"/>
                    <xsd:enumeration value="SBA assessment"/>
                    <xsd:enumeration value="SBA follow-up"/>
                    <xsd:enumeration value="Good practice"/>
                    <xsd:enumeration value="EU support"/>
                    <xsd:enumeration value="EL communications"/>
                    <xsd:enumeration value="Competitiveness"/>
                    <xsd:enumeration value="Employability"/>
                    <xsd:enumeration value="Key competence"/>
                    <xsd:enumeration value="Indicators"/>
                    <xsd:enumeration value="Peer learning"/>
                    <xsd:enumeration value="Skills forecasting"/>
                    <xsd:enumeration value="Women"/>
                    <xsd:enumeration value="Youth"/>
                    <xsd:enumeration value="Growth"/>
                  </xsd:restriction>
                </xsd:simpleType>
              </xsd:element>
            </xsd:sequence>
          </xsd:extension>
        </xsd:complexContent>
      </xsd:complexType>
    </xsd:element>
    <xsd:element name="Status" ma:index="14" nillable="true" ma:displayName="Status" ma:hidden="true" ma:internalName="Status" ma:readOnly="false">
      <xsd:simpleType>
        <xsd:restriction base="dms:Choice">
          <xsd:enumeration value="Draft"/>
          <xsd:enumeration value="Final"/>
          <xsd:enumeration value="Expired"/>
        </xsd:restriction>
      </xsd:simpleType>
    </xsd:element>
    <xsd:element name="Origin" ma:index="15" nillable="true" ma:displayName="Origin" ma:hidden="true" ma:internalName="Origin" ma:readOnly="false">
      <xsd:simpleType>
        <xsd:restriction base="dms:Choice">
          <xsd:enumeration value="ETF"/>
          <xsd:enumeration value="External"/>
          <xsd:enumeration value="Commiss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S_x0020_Tags xmlns="df6b2545-d15d-4d63-86ca-644416e434f8">
      <Value>Competences</Value>
      <Value>Entrepreneurial learning</Value>
      <Value>Teaching and learning</Value>
    </OPS_x0020_Tags>
    <PA_EL xmlns="df6b2545-d15d-4d63-86ca-644416e434f8">11</PA_EL>
    <Operations_x0020_Document_x0020_Type xmlns="df6b2545-d15d-4d63-86ca-644416e434f8">Note</Operations_x0020_Document_x0020_Type>
    <Countries xmlns="df6b2545-d15d-4d63-86ca-644416e434f8">
      <Value>231</Value>
    </Countries>
    <ReferenceYear xmlns="050d60c3-2824-4ecd-8f49-5c18b8d0bf5f">2018</ReferenceYear>
    <Regions xmlns="df6b2545-d15d-4d63-86ca-644416e434f8">
      <Value>Not Applicable</Value>
    </Regions>
    <Functions xmlns="df6b2545-d15d-4d63-86ca-644416e434f8">
      <Value>F4 Dissemination and networking</Value>
    </Functions>
    <Status xmlns="050d60c3-2824-4ecd-8f49-5c18b8d0bf5f" xsi:nil="true"/>
    <Origin xmlns="050d60c3-2824-4ecd-8f49-5c18b8d0bf5f" xsi:nil="true"/>
    <ReferenceNumber xmlns="050d60c3-2824-4ecd-8f49-5c18b8d0bf5f" xsi:nil="true"/>
    <Authors xmlns="050d60c3-2824-4ecd-8f49-5c18b8d0bf5f" xsi:nil="true"/>
    <ETFLanguage xmlns="050d60c3-2824-4ecd-8f49-5c18b8d0bf5f">English</ETFLanguage>
    <Entrepreneurial_x0020_Keywords xmlns="050d60c3-2824-4ecd-8f49-5c18b8d0bf5f">
      <Value>Entrepreneurial Learning</Value>
    </Entrepreneurial_x0020_Keywords>
    <General_x0020_Keywords xmlns="df6b2545-d15d-4d63-86ca-644416e434f8"/>
    <OperationsSubArea xmlns="050d60c3-2824-4ecd-8f49-5c18b8d0bf5f">Entrepreneurial learning and enterprise skills</OperationsSubArea>
    <_dlc_DocId xmlns="df6b2545-d15d-4d63-86ca-644416e434f8">ETFDMS-1299117500-1285</_dlc_DocId>
    <_dlc_DocIdUrl xmlns="df6b2545-d15d-4d63-86ca-644416e434f8">
      <Url>https://sharing.etf.europa.eu/sites/dms/ops/el/_layouts/15/DocIdRedir.aspx?ID=ETFDMS-1299117500-1285</Url>
      <Description>ETFDMS-1299117500-1285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DFD0-9BD0-4EDE-BEC4-70C303AD4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2545-d15d-4d63-86ca-644416e434f8"/>
    <ds:schemaRef ds:uri="050d60c3-2824-4ecd-8f49-5c18b8d0b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34B11-9F1A-49CB-8532-0EB9ED3AAA59}">
  <ds:schemaRefs>
    <ds:schemaRef ds:uri="http://schemas.microsoft.com/office/2006/metadata/properties"/>
    <ds:schemaRef ds:uri="http://schemas.microsoft.com/office/infopath/2007/PartnerControls"/>
    <ds:schemaRef ds:uri="df6b2545-d15d-4d63-86ca-644416e434f8"/>
    <ds:schemaRef ds:uri="050d60c3-2824-4ecd-8f49-5c18b8d0bf5f"/>
  </ds:schemaRefs>
</ds:datastoreItem>
</file>

<file path=customXml/itemProps3.xml><?xml version="1.0" encoding="utf-8"?>
<ds:datastoreItem xmlns:ds="http://schemas.openxmlformats.org/officeDocument/2006/customXml" ds:itemID="{98096D42-013B-46C8-BDCB-C15E16C2F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DD2B0-B088-4A60-9E73-06352EC34E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1143CC-3610-4356-BD01-F06F8A48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call_ETF Entrepreneurship Key Competence Award</vt:lpstr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call_ETF Entrepreneurship Key Competence Award</dc:title>
  <dc:subject/>
  <dc:creator>Anthony Gribben</dc:creator>
  <cp:keywords/>
  <dc:description/>
  <cp:lastModifiedBy>PC</cp:lastModifiedBy>
  <cp:revision>2</cp:revision>
  <cp:lastPrinted>2018-04-05T08:02:00Z</cp:lastPrinted>
  <dcterms:created xsi:type="dcterms:W3CDTF">2018-04-12T20:18:00Z</dcterms:created>
  <dcterms:modified xsi:type="dcterms:W3CDTF">2018-04-12T20:18:00Z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0x01010018C77CAB493C4CC28C851D171ACDEB5D0200826E317276852546843F45A993757954</vt:lpwstr>
  </property>
  <property fmtid="{D5CDD505-2E9C-101B-9397-08002B2CF9AE}" pid="3" name="Area">
    <vt:lpwstr>Operations</vt:lpwstr>
  </property>
  <property fmtid="{D5CDD505-2E9C-101B-9397-08002B2CF9AE}" pid="4" name="_dlc_DocIdItemGuid">
    <vt:lpwstr>dd72743c-0b5e-48e0-b80f-3a8077d3788f</vt:lpwstr>
  </property>
</Properties>
</file>