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73B" w:rsidRDefault="0037673B">
      <w:pPr>
        <w:shd w:val="clear" w:color="auto" w:fill="FFFFFF"/>
        <w:spacing w:after="105"/>
        <w:jc w:val="center"/>
        <w:outlineLvl w:val="0"/>
        <w:rPr>
          <w:b/>
          <w:bCs/>
          <w:kern w:val="36"/>
          <w:lang w:val="sr-Cyrl-CS"/>
        </w:rPr>
      </w:pPr>
    </w:p>
    <w:p w:rsidR="0037673B" w:rsidRDefault="0037673B">
      <w:pPr>
        <w:shd w:val="clear" w:color="auto" w:fill="FFFFFF"/>
        <w:spacing w:before="100" w:beforeAutospacing="1" w:after="168" w:line="270" w:lineRule="atLeast"/>
        <w:ind w:firstLine="720"/>
        <w:jc w:val="both"/>
        <w:rPr>
          <w:color w:val="6C6E70"/>
          <w:lang w:val="ru-RU"/>
        </w:rPr>
      </w:pPr>
      <w:r>
        <w:rPr>
          <w:lang w:val="ru-RU"/>
        </w:rPr>
        <w:t>На основу члана 55. став 1. тачка 2. и члана 60. став 1. тачка 1. Закона о јавним набавкама („Службени гласник РС“, број 124/12</w:t>
      </w:r>
      <w:r>
        <w:t>,</w:t>
      </w:r>
      <w:r>
        <w:rPr>
          <w:lang w:val="ru-RU"/>
        </w:rPr>
        <w:t xml:space="preserve"> 14/15</w:t>
      </w:r>
      <w:r>
        <w:t xml:space="preserve"> </w:t>
      </w:r>
      <w:r>
        <w:rPr>
          <w:lang w:val="sr-Cyrl-CS"/>
        </w:rPr>
        <w:t>и 68/15</w:t>
      </w:r>
      <w:r>
        <w:rPr>
          <w:lang w:val="ru-RU"/>
        </w:rPr>
        <w:t xml:space="preserve">), </w:t>
      </w:r>
      <w:r>
        <w:rPr>
          <w:lang w:val="sr-Cyrl-CS"/>
        </w:rPr>
        <w:t xml:space="preserve"> Министарство за рад, запошљавање, борачка и социјална питања</w:t>
      </w:r>
    </w:p>
    <w:p w:rsidR="0037673B" w:rsidRDefault="0037673B">
      <w:pPr>
        <w:shd w:val="clear" w:color="auto" w:fill="FFFFFF"/>
        <w:spacing w:before="100" w:beforeAutospacing="1" w:after="168" w:line="270" w:lineRule="atLeast"/>
        <w:jc w:val="center"/>
        <w:rPr>
          <w:lang w:val="ru-RU"/>
        </w:rPr>
      </w:pPr>
      <w:r>
        <w:rPr>
          <w:lang w:val="ru-RU"/>
        </w:rPr>
        <w:t>објављује</w:t>
      </w:r>
    </w:p>
    <w:p w:rsidR="0037673B" w:rsidRDefault="0037673B">
      <w:pPr>
        <w:shd w:val="clear" w:color="auto" w:fill="FFFFFF"/>
        <w:spacing w:before="100" w:beforeAutospacing="1" w:after="168" w:line="270" w:lineRule="atLeast"/>
        <w:jc w:val="center"/>
        <w:rPr>
          <w:lang w:val="ru-RU"/>
        </w:rPr>
      </w:pPr>
      <w:r>
        <w:rPr>
          <w:b/>
          <w:bCs/>
          <w:lang w:val="ru-RU"/>
        </w:rPr>
        <w:t>ПОЗИВ ЗА ПОДНОШЕЊЕ ПОНУДА (</w:t>
      </w:r>
      <w:r w:rsidR="00DA4327">
        <w:rPr>
          <w:b/>
          <w:bCs/>
          <w:lang w:val="sr-Latn-RS"/>
        </w:rPr>
        <w:t>2</w:t>
      </w:r>
      <w:r w:rsidR="000D5600">
        <w:rPr>
          <w:b/>
          <w:bCs/>
          <w:lang w:val="sr-Cyrl-CS"/>
        </w:rPr>
        <w:t>/2018</w:t>
      </w:r>
      <w:r>
        <w:rPr>
          <w:b/>
          <w:bCs/>
          <w:lang w:val="ru-RU"/>
        </w:rPr>
        <w:t>)</w:t>
      </w:r>
    </w:p>
    <w:p w:rsidR="0037673B" w:rsidRDefault="0037673B">
      <w:pPr>
        <w:pStyle w:val="NoSpacing"/>
        <w:rPr>
          <w:u w:val="single"/>
          <w:lang w:val="sr-Cyrl-CS"/>
        </w:rPr>
      </w:pPr>
      <w:r>
        <w:rPr>
          <w:rFonts w:ascii="Times New Roman" w:hAnsi="Times New Roman"/>
          <w:b/>
          <w:bCs/>
          <w:sz w:val="24"/>
          <w:szCs w:val="24"/>
          <w:lang w:val="ru-RU"/>
        </w:rPr>
        <w:t>Назив наручиоца</w:t>
      </w:r>
      <w:r>
        <w:rPr>
          <w:rFonts w:ascii="Times New Roman" w:hAnsi="Times New Roman"/>
          <w:sz w:val="24"/>
          <w:szCs w:val="24"/>
          <w:lang w:val="ru-RU"/>
        </w:rPr>
        <w:t xml:space="preserve">: </w:t>
      </w:r>
      <w:r w:rsidRPr="00380769">
        <w:rPr>
          <w:rFonts w:ascii="Times New Roman" w:hAnsi="Times New Roman"/>
          <w:bCs/>
          <w:sz w:val="24"/>
          <w:szCs w:val="24"/>
          <w:lang w:val="sr-Cyrl-CS"/>
        </w:rPr>
        <w:t xml:space="preserve">РЕПУБЛИКА СРБИЈА, </w:t>
      </w:r>
      <w:r w:rsidRPr="00380769">
        <w:rPr>
          <w:rFonts w:ascii="Times New Roman" w:hAnsi="Times New Roman"/>
          <w:bCs/>
          <w:sz w:val="24"/>
          <w:szCs w:val="24"/>
          <w:lang w:val="ru-RU"/>
        </w:rPr>
        <w:t>МИНИСТАРСТВО ЗА РАД</w:t>
      </w:r>
      <w:r w:rsidR="00380769">
        <w:rPr>
          <w:rFonts w:ascii="Times New Roman" w:hAnsi="Times New Roman"/>
          <w:bCs/>
          <w:sz w:val="24"/>
          <w:szCs w:val="24"/>
          <w:lang w:val="sr-Cyrl-CS"/>
        </w:rPr>
        <w:t xml:space="preserve">,  </w:t>
      </w:r>
      <w:r w:rsidRPr="00380769">
        <w:rPr>
          <w:rFonts w:ascii="Times New Roman" w:hAnsi="Times New Roman"/>
          <w:bCs/>
          <w:sz w:val="24"/>
          <w:szCs w:val="24"/>
          <w:lang w:val="sr-Cyrl-CS"/>
        </w:rPr>
        <w:t xml:space="preserve">ЗАПОШЉАВАЊЕ, БОРАЧКА   </w:t>
      </w:r>
      <w:r w:rsidRPr="00380769">
        <w:rPr>
          <w:rFonts w:ascii="Times New Roman" w:hAnsi="Times New Roman"/>
          <w:bCs/>
          <w:sz w:val="24"/>
          <w:szCs w:val="24"/>
          <w:lang w:val="ru-RU"/>
        </w:rPr>
        <w:t>И СОЦИЈАЛНА   ПИТАЊА</w:t>
      </w:r>
      <w:r w:rsidRPr="00380769">
        <w:rPr>
          <w:rFonts w:ascii="Times New Roman" w:hAnsi="Times New Roman"/>
          <w:bCs/>
          <w:sz w:val="24"/>
          <w:szCs w:val="24"/>
          <w:lang w:val="ru-RU"/>
        </w:rPr>
        <w:br/>
      </w:r>
      <w:r>
        <w:rPr>
          <w:rFonts w:ascii="Times New Roman" w:hAnsi="Times New Roman"/>
          <w:b/>
          <w:bCs/>
          <w:sz w:val="24"/>
          <w:szCs w:val="24"/>
          <w:lang w:val="ru-RU"/>
        </w:rPr>
        <w:t>Адреса наручиоца</w:t>
      </w:r>
      <w:r>
        <w:rPr>
          <w:rFonts w:ascii="Times New Roman" w:hAnsi="Times New Roman"/>
          <w:sz w:val="24"/>
          <w:szCs w:val="24"/>
          <w:lang w:val="ru-RU"/>
        </w:rPr>
        <w:t xml:space="preserve">: </w:t>
      </w:r>
      <w:r w:rsidRPr="005F7F8A">
        <w:rPr>
          <w:rFonts w:ascii="Times New Roman" w:hAnsi="Times New Roman"/>
          <w:sz w:val="24"/>
          <w:szCs w:val="24"/>
          <w:lang w:val="sr-Latn-CS"/>
        </w:rPr>
        <w:t>Немањина 22-26</w:t>
      </w:r>
      <w:r w:rsidRPr="005F7F8A">
        <w:rPr>
          <w:rFonts w:ascii="Times New Roman" w:hAnsi="Times New Roman"/>
          <w:sz w:val="24"/>
          <w:szCs w:val="24"/>
          <w:lang w:val="ru-RU"/>
        </w:rPr>
        <w:t xml:space="preserve">, Београд </w:t>
      </w:r>
      <w:r>
        <w:rPr>
          <w:rFonts w:ascii="Times New Roman" w:hAnsi="Times New Roman"/>
          <w:b/>
          <w:bCs/>
          <w:sz w:val="24"/>
          <w:szCs w:val="24"/>
          <w:lang w:val="ru-RU"/>
        </w:rPr>
        <w:br/>
        <w:t>Интернет страница наручиоца</w:t>
      </w:r>
      <w:r>
        <w:rPr>
          <w:rFonts w:ascii="Times New Roman" w:hAnsi="Times New Roman"/>
          <w:sz w:val="24"/>
          <w:szCs w:val="24"/>
          <w:lang w:val="ru-RU"/>
        </w:rPr>
        <w:t>:</w:t>
      </w:r>
      <w:r>
        <w:rPr>
          <w:rFonts w:ascii="Times New Roman" w:hAnsi="Times New Roman"/>
          <w:sz w:val="24"/>
          <w:szCs w:val="24"/>
        </w:rPr>
        <w:t> </w:t>
      </w:r>
      <w:hyperlink r:id="rId5" w:history="1">
        <w:r w:rsidRPr="00380769">
          <w:rPr>
            <w:rStyle w:val="Hyperlink"/>
            <w:color w:val="0070C0"/>
            <w:lang w:val="sr-Latn-CS"/>
          </w:rPr>
          <w:t>www.minrzs.gov.rs</w:t>
        </w:r>
      </w:hyperlink>
    </w:p>
    <w:p w:rsidR="0037673B" w:rsidRDefault="0037673B">
      <w:pPr>
        <w:pStyle w:val="NoSpacing"/>
        <w:rPr>
          <w:rFonts w:ascii="Times New Roman" w:hAnsi="Times New Roman"/>
          <w:bCs/>
          <w:color w:val="000000"/>
          <w:sz w:val="24"/>
          <w:szCs w:val="24"/>
          <w:lang w:val="ru-RU"/>
        </w:rPr>
      </w:pPr>
      <w:r>
        <w:rPr>
          <w:rFonts w:ascii="Times New Roman" w:hAnsi="Times New Roman"/>
          <w:b/>
          <w:bCs/>
          <w:sz w:val="24"/>
          <w:szCs w:val="24"/>
          <w:lang w:val="ru-RU"/>
        </w:rPr>
        <w:t xml:space="preserve">Врста наручиоца: </w:t>
      </w:r>
      <w:r>
        <w:rPr>
          <w:rFonts w:ascii="Times New Roman" w:hAnsi="Times New Roman"/>
          <w:sz w:val="24"/>
          <w:szCs w:val="24"/>
          <w:lang w:val="sr-Cyrl-CS"/>
        </w:rPr>
        <w:t>Орган државне управе</w:t>
      </w:r>
      <w:r>
        <w:rPr>
          <w:rFonts w:ascii="Times New Roman" w:hAnsi="Times New Roman"/>
          <w:b/>
          <w:bCs/>
          <w:sz w:val="24"/>
          <w:szCs w:val="24"/>
          <w:lang w:val="ru-RU"/>
        </w:rPr>
        <w:br/>
        <w:t>Врста поступка јавне набавке</w:t>
      </w:r>
      <w:r>
        <w:rPr>
          <w:rFonts w:ascii="Times New Roman" w:hAnsi="Times New Roman"/>
          <w:sz w:val="24"/>
          <w:szCs w:val="24"/>
          <w:lang w:val="ru-RU"/>
        </w:rPr>
        <w:t>: Отворени поступак</w:t>
      </w:r>
      <w:r>
        <w:rPr>
          <w:rFonts w:ascii="Times New Roman" w:hAnsi="Times New Roman"/>
          <w:b/>
          <w:bCs/>
          <w:sz w:val="24"/>
          <w:szCs w:val="24"/>
          <w:lang w:val="ru-RU"/>
        </w:rPr>
        <w:br/>
        <w:t>Врста предмета набавке</w:t>
      </w:r>
      <w:r>
        <w:rPr>
          <w:rFonts w:ascii="Times New Roman" w:hAnsi="Times New Roman"/>
          <w:sz w:val="24"/>
          <w:szCs w:val="24"/>
          <w:lang w:val="ru-RU"/>
        </w:rPr>
        <w:t>: Услуг</w:t>
      </w:r>
      <w:r>
        <w:rPr>
          <w:rFonts w:ascii="Times New Roman" w:hAnsi="Times New Roman"/>
          <w:sz w:val="24"/>
          <w:szCs w:val="24"/>
          <w:lang w:val="sr-Cyrl-CS"/>
        </w:rPr>
        <w:t>е</w:t>
      </w:r>
      <w:r>
        <w:rPr>
          <w:rFonts w:ascii="Times New Roman" w:hAnsi="Times New Roman"/>
          <w:b/>
          <w:bCs/>
          <w:sz w:val="24"/>
          <w:szCs w:val="24"/>
          <w:lang w:val="ru-RU"/>
        </w:rPr>
        <w:br/>
        <w:t>Опис предмета набавке</w:t>
      </w:r>
      <w:r>
        <w:rPr>
          <w:rFonts w:ascii="Times New Roman" w:hAnsi="Times New Roman"/>
          <w:color w:val="6C6E70"/>
          <w:sz w:val="24"/>
          <w:szCs w:val="24"/>
          <w:lang w:val="ru-RU"/>
        </w:rPr>
        <w:t>:</w:t>
      </w:r>
      <w:r>
        <w:rPr>
          <w:rFonts w:ascii="Times New Roman" w:hAnsi="Times New Roman"/>
          <w:color w:val="6C6E70"/>
          <w:sz w:val="24"/>
          <w:szCs w:val="24"/>
        </w:rPr>
        <w:t xml:space="preserve"> </w:t>
      </w:r>
      <w:r>
        <w:rPr>
          <w:rFonts w:ascii="Times New Roman" w:eastAsia="Times New Roman" w:hAnsi="Times New Roman"/>
          <w:sz w:val="24"/>
          <w:szCs w:val="24"/>
          <w:lang w:val="sr-Cyrl-CS"/>
        </w:rPr>
        <w:t>Организовање и реализација свечаности поводом обележавања значајних историјских догађаја из ослободилачких ратова Србије у 201</w:t>
      </w:r>
      <w:r w:rsidR="000D5600">
        <w:rPr>
          <w:rFonts w:ascii="Times New Roman" w:eastAsia="Times New Roman" w:hAnsi="Times New Roman"/>
          <w:sz w:val="24"/>
          <w:szCs w:val="24"/>
          <w:lang w:val="sr-Latn-RS"/>
        </w:rPr>
        <w:t>8</w:t>
      </w:r>
      <w:r>
        <w:rPr>
          <w:rFonts w:ascii="Times New Roman" w:eastAsia="Times New Roman" w:hAnsi="Times New Roman"/>
          <w:sz w:val="24"/>
          <w:szCs w:val="24"/>
          <w:lang w:val="sr-Cyrl-CS"/>
        </w:rPr>
        <w:t>. години,</w:t>
      </w:r>
      <w:r>
        <w:rPr>
          <w:rFonts w:ascii="Times New Roman" w:hAnsi="Times New Roman"/>
          <w:bCs/>
          <w:color w:val="000000"/>
          <w:sz w:val="24"/>
          <w:szCs w:val="24"/>
          <w:lang w:val="ru-RU"/>
        </w:rPr>
        <w:t xml:space="preserve"> обликоване по партијама, </w:t>
      </w:r>
    </w:p>
    <w:p w:rsidR="0037673B" w:rsidRDefault="0037673B">
      <w:pPr>
        <w:pStyle w:val="NoSpacing"/>
        <w:rPr>
          <w:rFonts w:ascii="Times New Roman" w:hAnsi="Times New Roman"/>
          <w:sz w:val="24"/>
          <w:lang w:val="ru-RU"/>
        </w:rPr>
      </w:pPr>
      <w:r>
        <w:rPr>
          <w:rFonts w:ascii="Times New Roman" w:hAnsi="Times New Roman"/>
          <w:sz w:val="24"/>
          <w:lang w:val="ru-RU"/>
        </w:rPr>
        <w:t xml:space="preserve">Ознака ОРН </w:t>
      </w:r>
      <w:r>
        <w:rPr>
          <w:rFonts w:ascii="Times New Roman" w:hAnsi="Times New Roman"/>
          <w:iCs/>
          <w:sz w:val="24"/>
          <w:lang w:val="sr-Cyrl-CS"/>
        </w:rPr>
        <w:t>79954000 - услуге организовања прослава</w:t>
      </w:r>
      <w:r>
        <w:rPr>
          <w:rFonts w:ascii="Times New Roman" w:hAnsi="Times New Roman"/>
          <w:sz w:val="24"/>
          <w:lang w:val="ru-RU"/>
        </w:rPr>
        <w:t>.</w:t>
      </w:r>
    </w:p>
    <w:p w:rsidR="0037673B" w:rsidRDefault="0037673B">
      <w:pPr>
        <w:pStyle w:val="NoSpacing"/>
        <w:rPr>
          <w:rFonts w:ascii="Times New Roman" w:hAnsi="Times New Roman"/>
          <w:sz w:val="24"/>
          <w:szCs w:val="24"/>
          <w:lang w:val="ru-RU"/>
        </w:rPr>
      </w:pPr>
    </w:p>
    <w:p w:rsidR="0037673B" w:rsidRPr="00380769" w:rsidRDefault="0037673B">
      <w:pPr>
        <w:shd w:val="clear" w:color="auto" w:fill="FFFFFF"/>
        <w:rPr>
          <w:lang w:val="sr-Cyrl-RS"/>
        </w:rPr>
      </w:pPr>
      <w:r>
        <w:rPr>
          <w:b/>
          <w:bCs/>
          <w:lang w:val="ru-RU"/>
        </w:rPr>
        <w:t>Број партија:</w:t>
      </w:r>
      <w:r>
        <w:t> </w:t>
      </w:r>
      <w:r w:rsidR="00206EFC">
        <w:rPr>
          <w:lang w:val="sr-Cyrl-RS"/>
        </w:rPr>
        <w:t>16</w:t>
      </w:r>
      <w:r w:rsidR="00380769">
        <w:rPr>
          <w:lang w:val="sr-Latn-CS"/>
        </w:rPr>
        <w:t xml:space="preserve">  </w:t>
      </w:r>
      <w:r w:rsidR="00380769">
        <w:rPr>
          <w:lang w:val="ru-RU"/>
        </w:rPr>
        <w:t>партиј</w:t>
      </w:r>
      <w:r w:rsidR="00380769">
        <w:rPr>
          <w:lang w:val="sr-Latn-CS"/>
        </w:rPr>
        <w:t>a</w:t>
      </w:r>
      <w:r>
        <w:rPr>
          <w:lang w:val="ru-RU"/>
        </w:rPr>
        <w:t xml:space="preserve">, </w:t>
      </w:r>
      <w:r w:rsidR="00B71FCF">
        <w:rPr>
          <w:lang w:val="sr-Cyrl-CS"/>
        </w:rPr>
        <w:t xml:space="preserve">укупне процењене вредности </w:t>
      </w:r>
      <w:r w:rsidR="00B71FCF">
        <w:rPr>
          <w:lang w:val="sr-Cyrl-RS"/>
        </w:rPr>
        <w:t xml:space="preserve">23.291.667,оо дин. </w:t>
      </w:r>
      <w:r w:rsidR="00B71FCF">
        <w:t xml:space="preserve"> </w:t>
      </w:r>
      <w:proofErr w:type="spellStart"/>
      <w:proofErr w:type="gramStart"/>
      <w:r w:rsidR="00B71FCF" w:rsidRPr="0076267F">
        <w:t>без</w:t>
      </w:r>
      <w:proofErr w:type="spellEnd"/>
      <w:proofErr w:type="gramEnd"/>
      <w:r w:rsidR="00B71FCF" w:rsidRPr="0076267F">
        <w:t xml:space="preserve"> ПДВ</w:t>
      </w:r>
      <w:r w:rsidR="00B71FCF">
        <w:t>-а</w:t>
      </w:r>
      <w:r w:rsidR="00B71FCF">
        <w:rPr>
          <w:lang w:val="sr-Cyrl-CS"/>
        </w:rPr>
        <w:t>,</w:t>
      </w:r>
      <w:r w:rsidR="00B71FCF" w:rsidRPr="0076267F">
        <w:t xml:space="preserve">  </w:t>
      </w:r>
      <w:r w:rsidR="00B71FCF" w:rsidRPr="008F114B">
        <w:rPr>
          <w:iCs/>
        </w:rPr>
        <w:t xml:space="preserve">и </w:t>
      </w:r>
      <w:proofErr w:type="spellStart"/>
      <w:r w:rsidR="00B71FCF" w:rsidRPr="008F114B">
        <w:rPr>
          <w:iCs/>
        </w:rPr>
        <w:t>то</w:t>
      </w:r>
      <w:proofErr w:type="spellEnd"/>
      <w:r w:rsidR="00B71FCF" w:rsidRPr="008F114B">
        <w:rPr>
          <w:iCs/>
        </w:rPr>
        <w:t xml:space="preserve">: </w:t>
      </w:r>
    </w:p>
    <w:p w:rsidR="00206EFC" w:rsidRPr="00206EFC" w:rsidRDefault="00206EFC" w:rsidP="00206EFC">
      <w:pPr>
        <w:suppressAutoHyphens/>
        <w:spacing w:line="100" w:lineRule="atLeast"/>
        <w:jc w:val="both"/>
        <w:rPr>
          <w:rFonts w:eastAsia="Arial Unicode MS"/>
          <w:b/>
          <w:bCs/>
          <w:i/>
          <w:iCs/>
          <w:kern w:val="1"/>
          <w:lang w:eastAsia="ar-S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0"/>
        <w:gridCol w:w="2551"/>
      </w:tblGrid>
      <w:tr w:rsidR="00206EFC" w:rsidRPr="00206EFC" w:rsidTr="00316A91">
        <w:tc>
          <w:tcPr>
            <w:tcW w:w="851" w:type="dxa"/>
          </w:tcPr>
          <w:p w:rsidR="00206EFC" w:rsidRPr="00206EFC" w:rsidRDefault="00206EFC" w:rsidP="00206EFC">
            <w:pPr>
              <w:ind w:left="-108" w:right="-108"/>
              <w:jc w:val="center"/>
              <w:rPr>
                <w:sz w:val="22"/>
                <w:szCs w:val="22"/>
                <w:lang w:val="ru-RU"/>
              </w:rPr>
            </w:pPr>
            <w:r w:rsidRPr="00206EFC">
              <w:rPr>
                <w:sz w:val="22"/>
                <w:szCs w:val="22"/>
                <w:lang w:val="ru-RU"/>
              </w:rPr>
              <w:t>Број Партије</w:t>
            </w:r>
          </w:p>
        </w:tc>
        <w:tc>
          <w:tcPr>
            <w:tcW w:w="5670" w:type="dxa"/>
          </w:tcPr>
          <w:p w:rsidR="00206EFC" w:rsidRPr="00206EFC" w:rsidRDefault="00206EFC" w:rsidP="00206EFC">
            <w:pPr>
              <w:ind w:left="-108" w:right="-108"/>
              <w:jc w:val="center"/>
              <w:rPr>
                <w:lang w:val="sr-Cyrl-CS"/>
              </w:rPr>
            </w:pPr>
            <w:r w:rsidRPr="00206EFC">
              <w:rPr>
                <w:lang w:val="sr-Cyrl-CS"/>
              </w:rPr>
              <w:t>О п и с</w:t>
            </w:r>
          </w:p>
          <w:p w:rsidR="00206EFC" w:rsidRPr="00206EFC" w:rsidRDefault="00206EFC" w:rsidP="00206EFC">
            <w:pPr>
              <w:ind w:left="-108" w:right="-108"/>
              <w:jc w:val="center"/>
              <w:rPr>
                <w:lang w:val="sr-Cyrl-CS"/>
              </w:rPr>
            </w:pPr>
            <w:r w:rsidRPr="00206EFC">
              <w:rPr>
                <w:lang w:val="sr-Cyrl-CS"/>
              </w:rPr>
              <w:t>(Историјски догађај)</w:t>
            </w:r>
          </w:p>
        </w:tc>
        <w:tc>
          <w:tcPr>
            <w:tcW w:w="2551" w:type="dxa"/>
          </w:tcPr>
          <w:p w:rsidR="00206EFC" w:rsidRPr="00206EFC" w:rsidRDefault="00206EFC" w:rsidP="00206EFC">
            <w:pPr>
              <w:ind w:right="-108"/>
              <w:rPr>
                <w:lang w:val="sr-Cyrl-CS"/>
              </w:rPr>
            </w:pPr>
            <w:r w:rsidRPr="00206EFC">
              <w:rPr>
                <w:lang w:val="sr-Cyrl-CS"/>
              </w:rPr>
              <w:t xml:space="preserve">Процењена вредност </w:t>
            </w:r>
          </w:p>
          <w:p w:rsidR="00206EFC" w:rsidRPr="00206EFC" w:rsidRDefault="00206EFC" w:rsidP="00206EFC">
            <w:pPr>
              <w:ind w:left="-108" w:right="-108"/>
              <w:rPr>
                <w:lang w:val="sr-Cyrl-CS"/>
              </w:rPr>
            </w:pPr>
            <w:r w:rsidRPr="00206EFC">
              <w:rPr>
                <w:lang w:val="sr-Cyrl-CS"/>
              </w:rPr>
              <w:t xml:space="preserve">  у динарима, без ПДВ-а</w:t>
            </w:r>
          </w:p>
        </w:tc>
      </w:tr>
      <w:tr w:rsidR="00206EFC" w:rsidRPr="00206EFC" w:rsidTr="00316A91">
        <w:tc>
          <w:tcPr>
            <w:tcW w:w="851" w:type="dxa"/>
          </w:tcPr>
          <w:p w:rsidR="00206EFC" w:rsidRPr="00206EFC" w:rsidRDefault="00206EFC" w:rsidP="00206EFC">
            <w:pPr>
              <w:jc w:val="center"/>
              <w:rPr>
                <w:sz w:val="22"/>
                <w:szCs w:val="22"/>
                <w:lang w:val="ru-RU"/>
              </w:rPr>
            </w:pPr>
            <w:r w:rsidRPr="00206EFC">
              <w:rPr>
                <w:sz w:val="22"/>
                <w:szCs w:val="22"/>
                <w:lang w:val="ru-RU"/>
              </w:rPr>
              <w:t>1</w:t>
            </w:r>
          </w:p>
        </w:tc>
        <w:tc>
          <w:tcPr>
            <w:tcW w:w="5670" w:type="dxa"/>
          </w:tcPr>
          <w:p w:rsidR="00206EFC" w:rsidRPr="00206EFC" w:rsidRDefault="00206EFC" w:rsidP="00206EFC">
            <w:pPr>
              <w:rPr>
                <w:rFonts w:eastAsia="Arial Unicode MS"/>
                <w:color w:val="000000"/>
                <w:kern w:val="1"/>
                <w:lang w:val="sr-Cyrl-CS" w:eastAsia="ar-SA"/>
              </w:rPr>
            </w:pPr>
            <w:r w:rsidRPr="00206EFC">
              <w:rPr>
                <w:rFonts w:eastAsia="Arial Unicode MS"/>
                <w:color w:val="000000"/>
                <w:kern w:val="1"/>
                <w:lang w:val="sr-Cyrl-CS" w:eastAsia="ar-SA"/>
              </w:rPr>
              <w:t>Пробој Сремског фронта</w:t>
            </w:r>
          </w:p>
          <w:p w:rsidR="00206EFC" w:rsidRPr="00206EFC" w:rsidRDefault="00206EFC" w:rsidP="00206EFC">
            <w:pPr>
              <w:rPr>
                <w:rFonts w:eastAsia="Arial Unicode MS"/>
                <w:color w:val="000000"/>
                <w:kern w:val="1"/>
                <w:lang w:val="sr-Cyrl-CS" w:eastAsia="ar-SA"/>
              </w:rPr>
            </w:pPr>
          </w:p>
        </w:tc>
        <w:tc>
          <w:tcPr>
            <w:tcW w:w="2551" w:type="dxa"/>
          </w:tcPr>
          <w:p w:rsidR="00206EFC" w:rsidRPr="00206EFC" w:rsidRDefault="00206EFC" w:rsidP="00206EFC">
            <w:pPr>
              <w:suppressAutoHyphens/>
              <w:spacing w:line="100" w:lineRule="atLeast"/>
              <w:jc w:val="right"/>
              <w:rPr>
                <w:rFonts w:eastAsia="Arial Unicode MS"/>
                <w:color w:val="000000"/>
                <w:kern w:val="1"/>
                <w:lang w:val="sr-Cyrl-RS" w:eastAsia="ar-SA"/>
              </w:rPr>
            </w:pPr>
            <w:r w:rsidRPr="00206EFC">
              <w:rPr>
                <w:rFonts w:eastAsia="Arial Unicode MS"/>
                <w:color w:val="000000"/>
                <w:kern w:val="1"/>
                <w:lang w:val="sr-Cyrl-RS" w:eastAsia="ar-SA"/>
              </w:rPr>
              <w:t>2.000.000</w:t>
            </w:r>
          </w:p>
        </w:tc>
      </w:tr>
      <w:tr w:rsidR="00206EFC" w:rsidRPr="00206EFC" w:rsidTr="00316A91">
        <w:tc>
          <w:tcPr>
            <w:tcW w:w="851" w:type="dxa"/>
          </w:tcPr>
          <w:p w:rsidR="00206EFC" w:rsidRPr="00206EFC" w:rsidRDefault="00206EFC" w:rsidP="00206EFC">
            <w:pPr>
              <w:jc w:val="center"/>
              <w:rPr>
                <w:sz w:val="22"/>
                <w:szCs w:val="22"/>
                <w:lang w:val="ru-RU"/>
              </w:rPr>
            </w:pPr>
            <w:r w:rsidRPr="00206EFC">
              <w:rPr>
                <w:sz w:val="22"/>
                <w:szCs w:val="22"/>
                <w:lang w:val="ru-RU"/>
              </w:rPr>
              <w:t>2</w:t>
            </w:r>
          </w:p>
        </w:tc>
        <w:tc>
          <w:tcPr>
            <w:tcW w:w="5670" w:type="dxa"/>
          </w:tcPr>
          <w:p w:rsidR="00206EFC" w:rsidRPr="00206EFC" w:rsidRDefault="00206EFC" w:rsidP="00206EFC">
            <w:pPr>
              <w:rPr>
                <w:rFonts w:eastAsia="Arial Unicode MS"/>
                <w:color w:val="000000"/>
                <w:kern w:val="1"/>
                <w:lang w:val="sr-Cyrl-CS" w:eastAsia="ar-SA"/>
              </w:rPr>
            </w:pPr>
            <w:r w:rsidRPr="00206EFC">
              <w:rPr>
                <w:rFonts w:eastAsia="Arial Unicode MS"/>
                <w:color w:val="000000"/>
                <w:kern w:val="1"/>
                <w:lang w:val="sr-Cyrl-CS" w:eastAsia="ar-SA"/>
              </w:rPr>
              <w:t>Дан сећања на жртве холокауста, геноцида и других жртава фашизма у Другом светском рату</w:t>
            </w:r>
          </w:p>
        </w:tc>
        <w:tc>
          <w:tcPr>
            <w:tcW w:w="2551" w:type="dxa"/>
          </w:tcPr>
          <w:p w:rsidR="00206EFC" w:rsidRPr="00206EFC" w:rsidRDefault="00206EFC" w:rsidP="00206EFC">
            <w:pPr>
              <w:suppressAutoHyphens/>
              <w:spacing w:line="100" w:lineRule="atLeast"/>
              <w:jc w:val="right"/>
              <w:rPr>
                <w:rFonts w:eastAsia="Arial Unicode MS"/>
                <w:color w:val="000000"/>
                <w:kern w:val="1"/>
                <w:lang w:val="sr-Cyrl-RS" w:eastAsia="ar-SA"/>
              </w:rPr>
            </w:pPr>
            <w:r w:rsidRPr="00206EFC">
              <w:rPr>
                <w:rFonts w:eastAsia="Arial Unicode MS"/>
                <w:color w:val="000000"/>
                <w:kern w:val="1"/>
                <w:lang w:val="sr-Cyrl-RS" w:eastAsia="ar-SA"/>
              </w:rPr>
              <w:t>833.333</w:t>
            </w:r>
          </w:p>
        </w:tc>
      </w:tr>
      <w:tr w:rsidR="00206EFC" w:rsidRPr="00206EFC" w:rsidTr="00316A91">
        <w:tc>
          <w:tcPr>
            <w:tcW w:w="851" w:type="dxa"/>
          </w:tcPr>
          <w:p w:rsidR="00206EFC" w:rsidRPr="00206EFC" w:rsidRDefault="00206EFC" w:rsidP="00206EFC">
            <w:pPr>
              <w:jc w:val="center"/>
              <w:rPr>
                <w:sz w:val="22"/>
                <w:szCs w:val="22"/>
                <w:lang w:val="ru-RU"/>
              </w:rPr>
            </w:pPr>
            <w:r w:rsidRPr="00206EFC">
              <w:rPr>
                <w:sz w:val="22"/>
                <w:szCs w:val="22"/>
                <w:lang w:val="ru-RU"/>
              </w:rPr>
              <w:t>3</w:t>
            </w:r>
          </w:p>
        </w:tc>
        <w:tc>
          <w:tcPr>
            <w:tcW w:w="5670" w:type="dxa"/>
          </w:tcPr>
          <w:p w:rsidR="00206EFC" w:rsidRPr="00206EFC" w:rsidRDefault="00206EFC" w:rsidP="00206EFC">
            <w:pPr>
              <w:rPr>
                <w:rFonts w:eastAsia="Arial Unicode MS"/>
                <w:color w:val="000000"/>
                <w:kern w:val="1"/>
                <w:lang w:val="sr-Cyrl-CS" w:eastAsia="ar-SA"/>
              </w:rPr>
            </w:pPr>
            <w:r w:rsidRPr="00206EFC">
              <w:rPr>
                <w:rFonts w:eastAsia="Arial Unicode MS"/>
                <w:color w:val="000000"/>
                <w:kern w:val="1"/>
                <w:lang w:val="sr-Cyrl-CS" w:eastAsia="ar-SA"/>
              </w:rPr>
              <w:t>Други српски устанак</w:t>
            </w:r>
          </w:p>
          <w:p w:rsidR="00206EFC" w:rsidRPr="00206EFC" w:rsidRDefault="00206EFC" w:rsidP="00206EFC">
            <w:pPr>
              <w:rPr>
                <w:rFonts w:eastAsia="Arial Unicode MS"/>
                <w:color w:val="000000"/>
                <w:kern w:val="1"/>
                <w:lang w:val="sr-Cyrl-CS" w:eastAsia="ar-SA"/>
              </w:rPr>
            </w:pPr>
          </w:p>
        </w:tc>
        <w:tc>
          <w:tcPr>
            <w:tcW w:w="2551" w:type="dxa"/>
          </w:tcPr>
          <w:p w:rsidR="00206EFC" w:rsidRPr="00206EFC" w:rsidRDefault="00206EFC" w:rsidP="00206EFC">
            <w:pPr>
              <w:suppressAutoHyphens/>
              <w:spacing w:line="100" w:lineRule="atLeast"/>
              <w:jc w:val="right"/>
              <w:rPr>
                <w:rFonts w:eastAsia="Arial Unicode MS"/>
                <w:color w:val="000000"/>
                <w:kern w:val="1"/>
                <w:lang w:val="sr-Latn-RS" w:eastAsia="ar-SA"/>
              </w:rPr>
            </w:pPr>
            <w:r w:rsidRPr="00206EFC">
              <w:rPr>
                <w:rFonts w:eastAsia="Arial Unicode MS"/>
                <w:color w:val="000000"/>
                <w:kern w:val="1"/>
                <w:lang w:val="sr-Latn-RS" w:eastAsia="ar-SA"/>
              </w:rPr>
              <w:t>708.333</w:t>
            </w:r>
          </w:p>
        </w:tc>
      </w:tr>
      <w:tr w:rsidR="00206EFC" w:rsidRPr="00206EFC" w:rsidTr="00316A91">
        <w:tc>
          <w:tcPr>
            <w:tcW w:w="851" w:type="dxa"/>
          </w:tcPr>
          <w:p w:rsidR="00206EFC" w:rsidRPr="00206EFC" w:rsidRDefault="00206EFC" w:rsidP="00206EFC">
            <w:pPr>
              <w:jc w:val="center"/>
              <w:rPr>
                <w:sz w:val="22"/>
                <w:szCs w:val="22"/>
                <w:lang w:val="ru-RU"/>
              </w:rPr>
            </w:pPr>
            <w:r w:rsidRPr="00206EFC">
              <w:rPr>
                <w:sz w:val="22"/>
                <w:szCs w:val="22"/>
                <w:lang w:val="ru-RU"/>
              </w:rPr>
              <w:t>4</w:t>
            </w:r>
          </w:p>
        </w:tc>
        <w:tc>
          <w:tcPr>
            <w:tcW w:w="5670" w:type="dxa"/>
          </w:tcPr>
          <w:p w:rsidR="00206EFC" w:rsidRPr="00206EFC" w:rsidRDefault="00206EFC" w:rsidP="00206EFC">
            <w:pPr>
              <w:rPr>
                <w:rFonts w:eastAsia="Arial Unicode MS"/>
                <w:color w:val="000000"/>
                <w:kern w:val="1"/>
                <w:lang w:val="sr-Cyrl-CS" w:eastAsia="ar-SA"/>
              </w:rPr>
            </w:pPr>
            <w:r w:rsidRPr="00206EFC">
              <w:rPr>
                <w:rFonts w:eastAsia="Arial Unicode MS"/>
                <w:color w:val="000000"/>
                <w:kern w:val="1"/>
                <w:lang w:val="sr-Cyrl-CS" w:eastAsia="ar-SA"/>
              </w:rPr>
              <w:t>Годишњица смрти Гаврила Принципа</w:t>
            </w:r>
          </w:p>
        </w:tc>
        <w:tc>
          <w:tcPr>
            <w:tcW w:w="2551" w:type="dxa"/>
          </w:tcPr>
          <w:p w:rsidR="00206EFC" w:rsidRPr="00206EFC" w:rsidRDefault="00206EFC" w:rsidP="00206EFC">
            <w:pPr>
              <w:suppressAutoHyphens/>
              <w:spacing w:line="100" w:lineRule="atLeast"/>
              <w:jc w:val="right"/>
              <w:rPr>
                <w:rFonts w:eastAsia="Arial Unicode MS"/>
                <w:color w:val="000000"/>
                <w:kern w:val="1"/>
                <w:lang w:val="sr-Cyrl-RS" w:eastAsia="ar-SA"/>
              </w:rPr>
            </w:pPr>
            <w:r w:rsidRPr="00206EFC">
              <w:rPr>
                <w:rFonts w:eastAsia="Arial Unicode MS"/>
                <w:color w:val="000000"/>
                <w:kern w:val="1"/>
                <w:lang w:val="sr-Cyrl-RS" w:eastAsia="ar-SA"/>
              </w:rPr>
              <w:t>1.250.000</w:t>
            </w:r>
          </w:p>
        </w:tc>
      </w:tr>
      <w:tr w:rsidR="00206EFC" w:rsidRPr="00206EFC" w:rsidTr="00316A91">
        <w:tc>
          <w:tcPr>
            <w:tcW w:w="851" w:type="dxa"/>
          </w:tcPr>
          <w:p w:rsidR="00206EFC" w:rsidRPr="00206EFC" w:rsidRDefault="00206EFC" w:rsidP="00206EFC">
            <w:pPr>
              <w:jc w:val="center"/>
              <w:rPr>
                <w:sz w:val="22"/>
                <w:szCs w:val="22"/>
                <w:lang w:val="ru-RU"/>
              </w:rPr>
            </w:pPr>
            <w:r w:rsidRPr="00206EFC">
              <w:rPr>
                <w:sz w:val="22"/>
                <w:szCs w:val="22"/>
                <w:lang w:val="ru-RU"/>
              </w:rPr>
              <w:t>5</w:t>
            </w:r>
          </w:p>
        </w:tc>
        <w:tc>
          <w:tcPr>
            <w:tcW w:w="5670" w:type="dxa"/>
          </w:tcPr>
          <w:p w:rsidR="00206EFC" w:rsidRPr="00206EFC" w:rsidRDefault="00206EFC" w:rsidP="00206EFC">
            <w:pPr>
              <w:rPr>
                <w:rFonts w:eastAsia="Arial Unicode MS"/>
                <w:color w:val="000000"/>
                <w:kern w:val="1"/>
                <w:lang w:val="sr-Cyrl-CS" w:eastAsia="ar-SA"/>
              </w:rPr>
            </w:pPr>
            <w:r w:rsidRPr="00206EFC">
              <w:rPr>
                <w:rFonts w:eastAsia="Arial Unicode MS"/>
                <w:color w:val="000000"/>
                <w:kern w:val="1"/>
                <w:lang w:val="sr-Cyrl-CS" w:eastAsia="ar-SA"/>
              </w:rPr>
              <w:t>Дан победе</w:t>
            </w:r>
          </w:p>
          <w:p w:rsidR="00206EFC" w:rsidRPr="00206EFC" w:rsidRDefault="00206EFC" w:rsidP="00206EFC">
            <w:pPr>
              <w:rPr>
                <w:rFonts w:eastAsia="Arial Unicode MS"/>
                <w:color w:val="000000"/>
                <w:kern w:val="1"/>
                <w:lang w:val="sr-Cyrl-CS" w:eastAsia="ar-SA"/>
              </w:rPr>
            </w:pPr>
          </w:p>
        </w:tc>
        <w:tc>
          <w:tcPr>
            <w:tcW w:w="2551" w:type="dxa"/>
          </w:tcPr>
          <w:p w:rsidR="00206EFC" w:rsidRPr="00206EFC" w:rsidRDefault="00206EFC" w:rsidP="00206EFC">
            <w:pPr>
              <w:suppressAutoHyphens/>
              <w:spacing w:line="100" w:lineRule="atLeast"/>
              <w:jc w:val="right"/>
              <w:rPr>
                <w:rFonts w:eastAsia="Arial Unicode MS"/>
                <w:color w:val="000000"/>
                <w:kern w:val="1"/>
                <w:lang w:val="sr-Cyrl-RS" w:eastAsia="ar-SA"/>
              </w:rPr>
            </w:pPr>
            <w:r w:rsidRPr="00206EFC">
              <w:rPr>
                <w:rFonts w:eastAsia="Arial Unicode MS"/>
                <w:color w:val="000000"/>
                <w:kern w:val="1"/>
                <w:lang w:val="sr-Cyrl-RS" w:eastAsia="ar-SA"/>
              </w:rPr>
              <w:t>2.</w:t>
            </w:r>
            <w:r w:rsidRPr="00206EFC">
              <w:rPr>
                <w:rFonts w:eastAsia="Arial Unicode MS"/>
                <w:color w:val="000000"/>
                <w:kern w:val="1"/>
                <w:lang w:eastAsia="ar-SA"/>
              </w:rPr>
              <w:t>0</w:t>
            </w:r>
            <w:r w:rsidRPr="00206EFC">
              <w:rPr>
                <w:rFonts w:eastAsia="Arial Unicode MS"/>
                <w:color w:val="000000"/>
                <w:kern w:val="1"/>
                <w:lang w:val="sr-Cyrl-RS" w:eastAsia="ar-SA"/>
              </w:rPr>
              <w:t>00.000</w:t>
            </w:r>
          </w:p>
        </w:tc>
      </w:tr>
      <w:tr w:rsidR="00206EFC" w:rsidRPr="00206EFC" w:rsidTr="00316A91">
        <w:tc>
          <w:tcPr>
            <w:tcW w:w="851" w:type="dxa"/>
          </w:tcPr>
          <w:p w:rsidR="00206EFC" w:rsidRPr="00206EFC" w:rsidRDefault="00206EFC" w:rsidP="00206EFC">
            <w:pPr>
              <w:jc w:val="center"/>
              <w:rPr>
                <w:sz w:val="22"/>
                <w:szCs w:val="22"/>
                <w:lang w:val="ru-RU"/>
              </w:rPr>
            </w:pPr>
            <w:r w:rsidRPr="00206EFC">
              <w:rPr>
                <w:sz w:val="22"/>
                <w:szCs w:val="22"/>
                <w:lang w:val="ru-RU"/>
              </w:rPr>
              <w:t>6</w:t>
            </w:r>
          </w:p>
        </w:tc>
        <w:tc>
          <w:tcPr>
            <w:tcW w:w="5670" w:type="dxa"/>
          </w:tcPr>
          <w:p w:rsidR="00206EFC" w:rsidRPr="00206EFC" w:rsidRDefault="00206EFC" w:rsidP="00206EFC">
            <w:pPr>
              <w:rPr>
                <w:rFonts w:eastAsia="Arial Unicode MS"/>
                <w:color w:val="000000"/>
                <w:kern w:val="1"/>
                <w:lang w:val="sr-Cyrl-RS" w:eastAsia="ar-SA"/>
              </w:rPr>
            </w:pPr>
            <w:r w:rsidRPr="00206EFC">
              <w:rPr>
                <w:rFonts w:eastAsia="Arial Unicode MS"/>
                <w:color w:val="000000"/>
                <w:kern w:val="1"/>
                <w:lang w:val="sr-Cyrl-RS" w:eastAsia="ar-SA"/>
              </w:rPr>
              <w:t>Годишњица Битке на Кошарама</w:t>
            </w:r>
          </w:p>
          <w:p w:rsidR="00206EFC" w:rsidRPr="00206EFC" w:rsidRDefault="00206EFC" w:rsidP="00206EFC">
            <w:pPr>
              <w:rPr>
                <w:rFonts w:eastAsia="Arial Unicode MS"/>
                <w:color w:val="000000"/>
                <w:kern w:val="1"/>
                <w:lang w:val="sr-Cyrl-CS" w:eastAsia="ar-SA"/>
              </w:rPr>
            </w:pPr>
          </w:p>
        </w:tc>
        <w:tc>
          <w:tcPr>
            <w:tcW w:w="2551" w:type="dxa"/>
          </w:tcPr>
          <w:p w:rsidR="00206EFC" w:rsidRPr="00206EFC" w:rsidRDefault="00206EFC" w:rsidP="00206EFC">
            <w:pPr>
              <w:suppressAutoHyphens/>
              <w:spacing w:line="100" w:lineRule="atLeast"/>
              <w:jc w:val="right"/>
              <w:rPr>
                <w:rFonts w:eastAsia="Arial Unicode MS"/>
                <w:color w:val="000000"/>
                <w:kern w:val="1"/>
                <w:lang w:val="sr-Cyrl-RS" w:eastAsia="ar-SA"/>
              </w:rPr>
            </w:pPr>
            <w:r w:rsidRPr="00206EFC">
              <w:rPr>
                <w:rFonts w:eastAsia="Arial Unicode MS"/>
                <w:color w:val="000000"/>
                <w:kern w:val="1"/>
                <w:lang w:val="sr-Latn-RS" w:eastAsia="ar-SA"/>
              </w:rPr>
              <w:t>2.</w:t>
            </w:r>
            <w:r w:rsidRPr="00206EFC">
              <w:rPr>
                <w:rFonts w:eastAsia="Arial Unicode MS"/>
                <w:color w:val="000000"/>
                <w:kern w:val="1"/>
                <w:lang w:val="sr-Cyrl-RS" w:eastAsia="ar-SA"/>
              </w:rPr>
              <w:t>0</w:t>
            </w:r>
            <w:r w:rsidRPr="00206EFC">
              <w:rPr>
                <w:rFonts w:eastAsia="Arial Unicode MS"/>
                <w:color w:val="000000"/>
                <w:kern w:val="1"/>
                <w:lang w:val="sr-Latn-RS" w:eastAsia="ar-SA"/>
              </w:rPr>
              <w:t>00.000</w:t>
            </w:r>
          </w:p>
        </w:tc>
      </w:tr>
      <w:tr w:rsidR="00206EFC" w:rsidRPr="00206EFC" w:rsidTr="00316A91">
        <w:tc>
          <w:tcPr>
            <w:tcW w:w="851" w:type="dxa"/>
          </w:tcPr>
          <w:p w:rsidR="00206EFC" w:rsidRPr="00206EFC" w:rsidRDefault="00206EFC" w:rsidP="00206EFC">
            <w:pPr>
              <w:jc w:val="center"/>
              <w:rPr>
                <w:sz w:val="22"/>
                <w:szCs w:val="22"/>
                <w:lang w:val="ru-RU"/>
              </w:rPr>
            </w:pPr>
            <w:r w:rsidRPr="00206EFC">
              <w:rPr>
                <w:sz w:val="22"/>
                <w:szCs w:val="22"/>
                <w:lang w:val="ru-RU"/>
              </w:rPr>
              <w:t>7</w:t>
            </w:r>
          </w:p>
        </w:tc>
        <w:tc>
          <w:tcPr>
            <w:tcW w:w="5670" w:type="dxa"/>
          </w:tcPr>
          <w:p w:rsidR="00206EFC" w:rsidRPr="00206EFC" w:rsidRDefault="00206EFC" w:rsidP="00206EFC">
            <w:pPr>
              <w:rPr>
                <w:rFonts w:eastAsia="Arial Unicode MS"/>
                <w:color w:val="000000"/>
                <w:kern w:val="1"/>
                <w:lang w:val="sr-Cyrl-CS" w:eastAsia="ar-SA"/>
              </w:rPr>
            </w:pPr>
            <w:r w:rsidRPr="00206EFC">
              <w:rPr>
                <w:rFonts w:eastAsia="Arial Unicode MS"/>
                <w:color w:val="000000"/>
                <w:kern w:val="1"/>
                <w:lang w:val="sr-Cyrl-RS" w:eastAsia="ar-SA"/>
              </w:rPr>
              <w:t>Дан сећања на све страдале и прогнане Србе у оружаној акцији „Олуја“</w:t>
            </w:r>
          </w:p>
        </w:tc>
        <w:tc>
          <w:tcPr>
            <w:tcW w:w="2551" w:type="dxa"/>
          </w:tcPr>
          <w:p w:rsidR="00206EFC" w:rsidRPr="00206EFC" w:rsidRDefault="00206EFC" w:rsidP="00206EFC">
            <w:pPr>
              <w:suppressAutoHyphens/>
              <w:spacing w:line="100" w:lineRule="atLeast"/>
              <w:jc w:val="right"/>
              <w:rPr>
                <w:rFonts w:eastAsia="Arial Unicode MS"/>
                <w:color w:val="000000"/>
                <w:kern w:val="1"/>
                <w:highlight w:val="yellow"/>
                <w:lang w:val="sr-Cyrl-CS" w:eastAsia="ar-SA"/>
              </w:rPr>
            </w:pPr>
            <w:r w:rsidRPr="00206EFC">
              <w:rPr>
                <w:rFonts w:eastAsia="Arial Unicode MS"/>
                <w:color w:val="000000"/>
                <w:kern w:val="1"/>
                <w:lang w:val="sr-Cyrl-RS" w:eastAsia="ar-SA"/>
              </w:rPr>
              <w:t>2.500.000</w:t>
            </w:r>
          </w:p>
        </w:tc>
      </w:tr>
      <w:tr w:rsidR="00206EFC" w:rsidRPr="00206EFC" w:rsidTr="00316A91">
        <w:tc>
          <w:tcPr>
            <w:tcW w:w="851" w:type="dxa"/>
          </w:tcPr>
          <w:p w:rsidR="00206EFC" w:rsidRPr="00206EFC" w:rsidRDefault="00206EFC" w:rsidP="00206EFC">
            <w:pPr>
              <w:jc w:val="center"/>
              <w:rPr>
                <w:sz w:val="22"/>
                <w:szCs w:val="22"/>
                <w:lang w:val="ru-RU"/>
              </w:rPr>
            </w:pPr>
            <w:r w:rsidRPr="00206EFC">
              <w:rPr>
                <w:sz w:val="22"/>
                <w:szCs w:val="22"/>
                <w:lang w:val="ru-RU"/>
              </w:rPr>
              <w:t>8</w:t>
            </w:r>
          </w:p>
        </w:tc>
        <w:tc>
          <w:tcPr>
            <w:tcW w:w="5670" w:type="dxa"/>
          </w:tcPr>
          <w:p w:rsidR="00206EFC" w:rsidRPr="00206EFC" w:rsidRDefault="00206EFC" w:rsidP="00206EFC">
            <w:pPr>
              <w:rPr>
                <w:rFonts w:eastAsia="Arial Unicode MS"/>
                <w:color w:val="000000"/>
                <w:kern w:val="1"/>
                <w:lang w:val="sr-Cyrl-CS" w:eastAsia="ar-SA"/>
              </w:rPr>
            </w:pPr>
            <w:r w:rsidRPr="00206EFC">
              <w:rPr>
                <w:rFonts w:eastAsia="Arial Unicode MS"/>
                <w:color w:val="000000"/>
                <w:kern w:val="1"/>
                <w:lang w:val="sr-Cyrl-CS" w:eastAsia="ar-SA"/>
              </w:rPr>
              <w:t>Церска битка</w:t>
            </w:r>
          </w:p>
          <w:p w:rsidR="00206EFC" w:rsidRPr="00206EFC" w:rsidRDefault="00206EFC" w:rsidP="00206EFC">
            <w:pPr>
              <w:rPr>
                <w:rFonts w:eastAsia="Arial Unicode MS"/>
                <w:color w:val="000000"/>
                <w:kern w:val="1"/>
                <w:lang w:val="sr-Cyrl-CS" w:eastAsia="ar-SA"/>
              </w:rPr>
            </w:pPr>
          </w:p>
        </w:tc>
        <w:tc>
          <w:tcPr>
            <w:tcW w:w="2551" w:type="dxa"/>
          </w:tcPr>
          <w:p w:rsidR="00206EFC" w:rsidRPr="00206EFC" w:rsidRDefault="00206EFC" w:rsidP="00206EFC">
            <w:pPr>
              <w:suppressAutoHyphens/>
              <w:spacing w:line="100" w:lineRule="atLeast"/>
              <w:jc w:val="right"/>
              <w:rPr>
                <w:rFonts w:eastAsia="Arial Unicode MS"/>
                <w:color w:val="000000"/>
                <w:kern w:val="1"/>
                <w:lang w:val="sr-Cyrl-RS" w:eastAsia="ar-SA"/>
              </w:rPr>
            </w:pPr>
            <w:r w:rsidRPr="00206EFC">
              <w:rPr>
                <w:rFonts w:eastAsia="Arial Unicode MS"/>
                <w:color w:val="000000"/>
                <w:kern w:val="1"/>
                <w:lang w:val="sr-Cyrl-RS" w:eastAsia="ar-SA"/>
              </w:rPr>
              <w:t>1.250.000</w:t>
            </w:r>
          </w:p>
        </w:tc>
      </w:tr>
      <w:tr w:rsidR="00206EFC" w:rsidRPr="00206EFC" w:rsidTr="00316A91">
        <w:tc>
          <w:tcPr>
            <w:tcW w:w="851" w:type="dxa"/>
          </w:tcPr>
          <w:p w:rsidR="00206EFC" w:rsidRPr="00206EFC" w:rsidRDefault="00206EFC" w:rsidP="00206EFC">
            <w:pPr>
              <w:jc w:val="center"/>
              <w:rPr>
                <w:sz w:val="22"/>
                <w:szCs w:val="22"/>
                <w:lang w:val="ru-RU"/>
              </w:rPr>
            </w:pPr>
            <w:r w:rsidRPr="00206EFC">
              <w:rPr>
                <w:sz w:val="22"/>
                <w:szCs w:val="22"/>
                <w:lang w:val="ru-RU"/>
              </w:rPr>
              <w:t>9</w:t>
            </w:r>
          </w:p>
        </w:tc>
        <w:tc>
          <w:tcPr>
            <w:tcW w:w="5670" w:type="dxa"/>
          </w:tcPr>
          <w:p w:rsidR="00206EFC" w:rsidRPr="00206EFC" w:rsidRDefault="00206EFC" w:rsidP="00206EFC">
            <w:pPr>
              <w:rPr>
                <w:rFonts w:eastAsia="Arial Unicode MS"/>
                <w:color w:val="000000"/>
                <w:kern w:val="1"/>
                <w:lang w:val="sr-Cyrl-CS" w:eastAsia="ar-SA"/>
              </w:rPr>
            </w:pPr>
            <w:r w:rsidRPr="00206EFC">
              <w:rPr>
                <w:rFonts w:eastAsia="Arial Unicode MS"/>
                <w:color w:val="000000"/>
                <w:kern w:val="1"/>
                <w:lang w:val="sr-Cyrl-CS" w:eastAsia="ar-SA"/>
              </w:rPr>
              <w:t>Годишњица пробоја Солунског фронта</w:t>
            </w:r>
          </w:p>
          <w:p w:rsidR="00206EFC" w:rsidRPr="00206EFC" w:rsidRDefault="00206EFC" w:rsidP="00206EFC">
            <w:pPr>
              <w:rPr>
                <w:rFonts w:eastAsia="Arial Unicode MS"/>
                <w:color w:val="000000"/>
                <w:kern w:val="1"/>
                <w:lang w:val="sr-Cyrl-CS" w:eastAsia="ar-SA"/>
              </w:rPr>
            </w:pPr>
          </w:p>
        </w:tc>
        <w:tc>
          <w:tcPr>
            <w:tcW w:w="2551" w:type="dxa"/>
          </w:tcPr>
          <w:p w:rsidR="00206EFC" w:rsidRPr="00206EFC" w:rsidRDefault="00206EFC" w:rsidP="00206EFC">
            <w:pPr>
              <w:suppressAutoHyphens/>
              <w:spacing w:line="100" w:lineRule="atLeast"/>
              <w:jc w:val="right"/>
              <w:rPr>
                <w:rFonts w:eastAsia="Arial Unicode MS"/>
                <w:color w:val="000000"/>
                <w:kern w:val="1"/>
                <w:lang w:val="sr-Cyrl-RS" w:eastAsia="ar-SA"/>
              </w:rPr>
            </w:pPr>
            <w:r w:rsidRPr="00206EFC">
              <w:rPr>
                <w:rFonts w:eastAsia="Arial Unicode MS"/>
                <w:color w:val="000000"/>
                <w:kern w:val="1"/>
                <w:lang w:val="sr-Cyrl-RS" w:eastAsia="ar-SA"/>
              </w:rPr>
              <w:t>3.333.333</w:t>
            </w:r>
          </w:p>
        </w:tc>
      </w:tr>
      <w:tr w:rsidR="00206EFC" w:rsidRPr="00206EFC" w:rsidTr="00316A91">
        <w:tc>
          <w:tcPr>
            <w:tcW w:w="851" w:type="dxa"/>
          </w:tcPr>
          <w:p w:rsidR="00206EFC" w:rsidRPr="00206EFC" w:rsidRDefault="00206EFC" w:rsidP="00206EFC">
            <w:pPr>
              <w:jc w:val="center"/>
              <w:rPr>
                <w:sz w:val="22"/>
                <w:szCs w:val="22"/>
                <w:lang w:val="ru-RU"/>
              </w:rPr>
            </w:pPr>
            <w:r w:rsidRPr="00206EFC">
              <w:rPr>
                <w:sz w:val="22"/>
                <w:szCs w:val="22"/>
                <w:lang w:val="ru-RU"/>
              </w:rPr>
              <w:t>10</w:t>
            </w:r>
          </w:p>
        </w:tc>
        <w:tc>
          <w:tcPr>
            <w:tcW w:w="5670" w:type="dxa"/>
          </w:tcPr>
          <w:p w:rsidR="00206EFC" w:rsidRPr="00206EFC" w:rsidRDefault="00206EFC" w:rsidP="00206EFC">
            <w:pPr>
              <w:rPr>
                <w:rFonts w:eastAsia="Arial Unicode MS"/>
                <w:color w:val="000000"/>
                <w:kern w:val="1"/>
                <w:lang w:val="sr-Cyrl-CS" w:eastAsia="ar-SA"/>
              </w:rPr>
            </w:pPr>
            <w:r w:rsidRPr="00206EFC">
              <w:rPr>
                <w:rFonts w:eastAsia="Arial Unicode MS"/>
                <w:color w:val="000000"/>
                <w:kern w:val="1"/>
                <w:lang w:val="sr-Cyrl-CS" w:eastAsia="ar-SA"/>
              </w:rPr>
              <w:t>Дан сећања на страдање Срба, Рома и Јевреја у Јајинцима</w:t>
            </w:r>
          </w:p>
        </w:tc>
        <w:tc>
          <w:tcPr>
            <w:tcW w:w="2551" w:type="dxa"/>
          </w:tcPr>
          <w:p w:rsidR="00206EFC" w:rsidRPr="00206EFC" w:rsidRDefault="00206EFC" w:rsidP="00206EFC">
            <w:pPr>
              <w:suppressAutoHyphens/>
              <w:spacing w:line="100" w:lineRule="atLeast"/>
              <w:jc w:val="right"/>
              <w:rPr>
                <w:rFonts w:eastAsia="Arial Unicode MS"/>
                <w:color w:val="000000"/>
                <w:kern w:val="1"/>
                <w:lang w:val="sr-Cyrl-RS" w:eastAsia="ar-SA"/>
              </w:rPr>
            </w:pPr>
            <w:r w:rsidRPr="00206EFC">
              <w:rPr>
                <w:rFonts w:eastAsia="Arial Unicode MS"/>
                <w:color w:val="000000"/>
                <w:kern w:val="1"/>
                <w:lang w:val="sr-Latn-RS" w:eastAsia="ar-SA"/>
              </w:rPr>
              <w:t>1.</w:t>
            </w:r>
            <w:r w:rsidRPr="00206EFC">
              <w:rPr>
                <w:rFonts w:eastAsia="Arial Unicode MS"/>
                <w:color w:val="000000"/>
                <w:kern w:val="1"/>
                <w:lang w:val="sr-Cyrl-RS" w:eastAsia="ar-SA"/>
              </w:rPr>
              <w:t>250</w:t>
            </w:r>
            <w:r w:rsidRPr="00206EFC">
              <w:rPr>
                <w:rFonts w:eastAsia="Arial Unicode MS"/>
                <w:color w:val="000000"/>
                <w:kern w:val="1"/>
                <w:lang w:val="sr-Latn-RS" w:eastAsia="ar-SA"/>
              </w:rPr>
              <w:t>.</w:t>
            </w:r>
            <w:r w:rsidRPr="00206EFC">
              <w:rPr>
                <w:rFonts w:eastAsia="Arial Unicode MS"/>
                <w:color w:val="000000"/>
                <w:kern w:val="1"/>
                <w:lang w:val="sr-Cyrl-RS" w:eastAsia="ar-SA"/>
              </w:rPr>
              <w:t>000</w:t>
            </w:r>
          </w:p>
        </w:tc>
      </w:tr>
      <w:tr w:rsidR="00206EFC" w:rsidRPr="00206EFC" w:rsidTr="00316A91">
        <w:tc>
          <w:tcPr>
            <w:tcW w:w="851" w:type="dxa"/>
          </w:tcPr>
          <w:p w:rsidR="00206EFC" w:rsidRPr="00206EFC" w:rsidRDefault="00206EFC" w:rsidP="00206EFC">
            <w:pPr>
              <w:jc w:val="center"/>
              <w:rPr>
                <w:sz w:val="22"/>
                <w:szCs w:val="22"/>
                <w:lang w:val="ru-RU"/>
              </w:rPr>
            </w:pPr>
            <w:r w:rsidRPr="00206EFC">
              <w:rPr>
                <w:sz w:val="22"/>
                <w:szCs w:val="22"/>
                <w:lang w:val="ru-RU"/>
              </w:rPr>
              <w:lastRenderedPageBreak/>
              <w:t>11</w:t>
            </w:r>
          </w:p>
        </w:tc>
        <w:tc>
          <w:tcPr>
            <w:tcW w:w="5670" w:type="dxa"/>
          </w:tcPr>
          <w:p w:rsidR="00206EFC" w:rsidRPr="00206EFC" w:rsidRDefault="00206EFC" w:rsidP="00206EFC">
            <w:pPr>
              <w:rPr>
                <w:rFonts w:eastAsia="Arial Unicode MS"/>
                <w:color w:val="000000"/>
                <w:kern w:val="1"/>
                <w:lang w:val="sr-Cyrl-CS" w:eastAsia="ar-SA"/>
              </w:rPr>
            </w:pPr>
            <w:r w:rsidRPr="00206EFC">
              <w:rPr>
                <w:rFonts w:eastAsia="Arial Unicode MS"/>
                <w:color w:val="000000"/>
                <w:kern w:val="1"/>
                <w:lang w:val="sr-Cyrl-CS" w:eastAsia="ar-SA"/>
              </w:rPr>
              <w:t>Дан сећања на стрељање цивила у Драгинцу</w:t>
            </w:r>
          </w:p>
          <w:p w:rsidR="00206EFC" w:rsidRPr="00206EFC" w:rsidRDefault="00206EFC" w:rsidP="00206EFC">
            <w:pPr>
              <w:rPr>
                <w:rFonts w:eastAsia="Arial Unicode MS"/>
                <w:color w:val="000000"/>
                <w:kern w:val="1"/>
                <w:lang w:val="sr-Cyrl-CS" w:eastAsia="ar-SA"/>
              </w:rPr>
            </w:pPr>
          </w:p>
        </w:tc>
        <w:tc>
          <w:tcPr>
            <w:tcW w:w="2551" w:type="dxa"/>
          </w:tcPr>
          <w:p w:rsidR="00206EFC" w:rsidRPr="00206EFC" w:rsidRDefault="00206EFC" w:rsidP="00206EFC">
            <w:pPr>
              <w:suppressAutoHyphens/>
              <w:spacing w:line="100" w:lineRule="atLeast"/>
              <w:jc w:val="right"/>
              <w:rPr>
                <w:rFonts w:eastAsia="Arial Unicode MS"/>
                <w:color w:val="000000"/>
                <w:kern w:val="1"/>
                <w:lang w:val="sr-Cyrl-RS" w:eastAsia="ar-SA"/>
              </w:rPr>
            </w:pPr>
            <w:r w:rsidRPr="00206EFC">
              <w:rPr>
                <w:rFonts w:eastAsia="Arial Unicode MS"/>
                <w:color w:val="000000"/>
                <w:kern w:val="1"/>
                <w:lang w:val="sr-Latn-RS" w:eastAsia="ar-SA"/>
              </w:rPr>
              <w:t>666.66</w:t>
            </w:r>
            <w:r w:rsidRPr="00206EFC">
              <w:rPr>
                <w:rFonts w:eastAsia="Arial Unicode MS"/>
                <w:color w:val="000000"/>
                <w:kern w:val="1"/>
                <w:lang w:val="sr-Cyrl-RS" w:eastAsia="ar-SA"/>
              </w:rPr>
              <w:t>7</w:t>
            </w:r>
          </w:p>
        </w:tc>
      </w:tr>
      <w:tr w:rsidR="00206EFC" w:rsidRPr="00206EFC" w:rsidTr="00316A91">
        <w:tc>
          <w:tcPr>
            <w:tcW w:w="851" w:type="dxa"/>
          </w:tcPr>
          <w:p w:rsidR="00206EFC" w:rsidRPr="00206EFC" w:rsidRDefault="00206EFC" w:rsidP="00206EFC">
            <w:pPr>
              <w:jc w:val="center"/>
              <w:rPr>
                <w:sz w:val="22"/>
                <w:szCs w:val="22"/>
                <w:lang w:val="ru-RU"/>
              </w:rPr>
            </w:pPr>
            <w:r w:rsidRPr="00206EFC">
              <w:rPr>
                <w:sz w:val="22"/>
                <w:szCs w:val="22"/>
                <w:lang w:val="ru-RU"/>
              </w:rPr>
              <w:t>12</w:t>
            </w:r>
          </w:p>
        </w:tc>
        <w:tc>
          <w:tcPr>
            <w:tcW w:w="5670" w:type="dxa"/>
          </w:tcPr>
          <w:p w:rsidR="00206EFC" w:rsidRPr="00206EFC" w:rsidRDefault="00206EFC" w:rsidP="00206EFC">
            <w:pPr>
              <w:rPr>
                <w:rFonts w:eastAsia="Arial Unicode MS"/>
                <w:color w:val="000000"/>
                <w:kern w:val="1"/>
                <w:lang w:val="sr-Cyrl-CS" w:eastAsia="ar-SA"/>
              </w:rPr>
            </w:pPr>
            <w:r w:rsidRPr="00206EFC">
              <w:rPr>
                <w:rFonts w:eastAsia="Arial Unicode MS"/>
                <w:color w:val="000000"/>
                <w:kern w:val="1"/>
                <w:lang w:val="sr-Cyrl-CS" w:eastAsia="ar-SA"/>
              </w:rPr>
              <w:t>Међународни дан борбе против фашизма и антисемитизма</w:t>
            </w:r>
          </w:p>
        </w:tc>
        <w:tc>
          <w:tcPr>
            <w:tcW w:w="2551" w:type="dxa"/>
          </w:tcPr>
          <w:p w:rsidR="00206EFC" w:rsidRPr="00206EFC" w:rsidRDefault="00206EFC" w:rsidP="00206EFC">
            <w:pPr>
              <w:suppressAutoHyphens/>
              <w:spacing w:line="100" w:lineRule="atLeast"/>
              <w:jc w:val="right"/>
              <w:rPr>
                <w:rFonts w:eastAsia="Arial Unicode MS"/>
                <w:color w:val="000000"/>
                <w:kern w:val="1"/>
                <w:lang w:val="sr-Cyrl-RS" w:eastAsia="ar-SA"/>
              </w:rPr>
            </w:pPr>
            <w:r w:rsidRPr="00206EFC">
              <w:rPr>
                <w:rFonts w:eastAsia="Arial Unicode MS"/>
                <w:color w:val="000000"/>
                <w:kern w:val="1"/>
                <w:lang w:val="sr-Cyrl-RS" w:eastAsia="ar-SA"/>
              </w:rPr>
              <w:t>1.250.000</w:t>
            </w:r>
          </w:p>
        </w:tc>
      </w:tr>
      <w:tr w:rsidR="00206EFC" w:rsidRPr="00206EFC" w:rsidTr="00316A91">
        <w:tc>
          <w:tcPr>
            <w:tcW w:w="851" w:type="dxa"/>
          </w:tcPr>
          <w:p w:rsidR="00206EFC" w:rsidRPr="00206EFC" w:rsidRDefault="00206EFC" w:rsidP="00206EFC">
            <w:pPr>
              <w:jc w:val="center"/>
              <w:rPr>
                <w:sz w:val="22"/>
                <w:szCs w:val="22"/>
                <w:lang w:val="ru-RU"/>
              </w:rPr>
            </w:pPr>
            <w:r w:rsidRPr="00206EFC">
              <w:rPr>
                <w:sz w:val="22"/>
                <w:szCs w:val="22"/>
                <w:lang w:val="ru-RU"/>
              </w:rPr>
              <w:t>13</w:t>
            </w:r>
          </w:p>
        </w:tc>
        <w:tc>
          <w:tcPr>
            <w:tcW w:w="5670" w:type="dxa"/>
          </w:tcPr>
          <w:p w:rsidR="00206EFC" w:rsidRPr="00206EFC" w:rsidRDefault="00206EFC" w:rsidP="00206EFC">
            <w:pPr>
              <w:rPr>
                <w:rFonts w:eastAsia="Arial Unicode MS"/>
                <w:color w:val="000000"/>
                <w:kern w:val="1"/>
                <w:lang w:val="sr-Cyrl-CS" w:eastAsia="ar-SA"/>
              </w:rPr>
            </w:pPr>
            <w:r w:rsidRPr="00206EFC">
              <w:rPr>
                <w:rFonts w:eastAsia="Arial Unicode MS"/>
                <w:color w:val="000000"/>
                <w:kern w:val="1"/>
                <w:lang w:val="sr-Cyrl-CS" w:eastAsia="ar-SA"/>
              </w:rPr>
              <w:t>Дан примирја у Првом светском рату</w:t>
            </w:r>
          </w:p>
          <w:p w:rsidR="00206EFC" w:rsidRPr="00206EFC" w:rsidRDefault="00206EFC" w:rsidP="00206EFC">
            <w:pPr>
              <w:rPr>
                <w:rFonts w:eastAsia="Arial Unicode MS"/>
                <w:color w:val="000000"/>
                <w:kern w:val="1"/>
                <w:lang w:val="sr-Cyrl-CS" w:eastAsia="ar-SA"/>
              </w:rPr>
            </w:pPr>
          </w:p>
        </w:tc>
        <w:tc>
          <w:tcPr>
            <w:tcW w:w="2551" w:type="dxa"/>
          </w:tcPr>
          <w:p w:rsidR="00206EFC" w:rsidRPr="00206EFC" w:rsidRDefault="00206EFC" w:rsidP="00206EFC">
            <w:pPr>
              <w:suppressAutoHyphens/>
              <w:spacing w:line="100" w:lineRule="atLeast"/>
              <w:jc w:val="right"/>
              <w:rPr>
                <w:rFonts w:eastAsia="Arial Unicode MS"/>
                <w:color w:val="000000"/>
                <w:kern w:val="1"/>
                <w:lang w:val="sr-Cyrl-RS" w:eastAsia="ar-SA"/>
              </w:rPr>
            </w:pPr>
            <w:r w:rsidRPr="00206EFC">
              <w:rPr>
                <w:rFonts w:eastAsia="Arial Unicode MS"/>
                <w:color w:val="000000"/>
                <w:kern w:val="1"/>
                <w:lang w:val="sr-Cyrl-RS" w:eastAsia="ar-SA"/>
              </w:rPr>
              <w:t>1.</w:t>
            </w:r>
            <w:r w:rsidRPr="00206EFC">
              <w:rPr>
                <w:rFonts w:eastAsia="Arial Unicode MS"/>
                <w:color w:val="000000"/>
                <w:kern w:val="1"/>
                <w:lang w:val="sr-Latn-RS" w:eastAsia="ar-SA"/>
              </w:rPr>
              <w:t>666.66</w:t>
            </w:r>
            <w:r w:rsidRPr="00206EFC">
              <w:rPr>
                <w:rFonts w:eastAsia="Arial Unicode MS"/>
                <w:color w:val="000000"/>
                <w:kern w:val="1"/>
                <w:lang w:val="sr-Cyrl-RS" w:eastAsia="ar-SA"/>
              </w:rPr>
              <w:t>7</w:t>
            </w:r>
          </w:p>
        </w:tc>
      </w:tr>
      <w:tr w:rsidR="00206EFC" w:rsidRPr="00206EFC" w:rsidTr="00316A91">
        <w:tc>
          <w:tcPr>
            <w:tcW w:w="851" w:type="dxa"/>
          </w:tcPr>
          <w:p w:rsidR="00206EFC" w:rsidRPr="00206EFC" w:rsidRDefault="00206EFC" w:rsidP="00206EFC">
            <w:pPr>
              <w:jc w:val="center"/>
              <w:rPr>
                <w:sz w:val="22"/>
                <w:szCs w:val="22"/>
                <w:lang w:val="ru-RU"/>
              </w:rPr>
            </w:pPr>
            <w:r w:rsidRPr="00206EFC">
              <w:rPr>
                <w:sz w:val="22"/>
                <w:szCs w:val="22"/>
                <w:lang w:val="ru-RU"/>
              </w:rPr>
              <w:t>14</w:t>
            </w:r>
          </w:p>
        </w:tc>
        <w:tc>
          <w:tcPr>
            <w:tcW w:w="5670" w:type="dxa"/>
          </w:tcPr>
          <w:p w:rsidR="00206EFC" w:rsidRPr="00206EFC" w:rsidRDefault="00206EFC" w:rsidP="00206EFC">
            <w:pPr>
              <w:rPr>
                <w:rFonts w:eastAsia="Arial Unicode MS"/>
                <w:color w:val="000000"/>
                <w:kern w:val="1"/>
                <w:lang w:val="sr-Cyrl-CS" w:eastAsia="ar-SA"/>
              </w:rPr>
            </w:pPr>
            <w:r w:rsidRPr="00206EFC">
              <w:rPr>
                <w:rFonts w:eastAsia="Arial Unicode MS"/>
                <w:color w:val="000000"/>
                <w:kern w:val="1"/>
                <w:lang w:val="sr-Cyrl-CS" w:eastAsia="ar-SA"/>
              </w:rPr>
              <w:t>Битка на Кадињачи</w:t>
            </w:r>
          </w:p>
          <w:p w:rsidR="00206EFC" w:rsidRPr="00206EFC" w:rsidRDefault="00206EFC" w:rsidP="00206EFC">
            <w:pPr>
              <w:rPr>
                <w:rFonts w:eastAsia="Arial Unicode MS"/>
                <w:color w:val="000000"/>
                <w:kern w:val="1"/>
                <w:lang w:val="sr-Cyrl-CS" w:eastAsia="ar-SA"/>
              </w:rPr>
            </w:pPr>
          </w:p>
        </w:tc>
        <w:tc>
          <w:tcPr>
            <w:tcW w:w="2551" w:type="dxa"/>
          </w:tcPr>
          <w:p w:rsidR="00206EFC" w:rsidRPr="00206EFC" w:rsidRDefault="00206EFC" w:rsidP="00206EFC">
            <w:pPr>
              <w:suppressAutoHyphens/>
              <w:spacing w:line="100" w:lineRule="atLeast"/>
              <w:jc w:val="right"/>
              <w:rPr>
                <w:rFonts w:eastAsia="Arial Unicode MS"/>
                <w:color w:val="000000"/>
                <w:kern w:val="1"/>
                <w:lang w:val="sr-Cyrl-RS" w:eastAsia="ar-SA"/>
              </w:rPr>
            </w:pPr>
            <w:r w:rsidRPr="00206EFC">
              <w:rPr>
                <w:rFonts w:eastAsia="Arial Unicode MS"/>
                <w:color w:val="000000"/>
                <w:kern w:val="1"/>
                <w:lang w:val="sr-Latn-RS" w:eastAsia="ar-SA"/>
              </w:rPr>
              <w:t>666.66</w:t>
            </w:r>
            <w:r w:rsidRPr="00206EFC">
              <w:rPr>
                <w:rFonts w:eastAsia="Arial Unicode MS"/>
                <w:color w:val="000000"/>
                <w:kern w:val="1"/>
                <w:lang w:val="sr-Cyrl-RS" w:eastAsia="ar-SA"/>
              </w:rPr>
              <w:t>7</w:t>
            </w:r>
          </w:p>
        </w:tc>
      </w:tr>
      <w:tr w:rsidR="00206EFC" w:rsidRPr="00206EFC" w:rsidTr="00316A91">
        <w:tc>
          <w:tcPr>
            <w:tcW w:w="851" w:type="dxa"/>
          </w:tcPr>
          <w:p w:rsidR="00206EFC" w:rsidRPr="00206EFC" w:rsidRDefault="00206EFC" w:rsidP="00206EFC">
            <w:pPr>
              <w:jc w:val="center"/>
              <w:rPr>
                <w:sz w:val="22"/>
                <w:szCs w:val="22"/>
                <w:lang w:val="ru-RU"/>
              </w:rPr>
            </w:pPr>
            <w:r w:rsidRPr="00206EFC">
              <w:rPr>
                <w:sz w:val="22"/>
                <w:szCs w:val="22"/>
                <w:lang w:val="ru-RU"/>
              </w:rPr>
              <w:t>15</w:t>
            </w:r>
          </w:p>
        </w:tc>
        <w:tc>
          <w:tcPr>
            <w:tcW w:w="5670" w:type="dxa"/>
          </w:tcPr>
          <w:p w:rsidR="00206EFC" w:rsidRPr="00206EFC" w:rsidRDefault="00206EFC" w:rsidP="00206EFC">
            <w:pPr>
              <w:rPr>
                <w:rFonts w:eastAsia="Arial Unicode MS"/>
                <w:color w:val="000000"/>
                <w:kern w:val="1"/>
                <w:lang w:val="sr-Cyrl-CS" w:eastAsia="ar-SA"/>
              </w:rPr>
            </w:pPr>
            <w:r w:rsidRPr="00206EFC">
              <w:rPr>
                <w:rFonts w:eastAsia="Arial Unicode MS"/>
                <w:color w:val="000000"/>
                <w:kern w:val="1"/>
                <w:lang w:val="sr-Cyrl-CS" w:eastAsia="ar-SA"/>
              </w:rPr>
              <w:t>Колубарска битка</w:t>
            </w:r>
          </w:p>
          <w:p w:rsidR="00206EFC" w:rsidRPr="00206EFC" w:rsidRDefault="00206EFC" w:rsidP="00206EFC">
            <w:pPr>
              <w:rPr>
                <w:rFonts w:eastAsia="Arial Unicode MS"/>
                <w:color w:val="000000"/>
                <w:kern w:val="1"/>
                <w:lang w:val="sr-Cyrl-CS" w:eastAsia="ar-SA"/>
              </w:rPr>
            </w:pPr>
          </w:p>
        </w:tc>
        <w:tc>
          <w:tcPr>
            <w:tcW w:w="2551" w:type="dxa"/>
          </w:tcPr>
          <w:p w:rsidR="00206EFC" w:rsidRPr="00206EFC" w:rsidRDefault="00206EFC" w:rsidP="00206EFC">
            <w:pPr>
              <w:suppressAutoHyphens/>
              <w:spacing w:line="100" w:lineRule="atLeast"/>
              <w:jc w:val="right"/>
              <w:rPr>
                <w:rFonts w:eastAsia="Arial Unicode MS"/>
                <w:color w:val="000000"/>
                <w:kern w:val="1"/>
                <w:lang w:val="sr-Cyrl-RS" w:eastAsia="ar-SA"/>
              </w:rPr>
            </w:pPr>
            <w:r w:rsidRPr="00206EFC">
              <w:rPr>
                <w:rFonts w:eastAsia="Arial Unicode MS"/>
                <w:color w:val="000000"/>
                <w:kern w:val="1"/>
                <w:lang w:val="sr-Cyrl-RS" w:eastAsia="ar-SA"/>
              </w:rPr>
              <w:t>1.250.000</w:t>
            </w:r>
          </w:p>
        </w:tc>
      </w:tr>
      <w:tr w:rsidR="00206EFC" w:rsidRPr="00206EFC" w:rsidTr="00316A91">
        <w:tc>
          <w:tcPr>
            <w:tcW w:w="851" w:type="dxa"/>
          </w:tcPr>
          <w:p w:rsidR="00206EFC" w:rsidRPr="00206EFC" w:rsidRDefault="00206EFC" w:rsidP="00206EFC">
            <w:pPr>
              <w:jc w:val="center"/>
              <w:rPr>
                <w:sz w:val="22"/>
                <w:szCs w:val="22"/>
                <w:lang w:val="ru-RU"/>
              </w:rPr>
            </w:pPr>
            <w:r w:rsidRPr="00206EFC">
              <w:rPr>
                <w:sz w:val="22"/>
                <w:szCs w:val="22"/>
                <w:lang w:val="ru-RU"/>
              </w:rPr>
              <w:t>16</w:t>
            </w:r>
          </w:p>
        </w:tc>
        <w:tc>
          <w:tcPr>
            <w:tcW w:w="5670" w:type="dxa"/>
          </w:tcPr>
          <w:p w:rsidR="00206EFC" w:rsidRPr="00206EFC" w:rsidRDefault="00206EFC" w:rsidP="00206EFC">
            <w:pPr>
              <w:rPr>
                <w:rFonts w:eastAsia="Arial Unicode MS"/>
                <w:color w:val="000000"/>
                <w:kern w:val="1"/>
                <w:lang w:val="sr-Cyrl-CS" w:eastAsia="ar-SA"/>
              </w:rPr>
            </w:pPr>
            <w:r w:rsidRPr="00206EFC">
              <w:rPr>
                <w:rFonts w:eastAsia="Arial Unicode MS"/>
                <w:color w:val="000000"/>
                <w:kern w:val="1"/>
                <w:lang w:val="sr-Cyrl-CS" w:eastAsia="ar-SA"/>
              </w:rPr>
              <w:t>Међународни дан сећања на Роме страдале у Другом светском рату</w:t>
            </w:r>
          </w:p>
        </w:tc>
        <w:tc>
          <w:tcPr>
            <w:tcW w:w="2551" w:type="dxa"/>
          </w:tcPr>
          <w:p w:rsidR="00206EFC" w:rsidRPr="00206EFC" w:rsidRDefault="00206EFC" w:rsidP="00206EFC">
            <w:pPr>
              <w:suppressAutoHyphens/>
              <w:spacing w:line="100" w:lineRule="atLeast"/>
              <w:jc w:val="right"/>
              <w:rPr>
                <w:rFonts w:eastAsia="Arial Unicode MS"/>
                <w:color w:val="000000"/>
                <w:kern w:val="1"/>
                <w:lang w:val="sr-Cyrl-RS" w:eastAsia="ar-SA"/>
              </w:rPr>
            </w:pPr>
            <w:r w:rsidRPr="00206EFC">
              <w:rPr>
                <w:rFonts w:eastAsia="Arial Unicode MS"/>
                <w:color w:val="000000"/>
                <w:kern w:val="1"/>
                <w:lang w:val="sr-Latn-RS" w:eastAsia="ar-SA"/>
              </w:rPr>
              <w:t>666.66</w:t>
            </w:r>
            <w:r w:rsidRPr="00206EFC">
              <w:rPr>
                <w:rFonts w:eastAsia="Arial Unicode MS"/>
                <w:color w:val="000000"/>
                <w:kern w:val="1"/>
                <w:lang w:val="sr-Cyrl-RS" w:eastAsia="ar-SA"/>
              </w:rPr>
              <w:t>7</w:t>
            </w:r>
          </w:p>
        </w:tc>
      </w:tr>
    </w:tbl>
    <w:p w:rsidR="00206EFC" w:rsidRPr="00206EFC" w:rsidRDefault="00206EFC" w:rsidP="00206EFC">
      <w:pPr>
        <w:suppressAutoHyphens/>
        <w:spacing w:line="100" w:lineRule="atLeast"/>
        <w:jc w:val="both"/>
        <w:rPr>
          <w:rFonts w:eastAsia="Arial Unicode MS"/>
          <w:color w:val="000000"/>
          <w:kern w:val="1"/>
          <w:lang w:eastAsia="ar-SA"/>
        </w:rPr>
      </w:pPr>
    </w:p>
    <w:p w:rsidR="0037673B" w:rsidRDefault="0037673B">
      <w:pPr>
        <w:shd w:val="clear" w:color="auto" w:fill="FFFFFF"/>
        <w:rPr>
          <w:lang w:val="ru-RU"/>
        </w:rPr>
      </w:pPr>
    </w:p>
    <w:p w:rsidR="0037673B" w:rsidRDefault="0037673B" w:rsidP="00380769">
      <w:pPr>
        <w:rPr>
          <w:lang w:val="sr-Cyrl-CS"/>
        </w:rPr>
      </w:pPr>
      <w:r>
        <w:rPr>
          <w:b/>
          <w:lang w:val="sr-Cyrl-CS"/>
        </w:rPr>
        <w:t>Критеријуми, елементи критеријума за доделу уговора</w:t>
      </w:r>
      <w:r>
        <w:rPr>
          <w:lang w:val="sr-Cyrl-CS"/>
        </w:rPr>
        <w:t xml:space="preserve">: </w:t>
      </w:r>
    </w:p>
    <w:p w:rsidR="0037673B" w:rsidRDefault="0037673B" w:rsidP="00380769">
      <w:pPr>
        <w:rPr>
          <w:lang w:val="sr-Cyrl-CS"/>
        </w:rPr>
      </w:pPr>
      <w:r>
        <w:rPr>
          <w:lang w:val="sr-Cyrl-CS"/>
        </w:rPr>
        <w:t>економски најповољнија понуда</w:t>
      </w:r>
    </w:p>
    <w:p w:rsidR="0037673B" w:rsidRDefault="0037673B" w:rsidP="00380769">
      <w:pPr>
        <w:autoSpaceDE w:val="0"/>
        <w:autoSpaceDN w:val="0"/>
        <w:adjustRightInd w:val="0"/>
        <w:rPr>
          <w:color w:val="000000"/>
          <w:lang w:val="ru-RU"/>
        </w:rPr>
      </w:pPr>
      <w:r>
        <w:rPr>
          <w:color w:val="000000"/>
          <w:lang w:val="ru-RU"/>
        </w:rPr>
        <w:t>Избор између достављених понуда применом критеријума</w:t>
      </w:r>
    </w:p>
    <w:p w:rsidR="0037673B" w:rsidRDefault="0037673B" w:rsidP="00380769">
      <w:pPr>
        <w:autoSpaceDE w:val="0"/>
        <w:autoSpaceDN w:val="0"/>
        <w:adjustRightInd w:val="0"/>
        <w:rPr>
          <w:color w:val="000000"/>
          <w:lang w:val="ru-RU"/>
        </w:rPr>
      </w:pPr>
      <w:r>
        <w:rPr>
          <w:b/>
          <w:bCs/>
          <w:color w:val="000000"/>
          <w:lang w:val="ru-RU"/>
        </w:rPr>
        <w:t xml:space="preserve">„економски најповољнија понуда“, </w:t>
      </w:r>
      <w:r>
        <w:rPr>
          <w:color w:val="000000"/>
          <w:lang w:val="ru-RU"/>
        </w:rPr>
        <w:t>вршиће се рангирањем понуда на основу</w:t>
      </w:r>
    </w:p>
    <w:p w:rsidR="0037673B" w:rsidRDefault="0037673B" w:rsidP="00380769">
      <w:pPr>
        <w:autoSpaceDE w:val="0"/>
        <w:autoSpaceDN w:val="0"/>
        <w:adjustRightInd w:val="0"/>
        <w:rPr>
          <w:color w:val="000000"/>
          <w:lang w:val="sr-Cyrl-CS"/>
        </w:rPr>
      </w:pPr>
      <w:r>
        <w:rPr>
          <w:color w:val="000000"/>
          <w:lang w:val="ru-RU"/>
        </w:rPr>
        <w:t>следећих елемената критеријума и пондера одређених за те критеријуме:</w:t>
      </w:r>
    </w:p>
    <w:p w:rsidR="0037673B" w:rsidRDefault="0037673B">
      <w:pPr>
        <w:autoSpaceDE w:val="0"/>
        <w:autoSpaceDN w:val="0"/>
        <w:adjustRightInd w:val="0"/>
        <w:jc w:val="both"/>
        <w:rPr>
          <w:color w:val="000000"/>
          <w:lang w:val="sr-Cyrl-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5877"/>
        <w:gridCol w:w="2835"/>
      </w:tblGrid>
      <w:tr w:rsidR="0037673B" w:rsidRPr="00380769" w:rsidTr="00380769">
        <w:tc>
          <w:tcPr>
            <w:tcW w:w="360" w:type="dxa"/>
          </w:tcPr>
          <w:p w:rsidR="0037673B" w:rsidRDefault="0037673B">
            <w:pPr>
              <w:autoSpaceDE w:val="0"/>
              <w:autoSpaceDN w:val="0"/>
              <w:adjustRightInd w:val="0"/>
              <w:jc w:val="both"/>
              <w:rPr>
                <w:color w:val="000000"/>
              </w:rPr>
            </w:pPr>
            <w:r>
              <w:rPr>
                <w:color w:val="000000"/>
              </w:rPr>
              <w:t>1</w:t>
            </w:r>
          </w:p>
        </w:tc>
        <w:tc>
          <w:tcPr>
            <w:tcW w:w="5877" w:type="dxa"/>
          </w:tcPr>
          <w:p w:rsidR="0037673B" w:rsidRPr="00380769" w:rsidRDefault="0037673B">
            <w:pPr>
              <w:autoSpaceDE w:val="0"/>
              <w:autoSpaceDN w:val="0"/>
              <w:adjustRightInd w:val="0"/>
              <w:jc w:val="both"/>
            </w:pPr>
            <w:proofErr w:type="spellStart"/>
            <w:r w:rsidRPr="00380769">
              <w:t>Цена</w:t>
            </w:r>
            <w:proofErr w:type="spellEnd"/>
          </w:p>
        </w:tc>
        <w:tc>
          <w:tcPr>
            <w:tcW w:w="2835" w:type="dxa"/>
          </w:tcPr>
          <w:p w:rsidR="0037673B" w:rsidRPr="00380769" w:rsidRDefault="0037673B">
            <w:pPr>
              <w:autoSpaceDE w:val="0"/>
              <w:autoSpaceDN w:val="0"/>
              <w:adjustRightInd w:val="0"/>
              <w:jc w:val="both"/>
            </w:pPr>
            <w:r w:rsidRPr="00380769">
              <w:rPr>
                <w:bCs/>
                <w:lang w:val="sr-Cyrl-CS"/>
              </w:rPr>
              <w:t>3</w:t>
            </w:r>
            <w:r w:rsidRPr="00380769">
              <w:rPr>
                <w:bCs/>
              </w:rPr>
              <w:t xml:space="preserve">0 </w:t>
            </w:r>
            <w:proofErr w:type="spellStart"/>
            <w:r w:rsidRPr="00380769">
              <w:rPr>
                <w:bCs/>
              </w:rPr>
              <w:t>пондера</w:t>
            </w:r>
            <w:proofErr w:type="spellEnd"/>
          </w:p>
        </w:tc>
      </w:tr>
      <w:tr w:rsidR="0037673B" w:rsidRPr="00380769" w:rsidTr="00380769">
        <w:tc>
          <w:tcPr>
            <w:tcW w:w="360" w:type="dxa"/>
          </w:tcPr>
          <w:p w:rsidR="0037673B" w:rsidRDefault="0037673B">
            <w:pPr>
              <w:autoSpaceDE w:val="0"/>
              <w:autoSpaceDN w:val="0"/>
              <w:adjustRightInd w:val="0"/>
              <w:jc w:val="both"/>
              <w:rPr>
                <w:color w:val="000000"/>
              </w:rPr>
            </w:pPr>
            <w:r>
              <w:rPr>
                <w:color w:val="000000"/>
              </w:rPr>
              <w:t>2</w:t>
            </w:r>
          </w:p>
        </w:tc>
        <w:tc>
          <w:tcPr>
            <w:tcW w:w="5877" w:type="dxa"/>
          </w:tcPr>
          <w:p w:rsidR="0037673B" w:rsidRPr="00380769" w:rsidRDefault="0037673B">
            <w:pPr>
              <w:autoSpaceDE w:val="0"/>
              <w:autoSpaceDN w:val="0"/>
              <w:adjustRightInd w:val="0"/>
              <w:jc w:val="both"/>
              <w:rPr>
                <w:lang w:val="sr-Cyrl-CS"/>
              </w:rPr>
            </w:pPr>
            <w:r w:rsidRPr="00380769">
              <w:rPr>
                <w:lang w:val="sr-Cyrl-CS"/>
              </w:rPr>
              <w:t>Оцена сценарија</w:t>
            </w:r>
          </w:p>
        </w:tc>
        <w:tc>
          <w:tcPr>
            <w:tcW w:w="2835" w:type="dxa"/>
          </w:tcPr>
          <w:p w:rsidR="0037673B" w:rsidRPr="00380769" w:rsidRDefault="0037673B">
            <w:pPr>
              <w:autoSpaceDE w:val="0"/>
              <w:autoSpaceDN w:val="0"/>
              <w:adjustRightInd w:val="0"/>
              <w:jc w:val="both"/>
            </w:pPr>
            <w:r w:rsidRPr="00380769">
              <w:rPr>
                <w:bCs/>
                <w:lang w:val="sr-Cyrl-CS"/>
              </w:rPr>
              <w:t xml:space="preserve">40 </w:t>
            </w:r>
            <w:proofErr w:type="spellStart"/>
            <w:r w:rsidRPr="00380769">
              <w:rPr>
                <w:bCs/>
              </w:rPr>
              <w:t>пондера</w:t>
            </w:r>
            <w:proofErr w:type="spellEnd"/>
          </w:p>
        </w:tc>
      </w:tr>
      <w:tr w:rsidR="0037673B" w:rsidRPr="00380769" w:rsidTr="00380769">
        <w:tc>
          <w:tcPr>
            <w:tcW w:w="360" w:type="dxa"/>
          </w:tcPr>
          <w:p w:rsidR="0037673B" w:rsidRDefault="0037673B">
            <w:pPr>
              <w:autoSpaceDE w:val="0"/>
              <w:autoSpaceDN w:val="0"/>
              <w:adjustRightInd w:val="0"/>
              <w:jc w:val="both"/>
              <w:rPr>
                <w:color w:val="000000"/>
                <w:lang w:val="sr-Cyrl-CS"/>
              </w:rPr>
            </w:pPr>
            <w:r>
              <w:rPr>
                <w:color w:val="000000"/>
                <w:lang w:val="sr-Cyrl-CS"/>
              </w:rPr>
              <w:t>3</w:t>
            </w:r>
          </w:p>
        </w:tc>
        <w:tc>
          <w:tcPr>
            <w:tcW w:w="5877" w:type="dxa"/>
          </w:tcPr>
          <w:p w:rsidR="0037673B" w:rsidRPr="00380769" w:rsidRDefault="0037673B">
            <w:pPr>
              <w:autoSpaceDE w:val="0"/>
              <w:autoSpaceDN w:val="0"/>
              <w:adjustRightInd w:val="0"/>
              <w:jc w:val="both"/>
              <w:rPr>
                <w:color w:val="000000"/>
                <w:lang w:val="sr-Cyrl-CS"/>
              </w:rPr>
            </w:pPr>
            <w:r w:rsidRPr="00380769">
              <w:rPr>
                <w:color w:val="000000"/>
                <w:lang w:val="sr-Cyrl-CS"/>
              </w:rPr>
              <w:t>Одабир извођача</w:t>
            </w:r>
          </w:p>
        </w:tc>
        <w:tc>
          <w:tcPr>
            <w:tcW w:w="2835" w:type="dxa"/>
          </w:tcPr>
          <w:p w:rsidR="0037673B" w:rsidRPr="00380769" w:rsidRDefault="0037673B">
            <w:pPr>
              <w:autoSpaceDE w:val="0"/>
              <w:autoSpaceDN w:val="0"/>
              <w:adjustRightInd w:val="0"/>
              <w:jc w:val="both"/>
              <w:rPr>
                <w:color w:val="000000"/>
                <w:lang w:val="sr-Cyrl-CS"/>
              </w:rPr>
            </w:pPr>
            <w:r w:rsidRPr="00380769">
              <w:rPr>
                <w:bCs/>
                <w:color w:val="000000"/>
              </w:rPr>
              <w:t>30</w:t>
            </w:r>
            <w:r w:rsidRPr="00380769">
              <w:rPr>
                <w:bCs/>
                <w:color w:val="000000"/>
                <w:lang w:val="sr-Cyrl-CS"/>
              </w:rPr>
              <w:t xml:space="preserve"> </w:t>
            </w:r>
            <w:proofErr w:type="spellStart"/>
            <w:r w:rsidRPr="00380769">
              <w:rPr>
                <w:bCs/>
              </w:rPr>
              <w:t>пондера</w:t>
            </w:r>
            <w:proofErr w:type="spellEnd"/>
          </w:p>
        </w:tc>
      </w:tr>
      <w:tr w:rsidR="0037673B" w:rsidRPr="00380769" w:rsidTr="00380769">
        <w:tc>
          <w:tcPr>
            <w:tcW w:w="360" w:type="dxa"/>
          </w:tcPr>
          <w:p w:rsidR="0037673B" w:rsidRDefault="0037673B">
            <w:pPr>
              <w:autoSpaceDE w:val="0"/>
              <w:autoSpaceDN w:val="0"/>
              <w:adjustRightInd w:val="0"/>
              <w:jc w:val="both"/>
              <w:rPr>
                <w:color w:val="000000"/>
              </w:rPr>
            </w:pPr>
          </w:p>
        </w:tc>
        <w:tc>
          <w:tcPr>
            <w:tcW w:w="5877" w:type="dxa"/>
          </w:tcPr>
          <w:p w:rsidR="0037673B" w:rsidRPr="00380769" w:rsidRDefault="0037673B">
            <w:pPr>
              <w:autoSpaceDE w:val="0"/>
              <w:autoSpaceDN w:val="0"/>
              <w:adjustRightInd w:val="0"/>
              <w:jc w:val="both"/>
              <w:rPr>
                <w:color w:val="000000"/>
                <w:lang w:val="sr-Cyrl-CS"/>
              </w:rPr>
            </w:pPr>
            <w:r w:rsidRPr="00380769">
              <w:rPr>
                <w:color w:val="000000"/>
                <w:lang w:val="sr-Cyrl-CS"/>
              </w:rPr>
              <w:t>УКУПНО</w:t>
            </w:r>
          </w:p>
        </w:tc>
        <w:tc>
          <w:tcPr>
            <w:tcW w:w="2835" w:type="dxa"/>
          </w:tcPr>
          <w:p w:rsidR="0037673B" w:rsidRPr="00380769" w:rsidRDefault="0037673B">
            <w:pPr>
              <w:autoSpaceDE w:val="0"/>
              <w:autoSpaceDN w:val="0"/>
              <w:adjustRightInd w:val="0"/>
              <w:jc w:val="both"/>
              <w:rPr>
                <w:color w:val="000000"/>
                <w:lang w:val="sr-Cyrl-CS"/>
              </w:rPr>
            </w:pPr>
            <w:r w:rsidRPr="00380769">
              <w:rPr>
                <w:bCs/>
                <w:color w:val="000000"/>
                <w:lang w:val="sr-Cyrl-CS"/>
              </w:rPr>
              <w:t>100</w:t>
            </w:r>
            <w:r w:rsidRPr="00380769">
              <w:rPr>
                <w:color w:val="000000"/>
                <w:lang w:val="sr-Cyrl-CS"/>
              </w:rPr>
              <w:t xml:space="preserve"> </w:t>
            </w:r>
            <w:proofErr w:type="spellStart"/>
            <w:r w:rsidRPr="00380769">
              <w:rPr>
                <w:bCs/>
              </w:rPr>
              <w:t>пондера</w:t>
            </w:r>
            <w:proofErr w:type="spellEnd"/>
          </w:p>
        </w:tc>
      </w:tr>
    </w:tbl>
    <w:p w:rsidR="002A3723" w:rsidRDefault="002A3723">
      <w:pPr>
        <w:pStyle w:val="Heading4"/>
        <w:jc w:val="both"/>
      </w:pPr>
    </w:p>
    <w:p w:rsidR="002A3723" w:rsidRPr="002A3723" w:rsidRDefault="002A3723" w:rsidP="002A3723">
      <w:pPr>
        <w:pStyle w:val="Heading4"/>
        <w:jc w:val="both"/>
        <w:rPr>
          <w:i/>
          <w:iCs/>
          <w:lang w:val="sr-Cyrl-CS"/>
        </w:rPr>
      </w:pPr>
      <w:r w:rsidRPr="002A3723">
        <w:rPr>
          <w:lang w:val="sr-Cyrl-CS"/>
        </w:rPr>
        <w:t xml:space="preserve">Методе одређивања пондера по подкритеријумима: </w:t>
      </w:r>
    </w:p>
    <w:p w:rsidR="002A3723" w:rsidRPr="002A3723" w:rsidRDefault="002A3723" w:rsidP="002A3723">
      <w:pPr>
        <w:jc w:val="both"/>
        <w:rPr>
          <w:lang w:val="sr-Cyrl-CS"/>
        </w:rPr>
      </w:pPr>
    </w:p>
    <w:p w:rsidR="002A3723" w:rsidRPr="002A3723" w:rsidRDefault="002A3723" w:rsidP="002A3723">
      <w:pPr>
        <w:autoSpaceDE w:val="0"/>
        <w:autoSpaceDN w:val="0"/>
        <w:adjustRightInd w:val="0"/>
        <w:jc w:val="both"/>
        <w:rPr>
          <w:b/>
          <w:bCs/>
          <w:iCs/>
          <w:lang w:val="sr-Cyrl-CS"/>
        </w:rPr>
      </w:pPr>
      <w:r w:rsidRPr="002A3723">
        <w:rPr>
          <w:b/>
          <w:bCs/>
          <w:iCs/>
          <w:lang w:val="sr-Cyrl-CS"/>
        </w:rPr>
        <w:t xml:space="preserve">а. </w:t>
      </w:r>
      <w:r w:rsidRPr="002A3723">
        <w:rPr>
          <w:b/>
          <w:bCs/>
          <w:iCs/>
        </w:rPr>
        <w:t xml:space="preserve"> </w:t>
      </w:r>
      <w:r w:rsidRPr="002A3723">
        <w:rPr>
          <w:b/>
          <w:bCs/>
          <w:iCs/>
          <w:lang w:val="sr-Cyrl-CS"/>
        </w:rPr>
        <w:t>Цена услуге</w:t>
      </w:r>
      <w:r w:rsidRPr="002A3723">
        <w:rPr>
          <w:iCs/>
        </w:rPr>
        <w:t xml:space="preserve">: </w:t>
      </w:r>
      <w:r w:rsidRPr="002A3723">
        <w:rPr>
          <w:bCs/>
          <w:iCs/>
          <w:lang w:val="sr-Cyrl-CS"/>
        </w:rPr>
        <w:t>максимално 30 пондера</w:t>
      </w:r>
    </w:p>
    <w:p w:rsidR="002A3723" w:rsidRPr="002A3723" w:rsidRDefault="002A3723" w:rsidP="002A3723">
      <w:pPr>
        <w:autoSpaceDE w:val="0"/>
        <w:autoSpaceDN w:val="0"/>
        <w:adjustRightInd w:val="0"/>
        <w:jc w:val="both"/>
        <w:rPr>
          <w:lang w:val="ru-RU"/>
        </w:rPr>
      </w:pPr>
    </w:p>
    <w:p w:rsidR="002A3723" w:rsidRPr="002A3723" w:rsidRDefault="002A3723" w:rsidP="002A3723">
      <w:pPr>
        <w:autoSpaceDE w:val="0"/>
        <w:autoSpaceDN w:val="0"/>
        <w:adjustRightInd w:val="0"/>
        <w:jc w:val="both"/>
        <w:rPr>
          <w:lang w:val="ru-RU"/>
        </w:rPr>
      </w:pPr>
      <w:r w:rsidRPr="002A3723">
        <w:rPr>
          <w:lang w:val="ru-RU"/>
        </w:rPr>
        <w:t xml:space="preserve">За најнижу цену додељује се </w:t>
      </w:r>
      <w:r w:rsidRPr="002A3723">
        <w:rPr>
          <w:lang w:val="sr-Cyrl-CS"/>
        </w:rPr>
        <w:t>3</w:t>
      </w:r>
      <w:r w:rsidRPr="002A3723">
        <w:rPr>
          <w:lang w:val="ru-RU"/>
        </w:rPr>
        <w:t xml:space="preserve">0 пондера. </w:t>
      </w:r>
    </w:p>
    <w:p w:rsidR="002A3723" w:rsidRPr="002A3723" w:rsidRDefault="002A3723" w:rsidP="002A3723">
      <w:pPr>
        <w:autoSpaceDE w:val="0"/>
        <w:autoSpaceDN w:val="0"/>
        <w:adjustRightInd w:val="0"/>
        <w:jc w:val="both"/>
        <w:rPr>
          <w:lang w:val="ru-RU"/>
        </w:rPr>
      </w:pPr>
      <w:r w:rsidRPr="002A3723">
        <w:rPr>
          <w:lang w:val="ru-RU"/>
        </w:rPr>
        <w:t>Број пондера за све остале понуђене цене израчунава се по формули:</w:t>
      </w:r>
    </w:p>
    <w:p w:rsidR="002A3723" w:rsidRPr="002A3723" w:rsidRDefault="002A3723" w:rsidP="002A3723">
      <w:pPr>
        <w:keepNext/>
        <w:autoSpaceDE w:val="0"/>
        <w:autoSpaceDN w:val="0"/>
        <w:adjustRightInd w:val="0"/>
        <w:jc w:val="both"/>
        <w:outlineLvl w:val="2"/>
        <w:rPr>
          <w:i/>
          <w:iCs/>
          <w:u w:val="single"/>
          <w:lang w:val="ru-RU"/>
        </w:rPr>
      </w:pPr>
    </w:p>
    <w:p w:rsidR="002A3723" w:rsidRPr="002A3723" w:rsidRDefault="002A3723" w:rsidP="002A3723">
      <w:pPr>
        <w:keepNext/>
        <w:autoSpaceDE w:val="0"/>
        <w:autoSpaceDN w:val="0"/>
        <w:adjustRightInd w:val="0"/>
        <w:jc w:val="both"/>
        <w:outlineLvl w:val="2"/>
        <w:rPr>
          <w:i/>
          <w:iCs/>
          <w:u w:val="single"/>
          <w:lang w:val="ru-RU"/>
        </w:rPr>
      </w:pPr>
      <w:r w:rsidRPr="002A3723">
        <w:rPr>
          <w:i/>
          <w:iCs/>
          <w:u w:val="single"/>
          <w:lang w:val="ru-RU"/>
        </w:rPr>
        <w:t>Најповољнија цена х максималан број пондера</w:t>
      </w:r>
    </w:p>
    <w:p w:rsidR="002A3723" w:rsidRPr="002A3723" w:rsidRDefault="002A3723" w:rsidP="002A3723">
      <w:pPr>
        <w:autoSpaceDE w:val="0"/>
        <w:autoSpaceDN w:val="0"/>
        <w:adjustRightInd w:val="0"/>
        <w:ind w:left="708" w:firstLine="708"/>
        <w:jc w:val="both"/>
        <w:rPr>
          <w:i/>
          <w:iCs/>
          <w:lang w:val="ru-RU"/>
        </w:rPr>
      </w:pPr>
      <w:r w:rsidRPr="002A3723">
        <w:rPr>
          <w:i/>
          <w:iCs/>
          <w:lang w:val="ru-RU"/>
        </w:rPr>
        <w:t xml:space="preserve"> Понуђена цена</w:t>
      </w:r>
    </w:p>
    <w:p w:rsidR="002A3723" w:rsidRPr="002A3723" w:rsidRDefault="002A3723" w:rsidP="002A3723">
      <w:pPr>
        <w:autoSpaceDE w:val="0"/>
        <w:autoSpaceDN w:val="0"/>
        <w:adjustRightInd w:val="0"/>
        <w:jc w:val="both"/>
        <w:rPr>
          <w:i/>
          <w:iCs/>
          <w:lang w:val="ru-RU"/>
        </w:rPr>
      </w:pPr>
    </w:p>
    <w:p w:rsidR="002A3723" w:rsidRPr="002A3723" w:rsidRDefault="002A3723" w:rsidP="002A3723">
      <w:pPr>
        <w:autoSpaceDE w:val="0"/>
        <w:autoSpaceDN w:val="0"/>
        <w:adjustRightInd w:val="0"/>
        <w:jc w:val="both"/>
        <w:rPr>
          <w:lang w:val="ru-RU"/>
        </w:rPr>
      </w:pPr>
      <w:r w:rsidRPr="002A3723">
        <w:rPr>
          <w:b/>
          <w:bCs/>
          <w:iCs/>
          <w:lang w:val="sr-Cyrl-CS"/>
        </w:rPr>
        <w:t>б.</w:t>
      </w:r>
      <w:r w:rsidRPr="002A3723">
        <w:rPr>
          <w:b/>
          <w:bCs/>
          <w:i/>
          <w:iCs/>
          <w:lang w:val="sr-Cyrl-CS"/>
        </w:rPr>
        <w:t xml:space="preserve"> </w:t>
      </w:r>
      <w:r w:rsidRPr="002A3723">
        <w:rPr>
          <w:b/>
          <w:bCs/>
          <w:i/>
          <w:iCs/>
          <w:lang w:val="ru-RU"/>
        </w:rPr>
        <w:t xml:space="preserve"> </w:t>
      </w:r>
      <w:r w:rsidRPr="002A3723">
        <w:rPr>
          <w:b/>
          <w:bCs/>
          <w:iCs/>
          <w:lang w:val="sr-Cyrl-CS"/>
        </w:rPr>
        <w:t>Оцена предложеног комплетног сценарија</w:t>
      </w:r>
      <w:r w:rsidRPr="002A3723">
        <w:rPr>
          <w:b/>
          <w:bCs/>
          <w:iCs/>
          <w:lang w:val="ru-RU"/>
        </w:rPr>
        <w:t>:</w:t>
      </w:r>
      <w:r w:rsidRPr="002A3723">
        <w:rPr>
          <w:b/>
          <w:bCs/>
          <w:i/>
          <w:iCs/>
          <w:lang w:val="ru-RU"/>
        </w:rPr>
        <w:t xml:space="preserve"> </w:t>
      </w:r>
      <w:r w:rsidRPr="002A3723">
        <w:rPr>
          <w:bCs/>
          <w:iCs/>
          <w:lang w:val="sr-Cyrl-CS"/>
        </w:rPr>
        <w:t>максимално 40 пондера</w:t>
      </w:r>
      <w:r w:rsidRPr="002A3723">
        <w:rPr>
          <w:lang w:val="ru-RU"/>
        </w:rPr>
        <w:t xml:space="preserve"> </w:t>
      </w:r>
    </w:p>
    <w:p w:rsidR="002A3723" w:rsidRPr="002A3723" w:rsidRDefault="002A3723" w:rsidP="002A3723">
      <w:pPr>
        <w:autoSpaceDE w:val="0"/>
        <w:autoSpaceDN w:val="0"/>
        <w:adjustRightInd w:val="0"/>
        <w:jc w:val="both"/>
        <w:rPr>
          <w:lang w:val="ru-RU"/>
        </w:rPr>
      </w:pPr>
    </w:p>
    <w:p w:rsidR="002A3723" w:rsidRPr="002A3723" w:rsidRDefault="002A3723" w:rsidP="002A3723">
      <w:pPr>
        <w:autoSpaceDE w:val="0"/>
        <w:autoSpaceDN w:val="0"/>
        <w:adjustRightInd w:val="0"/>
        <w:jc w:val="both"/>
        <w:rPr>
          <w:lang w:val="sr-Cyrl-CS"/>
        </w:rPr>
      </w:pPr>
      <w:r w:rsidRPr="002A3723">
        <w:rPr>
          <w:lang w:val="ru-RU"/>
        </w:rPr>
        <w:t>Овај подкритеријум ће се оцењивати на основу</w:t>
      </w:r>
      <w:r w:rsidRPr="002A3723">
        <w:rPr>
          <w:lang w:val="sr-Cyrl-CS"/>
        </w:rPr>
        <w:t xml:space="preserve"> приложеног комплетног сценарија које ће бодовати Стручна комисија формирана посебном одлуком Наручиоца  (сачињена од три члана). </w:t>
      </w:r>
    </w:p>
    <w:p w:rsidR="002A3723" w:rsidRPr="002A3723" w:rsidRDefault="002A3723" w:rsidP="002A3723">
      <w:pPr>
        <w:autoSpaceDE w:val="0"/>
        <w:autoSpaceDN w:val="0"/>
        <w:adjustRightInd w:val="0"/>
        <w:jc w:val="both"/>
        <w:rPr>
          <w:bCs/>
          <w:lang w:val="sr-Cyrl-CS"/>
        </w:rPr>
      </w:pPr>
    </w:p>
    <w:p w:rsidR="002A3723" w:rsidRPr="002A3723" w:rsidRDefault="002A3723" w:rsidP="002A3723">
      <w:pPr>
        <w:autoSpaceDE w:val="0"/>
        <w:autoSpaceDN w:val="0"/>
        <w:adjustRightInd w:val="0"/>
        <w:jc w:val="both"/>
        <w:rPr>
          <w:bCs/>
          <w:lang w:val="sr-Cyrl-CS"/>
        </w:rPr>
      </w:pPr>
      <w:r w:rsidRPr="002A3723">
        <w:rPr>
          <w:bCs/>
          <w:lang w:val="sr-Cyrl-CS"/>
        </w:rPr>
        <w:t>Стручна комисија ће приликом бодовања сценарија узимати у обзир да текст сценарија презентује конкретан историјски догађај на савремен и атрактиван начин, користећи тачне историјске чињенице, уз обавезни едукативни карактер, а  предност ће бити дата иновативним идејама.</w:t>
      </w:r>
    </w:p>
    <w:p w:rsidR="002A3723" w:rsidRPr="002A3723" w:rsidRDefault="002A3723" w:rsidP="002A3723">
      <w:pPr>
        <w:autoSpaceDE w:val="0"/>
        <w:autoSpaceDN w:val="0"/>
        <w:adjustRightInd w:val="0"/>
        <w:jc w:val="both"/>
        <w:rPr>
          <w:lang w:val="sr-Cyrl-CS"/>
        </w:rPr>
      </w:pPr>
      <w:r w:rsidRPr="002A3723">
        <w:rPr>
          <w:bCs/>
          <w:lang w:val="sr-Cyrl-CS"/>
        </w:rPr>
        <w:t xml:space="preserve"> </w:t>
      </w:r>
    </w:p>
    <w:p w:rsidR="002A3723" w:rsidRPr="002A3723" w:rsidRDefault="002A3723" w:rsidP="002A3723">
      <w:pPr>
        <w:autoSpaceDE w:val="0"/>
        <w:autoSpaceDN w:val="0"/>
        <w:adjustRightInd w:val="0"/>
        <w:jc w:val="both"/>
        <w:rPr>
          <w:lang w:val="sr-Cyrl-CS"/>
        </w:rPr>
      </w:pPr>
      <w:r w:rsidRPr="002A3723">
        <w:rPr>
          <w:lang w:val="sr-Cyrl-CS"/>
        </w:rPr>
        <w:lastRenderedPageBreak/>
        <w:t>Сваки члан Стручне комисије моћи ће за сваки сценарио да додели бодове у распону од 0-10.</w:t>
      </w:r>
    </w:p>
    <w:p w:rsidR="002A3723" w:rsidRPr="002A3723" w:rsidRDefault="002A3723" w:rsidP="002A3723">
      <w:pPr>
        <w:autoSpaceDE w:val="0"/>
        <w:autoSpaceDN w:val="0"/>
        <w:adjustRightInd w:val="0"/>
        <w:jc w:val="both"/>
        <w:rPr>
          <w:lang w:val="sr-Cyrl-CS"/>
        </w:rPr>
      </w:pPr>
    </w:p>
    <w:p w:rsidR="002A3723" w:rsidRPr="00B71FCF" w:rsidRDefault="002A3723" w:rsidP="002A3723">
      <w:pPr>
        <w:autoSpaceDE w:val="0"/>
        <w:autoSpaceDN w:val="0"/>
        <w:adjustRightInd w:val="0"/>
        <w:jc w:val="both"/>
        <w:rPr>
          <w:lang w:val="sr-Cyrl-CS"/>
        </w:rPr>
      </w:pPr>
      <w:r w:rsidRPr="002A3723">
        <w:rPr>
          <w:lang w:val="sr-Cyrl-CS"/>
        </w:rPr>
        <w:t xml:space="preserve">Стручна комисија резултате бодовања као писани извештај доставља Комисији за спровођење </w:t>
      </w:r>
      <w:r w:rsidRPr="00B71FCF">
        <w:rPr>
          <w:lang w:val="sr-Cyrl-CS"/>
        </w:rPr>
        <w:t>поступка јавне набавке.</w:t>
      </w:r>
    </w:p>
    <w:p w:rsidR="002A3723" w:rsidRPr="00B71FCF" w:rsidRDefault="002A3723" w:rsidP="002A3723">
      <w:pPr>
        <w:autoSpaceDE w:val="0"/>
        <w:autoSpaceDN w:val="0"/>
        <w:adjustRightInd w:val="0"/>
        <w:jc w:val="both"/>
        <w:rPr>
          <w:lang w:val="sr-Cyrl-CS"/>
        </w:rPr>
      </w:pPr>
      <w:r w:rsidRPr="00B71FCF">
        <w:rPr>
          <w:lang w:val="sr-Cyrl-CS"/>
        </w:rPr>
        <w:t>Комисија за спровођење поступка јавне набавке одређује број освојених пондера у зависности од збира бодова добијеног у Извештају Стручне комисије, тако да се за укупан број бодова сваком сценарију одређују пондери према следећој табели:</w:t>
      </w:r>
    </w:p>
    <w:p w:rsidR="002A3723" w:rsidRPr="00B71FCF" w:rsidRDefault="002A3723" w:rsidP="002A3723">
      <w:pPr>
        <w:autoSpaceDE w:val="0"/>
        <w:autoSpaceDN w:val="0"/>
        <w:adjustRightInd w:val="0"/>
        <w:jc w:val="both"/>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77"/>
      </w:tblGrid>
      <w:tr w:rsidR="002A3723" w:rsidRPr="00B71FCF" w:rsidTr="00EF1E7E">
        <w:tc>
          <w:tcPr>
            <w:tcW w:w="4395" w:type="dxa"/>
          </w:tcPr>
          <w:p w:rsidR="002A3723" w:rsidRPr="00B71FCF" w:rsidRDefault="002A3723" w:rsidP="002A3723">
            <w:pPr>
              <w:autoSpaceDE w:val="0"/>
              <w:autoSpaceDN w:val="0"/>
              <w:adjustRightInd w:val="0"/>
              <w:jc w:val="center"/>
              <w:rPr>
                <w:lang w:val="sr-Cyrl-CS"/>
              </w:rPr>
            </w:pPr>
            <w:r w:rsidRPr="00B71FCF">
              <w:rPr>
                <w:lang w:val="sr-Cyrl-CS"/>
              </w:rPr>
              <w:t>Бодови</w:t>
            </w:r>
          </w:p>
        </w:tc>
        <w:tc>
          <w:tcPr>
            <w:tcW w:w="4677" w:type="dxa"/>
          </w:tcPr>
          <w:p w:rsidR="002A3723" w:rsidRPr="00B71FCF" w:rsidRDefault="002A3723" w:rsidP="002A3723">
            <w:pPr>
              <w:autoSpaceDE w:val="0"/>
              <w:autoSpaceDN w:val="0"/>
              <w:adjustRightInd w:val="0"/>
              <w:jc w:val="center"/>
              <w:rPr>
                <w:lang w:val="sr-Cyrl-CS"/>
              </w:rPr>
            </w:pPr>
            <w:r w:rsidRPr="00B71FCF">
              <w:rPr>
                <w:lang w:val="sr-Cyrl-CS"/>
              </w:rPr>
              <w:t>Пондери</w:t>
            </w:r>
          </w:p>
        </w:tc>
      </w:tr>
      <w:tr w:rsidR="002A3723" w:rsidRPr="00B71FCF" w:rsidTr="00EF1E7E">
        <w:tc>
          <w:tcPr>
            <w:tcW w:w="4395" w:type="dxa"/>
          </w:tcPr>
          <w:p w:rsidR="002A3723" w:rsidRPr="00B71FCF" w:rsidRDefault="002A3723" w:rsidP="002A3723">
            <w:pPr>
              <w:autoSpaceDE w:val="0"/>
              <w:autoSpaceDN w:val="0"/>
              <w:adjustRightInd w:val="0"/>
              <w:jc w:val="center"/>
              <w:rPr>
                <w:lang w:val="sr-Cyrl-CS"/>
              </w:rPr>
            </w:pPr>
            <w:r w:rsidRPr="00B71FCF">
              <w:rPr>
                <w:lang w:val="sr-Cyrl-CS"/>
              </w:rPr>
              <w:t>30 - 24</w:t>
            </w:r>
          </w:p>
        </w:tc>
        <w:tc>
          <w:tcPr>
            <w:tcW w:w="4677" w:type="dxa"/>
          </w:tcPr>
          <w:p w:rsidR="002A3723" w:rsidRPr="00B71FCF" w:rsidRDefault="002A3723" w:rsidP="002A3723">
            <w:pPr>
              <w:autoSpaceDE w:val="0"/>
              <w:autoSpaceDN w:val="0"/>
              <w:adjustRightInd w:val="0"/>
              <w:jc w:val="center"/>
              <w:rPr>
                <w:lang w:val="sr-Cyrl-CS"/>
              </w:rPr>
            </w:pPr>
            <w:r w:rsidRPr="00B71FCF">
              <w:rPr>
                <w:lang w:val="sr-Cyrl-CS"/>
              </w:rPr>
              <w:t>40</w:t>
            </w:r>
          </w:p>
        </w:tc>
      </w:tr>
      <w:tr w:rsidR="002A3723" w:rsidRPr="00B71FCF" w:rsidTr="00EF1E7E">
        <w:tc>
          <w:tcPr>
            <w:tcW w:w="4395" w:type="dxa"/>
          </w:tcPr>
          <w:p w:rsidR="002A3723" w:rsidRPr="00B71FCF" w:rsidRDefault="002A3723" w:rsidP="002A3723">
            <w:pPr>
              <w:autoSpaceDE w:val="0"/>
              <w:autoSpaceDN w:val="0"/>
              <w:adjustRightInd w:val="0"/>
              <w:jc w:val="center"/>
              <w:rPr>
                <w:lang w:val="sr-Cyrl-CS"/>
              </w:rPr>
            </w:pPr>
            <w:r w:rsidRPr="00B71FCF">
              <w:rPr>
                <w:lang w:val="sr-Cyrl-CS"/>
              </w:rPr>
              <w:t>23 - 17</w:t>
            </w:r>
          </w:p>
        </w:tc>
        <w:tc>
          <w:tcPr>
            <w:tcW w:w="4677" w:type="dxa"/>
          </w:tcPr>
          <w:p w:rsidR="002A3723" w:rsidRPr="00B71FCF" w:rsidRDefault="002A3723" w:rsidP="002A3723">
            <w:pPr>
              <w:autoSpaceDE w:val="0"/>
              <w:autoSpaceDN w:val="0"/>
              <w:adjustRightInd w:val="0"/>
              <w:jc w:val="center"/>
              <w:rPr>
                <w:lang w:val="sr-Cyrl-CS"/>
              </w:rPr>
            </w:pPr>
            <w:r w:rsidRPr="00B71FCF">
              <w:rPr>
                <w:lang w:val="sr-Cyrl-CS"/>
              </w:rPr>
              <w:t>30</w:t>
            </w:r>
          </w:p>
        </w:tc>
      </w:tr>
      <w:tr w:rsidR="002A3723" w:rsidRPr="00B71FCF" w:rsidTr="00EF1E7E">
        <w:tc>
          <w:tcPr>
            <w:tcW w:w="4395" w:type="dxa"/>
          </w:tcPr>
          <w:p w:rsidR="002A3723" w:rsidRPr="00B71FCF" w:rsidRDefault="002A3723" w:rsidP="002A3723">
            <w:pPr>
              <w:autoSpaceDE w:val="0"/>
              <w:autoSpaceDN w:val="0"/>
              <w:adjustRightInd w:val="0"/>
              <w:jc w:val="center"/>
              <w:rPr>
                <w:lang w:val="sr-Cyrl-CS"/>
              </w:rPr>
            </w:pPr>
            <w:r w:rsidRPr="00B71FCF">
              <w:rPr>
                <w:lang w:val="sr-Cyrl-CS"/>
              </w:rPr>
              <w:t>16 - 10</w:t>
            </w:r>
          </w:p>
        </w:tc>
        <w:tc>
          <w:tcPr>
            <w:tcW w:w="4677" w:type="dxa"/>
          </w:tcPr>
          <w:p w:rsidR="002A3723" w:rsidRPr="00B71FCF" w:rsidRDefault="002A3723" w:rsidP="002A3723">
            <w:pPr>
              <w:autoSpaceDE w:val="0"/>
              <w:autoSpaceDN w:val="0"/>
              <w:adjustRightInd w:val="0"/>
              <w:jc w:val="center"/>
              <w:rPr>
                <w:lang w:val="sr-Cyrl-CS"/>
              </w:rPr>
            </w:pPr>
            <w:r w:rsidRPr="00B71FCF">
              <w:rPr>
                <w:lang w:val="sr-Cyrl-CS"/>
              </w:rPr>
              <w:t>20</w:t>
            </w:r>
          </w:p>
        </w:tc>
      </w:tr>
      <w:tr w:rsidR="002A3723" w:rsidRPr="00B71FCF" w:rsidTr="00EF1E7E">
        <w:tc>
          <w:tcPr>
            <w:tcW w:w="4395" w:type="dxa"/>
          </w:tcPr>
          <w:p w:rsidR="002A3723" w:rsidRPr="00B71FCF" w:rsidRDefault="002A3723" w:rsidP="002A3723">
            <w:pPr>
              <w:autoSpaceDE w:val="0"/>
              <w:autoSpaceDN w:val="0"/>
              <w:adjustRightInd w:val="0"/>
              <w:jc w:val="center"/>
              <w:rPr>
                <w:lang w:val="sr-Cyrl-CS"/>
              </w:rPr>
            </w:pPr>
            <w:r w:rsidRPr="00B71FCF">
              <w:rPr>
                <w:lang w:val="sr-Cyrl-CS"/>
              </w:rPr>
              <w:t>9 - 0</w:t>
            </w:r>
          </w:p>
        </w:tc>
        <w:tc>
          <w:tcPr>
            <w:tcW w:w="4677" w:type="dxa"/>
          </w:tcPr>
          <w:p w:rsidR="002A3723" w:rsidRPr="00B71FCF" w:rsidRDefault="002A3723" w:rsidP="002A3723">
            <w:pPr>
              <w:autoSpaceDE w:val="0"/>
              <w:autoSpaceDN w:val="0"/>
              <w:adjustRightInd w:val="0"/>
              <w:jc w:val="center"/>
              <w:rPr>
                <w:lang w:val="sr-Cyrl-CS"/>
              </w:rPr>
            </w:pPr>
            <w:r w:rsidRPr="00B71FCF">
              <w:rPr>
                <w:lang w:val="sr-Cyrl-CS"/>
              </w:rPr>
              <w:t>0</w:t>
            </w:r>
          </w:p>
        </w:tc>
      </w:tr>
    </w:tbl>
    <w:p w:rsidR="002A3723" w:rsidRPr="00B71FCF" w:rsidRDefault="002A3723" w:rsidP="002A3723">
      <w:pPr>
        <w:autoSpaceDE w:val="0"/>
        <w:autoSpaceDN w:val="0"/>
        <w:adjustRightInd w:val="0"/>
        <w:jc w:val="both"/>
        <w:rPr>
          <w:lang w:val="sr-Cyrl-CS"/>
        </w:rPr>
      </w:pPr>
    </w:p>
    <w:p w:rsidR="002A3723" w:rsidRPr="00B71FCF" w:rsidRDefault="002A3723" w:rsidP="002A3723">
      <w:pPr>
        <w:autoSpaceDE w:val="0"/>
        <w:autoSpaceDN w:val="0"/>
        <w:adjustRightInd w:val="0"/>
        <w:jc w:val="both"/>
        <w:rPr>
          <w:b/>
          <w:bCs/>
          <w:i/>
          <w:iCs/>
          <w:sz w:val="22"/>
          <w:lang w:val="sr-Cyrl-CS"/>
        </w:rPr>
      </w:pPr>
    </w:p>
    <w:p w:rsidR="002A3723" w:rsidRPr="00B71FCF" w:rsidRDefault="002A3723" w:rsidP="002A3723">
      <w:pPr>
        <w:autoSpaceDE w:val="0"/>
        <w:autoSpaceDN w:val="0"/>
        <w:adjustRightInd w:val="0"/>
        <w:jc w:val="both"/>
        <w:rPr>
          <w:b/>
          <w:bCs/>
          <w:i/>
          <w:iCs/>
          <w:lang w:val="sr-Cyrl-CS"/>
        </w:rPr>
      </w:pPr>
      <w:r w:rsidRPr="00B71FCF">
        <w:rPr>
          <w:b/>
          <w:bCs/>
          <w:iCs/>
          <w:lang w:val="sr-Cyrl-CS"/>
        </w:rPr>
        <w:t xml:space="preserve">в. Оцена одабира извођача: </w:t>
      </w:r>
      <w:r w:rsidRPr="00B71FCF">
        <w:rPr>
          <w:bCs/>
          <w:iCs/>
          <w:lang w:val="sr-Cyrl-CS"/>
        </w:rPr>
        <w:t>максимално 30 пондера</w:t>
      </w:r>
    </w:p>
    <w:p w:rsidR="002A3723" w:rsidRPr="00B71FCF" w:rsidRDefault="002A3723" w:rsidP="002A3723">
      <w:pPr>
        <w:jc w:val="both"/>
        <w:rPr>
          <w:lang w:val="sr-Cyrl-CS"/>
        </w:rPr>
      </w:pPr>
    </w:p>
    <w:p w:rsidR="002A3723" w:rsidRPr="00B71FCF" w:rsidRDefault="002A3723" w:rsidP="002A3723">
      <w:pPr>
        <w:autoSpaceDE w:val="0"/>
        <w:autoSpaceDN w:val="0"/>
        <w:adjustRightInd w:val="0"/>
        <w:jc w:val="both"/>
        <w:rPr>
          <w:lang w:val="sr-Cyrl-CS"/>
        </w:rPr>
      </w:pPr>
      <w:r w:rsidRPr="00B71FCF">
        <w:rPr>
          <w:lang w:val="ru-RU"/>
        </w:rPr>
        <w:t>Овај подкритеријум ће се оцењивати на основу</w:t>
      </w:r>
      <w:r w:rsidRPr="00B71FCF">
        <w:rPr>
          <w:lang w:val="sr-Cyrl-CS"/>
        </w:rPr>
        <w:t xml:space="preserve"> приложених предуговора о ангажовању одређених извођача, који ће (подкритеријум) такође бодовати  Стручна комисија формирана посебном одлуком Наручиоца,  сачињена од 3 (три) члана. </w:t>
      </w:r>
    </w:p>
    <w:p w:rsidR="002A3723" w:rsidRPr="00B71FCF" w:rsidRDefault="002A3723" w:rsidP="002A3723">
      <w:pPr>
        <w:autoSpaceDE w:val="0"/>
        <w:autoSpaceDN w:val="0"/>
        <w:adjustRightInd w:val="0"/>
        <w:jc w:val="both"/>
        <w:rPr>
          <w:bCs/>
          <w:lang w:val="sr-Cyrl-CS"/>
        </w:rPr>
      </w:pPr>
    </w:p>
    <w:p w:rsidR="002A3723" w:rsidRPr="00B71FCF" w:rsidRDefault="002A3723" w:rsidP="002A3723">
      <w:pPr>
        <w:autoSpaceDE w:val="0"/>
        <w:autoSpaceDN w:val="0"/>
        <w:adjustRightInd w:val="0"/>
        <w:jc w:val="both"/>
        <w:rPr>
          <w:bCs/>
          <w:lang w:val="sr-Cyrl-CS"/>
        </w:rPr>
      </w:pPr>
      <w:r w:rsidRPr="00B71FCF">
        <w:rPr>
          <w:lang w:val="sr-Cyrl-CS"/>
        </w:rPr>
        <w:t xml:space="preserve">Стручна комисија </w:t>
      </w:r>
      <w:r w:rsidRPr="00B71FCF">
        <w:rPr>
          <w:bCs/>
          <w:lang w:val="sr-Cyrl-CS"/>
        </w:rPr>
        <w:t xml:space="preserve">ће приликом бодовања по овом подкритеријуму узимати у обзир реноме извођача (нпр. првак драме, награђиван уметник, велики број главних улога, ....), предвиђен број и врсту ангажованих извођача  (нпр. глумци, хор, оркестар, оперски певач......). </w:t>
      </w:r>
    </w:p>
    <w:p w:rsidR="002A3723" w:rsidRPr="00B71FCF" w:rsidRDefault="002A3723" w:rsidP="002A3723">
      <w:pPr>
        <w:autoSpaceDE w:val="0"/>
        <w:autoSpaceDN w:val="0"/>
        <w:adjustRightInd w:val="0"/>
        <w:jc w:val="both"/>
        <w:rPr>
          <w:lang w:val="sr-Cyrl-CS"/>
        </w:rPr>
      </w:pPr>
    </w:p>
    <w:p w:rsidR="002A3723" w:rsidRPr="00B71FCF" w:rsidRDefault="002A3723" w:rsidP="002A3723">
      <w:pPr>
        <w:autoSpaceDE w:val="0"/>
        <w:autoSpaceDN w:val="0"/>
        <w:adjustRightInd w:val="0"/>
        <w:jc w:val="both"/>
        <w:rPr>
          <w:lang w:val="sr-Cyrl-CS"/>
        </w:rPr>
      </w:pPr>
      <w:r w:rsidRPr="00B71FCF">
        <w:rPr>
          <w:lang w:val="sr-Cyrl-CS"/>
        </w:rPr>
        <w:t>Сваки члан Стручне комисије моћи ће за сваки сценарио да додели бодове у распону од 0-10.</w:t>
      </w:r>
    </w:p>
    <w:p w:rsidR="002A3723" w:rsidRPr="00B71FCF" w:rsidRDefault="002A3723" w:rsidP="002A3723">
      <w:pPr>
        <w:autoSpaceDE w:val="0"/>
        <w:autoSpaceDN w:val="0"/>
        <w:adjustRightInd w:val="0"/>
        <w:jc w:val="both"/>
        <w:rPr>
          <w:lang w:val="sr-Cyrl-CS"/>
        </w:rPr>
      </w:pPr>
    </w:p>
    <w:p w:rsidR="002A3723" w:rsidRPr="00B71FCF" w:rsidRDefault="002A3723" w:rsidP="002A3723">
      <w:pPr>
        <w:autoSpaceDE w:val="0"/>
        <w:autoSpaceDN w:val="0"/>
        <w:adjustRightInd w:val="0"/>
        <w:jc w:val="both"/>
        <w:rPr>
          <w:lang w:val="sr-Cyrl-CS"/>
        </w:rPr>
      </w:pPr>
      <w:r w:rsidRPr="00B71FCF">
        <w:rPr>
          <w:lang w:val="sr-Cyrl-CS"/>
        </w:rPr>
        <w:t>Стручна комисија резултате бодовања као писани извештај доставља Комисији за спровођење поступка јавне набавке.</w:t>
      </w:r>
    </w:p>
    <w:p w:rsidR="002A3723" w:rsidRPr="00B71FCF" w:rsidRDefault="002A3723" w:rsidP="002A3723">
      <w:pPr>
        <w:autoSpaceDE w:val="0"/>
        <w:autoSpaceDN w:val="0"/>
        <w:adjustRightInd w:val="0"/>
        <w:jc w:val="both"/>
        <w:rPr>
          <w:lang w:val="sr-Cyrl-CS"/>
        </w:rPr>
      </w:pPr>
    </w:p>
    <w:p w:rsidR="002A3723" w:rsidRPr="00B71FCF" w:rsidRDefault="002A3723" w:rsidP="002A3723">
      <w:pPr>
        <w:autoSpaceDE w:val="0"/>
        <w:autoSpaceDN w:val="0"/>
        <w:adjustRightInd w:val="0"/>
        <w:jc w:val="both"/>
        <w:rPr>
          <w:lang w:val="sr-Cyrl-CS"/>
        </w:rPr>
      </w:pPr>
      <w:r w:rsidRPr="00B71FCF">
        <w:rPr>
          <w:lang w:val="sr-Cyrl-CS"/>
        </w:rPr>
        <w:t>Комисија за спровођење поступка јавне набавке одређује број освојених пондера у зависности од збира бодова добијеног у Извештају Стручне комисије, тако да се за укупан број бодова сваком сценарију одређују пондери према следећој табели:</w:t>
      </w:r>
    </w:p>
    <w:p w:rsidR="002A3723" w:rsidRPr="00B71FCF" w:rsidRDefault="002A3723" w:rsidP="002A3723">
      <w:pPr>
        <w:autoSpaceDE w:val="0"/>
        <w:autoSpaceDN w:val="0"/>
        <w:adjustRightInd w:val="0"/>
        <w:jc w:val="both"/>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77"/>
      </w:tblGrid>
      <w:tr w:rsidR="002A3723" w:rsidRPr="00B71FCF" w:rsidTr="00EF1E7E">
        <w:tc>
          <w:tcPr>
            <w:tcW w:w="4395" w:type="dxa"/>
          </w:tcPr>
          <w:p w:rsidR="002A3723" w:rsidRPr="00B71FCF" w:rsidRDefault="002A3723" w:rsidP="002A3723">
            <w:pPr>
              <w:autoSpaceDE w:val="0"/>
              <w:autoSpaceDN w:val="0"/>
              <w:adjustRightInd w:val="0"/>
              <w:jc w:val="center"/>
              <w:rPr>
                <w:lang w:val="sr-Cyrl-CS"/>
              </w:rPr>
            </w:pPr>
            <w:r w:rsidRPr="00B71FCF">
              <w:rPr>
                <w:lang w:val="sr-Cyrl-CS"/>
              </w:rPr>
              <w:t>Бодови</w:t>
            </w:r>
          </w:p>
        </w:tc>
        <w:tc>
          <w:tcPr>
            <w:tcW w:w="4677" w:type="dxa"/>
          </w:tcPr>
          <w:p w:rsidR="002A3723" w:rsidRPr="00B71FCF" w:rsidRDefault="002A3723" w:rsidP="002A3723">
            <w:pPr>
              <w:autoSpaceDE w:val="0"/>
              <w:autoSpaceDN w:val="0"/>
              <w:adjustRightInd w:val="0"/>
              <w:jc w:val="center"/>
              <w:rPr>
                <w:lang w:val="sr-Cyrl-CS"/>
              </w:rPr>
            </w:pPr>
            <w:r w:rsidRPr="00B71FCF">
              <w:rPr>
                <w:lang w:val="sr-Cyrl-CS"/>
              </w:rPr>
              <w:t>Пондери</w:t>
            </w:r>
          </w:p>
        </w:tc>
      </w:tr>
      <w:tr w:rsidR="002A3723" w:rsidRPr="00B71FCF" w:rsidTr="00EF1E7E">
        <w:tc>
          <w:tcPr>
            <w:tcW w:w="4395" w:type="dxa"/>
          </w:tcPr>
          <w:p w:rsidR="002A3723" w:rsidRPr="00B71FCF" w:rsidRDefault="002A3723" w:rsidP="002A3723">
            <w:pPr>
              <w:autoSpaceDE w:val="0"/>
              <w:autoSpaceDN w:val="0"/>
              <w:adjustRightInd w:val="0"/>
              <w:jc w:val="center"/>
              <w:rPr>
                <w:lang w:val="sr-Cyrl-CS"/>
              </w:rPr>
            </w:pPr>
            <w:r w:rsidRPr="00B71FCF">
              <w:rPr>
                <w:lang w:val="sr-Cyrl-CS"/>
              </w:rPr>
              <w:t>30 - 24</w:t>
            </w:r>
          </w:p>
        </w:tc>
        <w:tc>
          <w:tcPr>
            <w:tcW w:w="4677" w:type="dxa"/>
          </w:tcPr>
          <w:p w:rsidR="002A3723" w:rsidRPr="00B71FCF" w:rsidRDefault="002A3723" w:rsidP="002A3723">
            <w:pPr>
              <w:autoSpaceDE w:val="0"/>
              <w:autoSpaceDN w:val="0"/>
              <w:adjustRightInd w:val="0"/>
              <w:jc w:val="center"/>
              <w:rPr>
                <w:lang w:val="sr-Cyrl-CS"/>
              </w:rPr>
            </w:pPr>
            <w:r w:rsidRPr="00B71FCF">
              <w:rPr>
                <w:lang w:val="sr-Cyrl-CS"/>
              </w:rPr>
              <w:t>40</w:t>
            </w:r>
          </w:p>
        </w:tc>
      </w:tr>
      <w:tr w:rsidR="002A3723" w:rsidRPr="00B71FCF" w:rsidTr="00EF1E7E">
        <w:tc>
          <w:tcPr>
            <w:tcW w:w="4395" w:type="dxa"/>
          </w:tcPr>
          <w:p w:rsidR="002A3723" w:rsidRPr="00B71FCF" w:rsidRDefault="002A3723" w:rsidP="002A3723">
            <w:pPr>
              <w:autoSpaceDE w:val="0"/>
              <w:autoSpaceDN w:val="0"/>
              <w:adjustRightInd w:val="0"/>
              <w:jc w:val="center"/>
              <w:rPr>
                <w:lang w:val="sr-Cyrl-CS"/>
              </w:rPr>
            </w:pPr>
            <w:r w:rsidRPr="00B71FCF">
              <w:rPr>
                <w:lang w:val="sr-Cyrl-CS"/>
              </w:rPr>
              <w:t>23 - 17</w:t>
            </w:r>
          </w:p>
        </w:tc>
        <w:tc>
          <w:tcPr>
            <w:tcW w:w="4677" w:type="dxa"/>
          </w:tcPr>
          <w:p w:rsidR="002A3723" w:rsidRPr="00B71FCF" w:rsidRDefault="002A3723" w:rsidP="002A3723">
            <w:pPr>
              <w:autoSpaceDE w:val="0"/>
              <w:autoSpaceDN w:val="0"/>
              <w:adjustRightInd w:val="0"/>
              <w:jc w:val="center"/>
              <w:rPr>
                <w:lang w:val="sr-Cyrl-CS"/>
              </w:rPr>
            </w:pPr>
            <w:r w:rsidRPr="00B71FCF">
              <w:rPr>
                <w:lang w:val="sr-Cyrl-CS"/>
              </w:rPr>
              <w:t>30</w:t>
            </w:r>
          </w:p>
        </w:tc>
      </w:tr>
      <w:tr w:rsidR="002A3723" w:rsidRPr="00B71FCF" w:rsidTr="00EF1E7E">
        <w:tc>
          <w:tcPr>
            <w:tcW w:w="4395" w:type="dxa"/>
          </w:tcPr>
          <w:p w:rsidR="002A3723" w:rsidRPr="00B71FCF" w:rsidRDefault="002A3723" w:rsidP="002A3723">
            <w:pPr>
              <w:autoSpaceDE w:val="0"/>
              <w:autoSpaceDN w:val="0"/>
              <w:adjustRightInd w:val="0"/>
              <w:jc w:val="center"/>
              <w:rPr>
                <w:lang w:val="sr-Cyrl-CS"/>
              </w:rPr>
            </w:pPr>
            <w:r w:rsidRPr="00B71FCF">
              <w:rPr>
                <w:lang w:val="sr-Cyrl-CS"/>
              </w:rPr>
              <w:t>16 - 10</w:t>
            </w:r>
          </w:p>
        </w:tc>
        <w:tc>
          <w:tcPr>
            <w:tcW w:w="4677" w:type="dxa"/>
          </w:tcPr>
          <w:p w:rsidR="002A3723" w:rsidRPr="00B71FCF" w:rsidRDefault="002A3723" w:rsidP="002A3723">
            <w:pPr>
              <w:autoSpaceDE w:val="0"/>
              <w:autoSpaceDN w:val="0"/>
              <w:adjustRightInd w:val="0"/>
              <w:jc w:val="center"/>
              <w:rPr>
                <w:lang w:val="sr-Cyrl-CS"/>
              </w:rPr>
            </w:pPr>
            <w:r w:rsidRPr="00B71FCF">
              <w:rPr>
                <w:lang w:val="sr-Cyrl-CS"/>
              </w:rPr>
              <w:t>20</w:t>
            </w:r>
          </w:p>
        </w:tc>
      </w:tr>
      <w:tr w:rsidR="002A3723" w:rsidRPr="00B71FCF" w:rsidTr="00EF1E7E">
        <w:tc>
          <w:tcPr>
            <w:tcW w:w="4395" w:type="dxa"/>
          </w:tcPr>
          <w:p w:rsidR="002A3723" w:rsidRPr="00B71FCF" w:rsidRDefault="002A3723" w:rsidP="002A3723">
            <w:pPr>
              <w:autoSpaceDE w:val="0"/>
              <w:autoSpaceDN w:val="0"/>
              <w:adjustRightInd w:val="0"/>
              <w:jc w:val="center"/>
              <w:rPr>
                <w:lang w:val="sr-Cyrl-CS"/>
              </w:rPr>
            </w:pPr>
            <w:r w:rsidRPr="00B71FCF">
              <w:rPr>
                <w:lang w:val="sr-Cyrl-CS"/>
              </w:rPr>
              <w:t>9 - 0</w:t>
            </w:r>
          </w:p>
        </w:tc>
        <w:tc>
          <w:tcPr>
            <w:tcW w:w="4677" w:type="dxa"/>
          </w:tcPr>
          <w:p w:rsidR="002A3723" w:rsidRPr="00B71FCF" w:rsidRDefault="002A3723" w:rsidP="002A3723">
            <w:pPr>
              <w:autoSpaceDE w:val="0"/>
              <w:autoSpaceDN w:val="0"/>
              <w:adjustRightInd w:val="0"/>
              <w:jc w:val="center"/>
              <w:rPr>
                <w:lang w:val="sr-Cyrl-CS"/>
              </w:rPr>
            </w:pPr>
            <w:r w:rsidRPr="00B71FCF">
              <w:rPr>
                <w:lang w:val="sr-Cyrl-CS"/>
              </w:rPr>
              <w:t>0</w:t>
            </w:r>
          </w:p>
        </w:tc>
      </w:tr>
    </w:tbl>
    <w:p w:rsidR="002A3723" w:rsidRPr="00B71FCF" w:rsidRDefault="002A3723" w:rsidP="002A3723">
      <w:pPr>
        <w:autoSpaceDE w:val="0"/>
        <w:autoSpaceDN w:val="0"/>
        <w:adjustRightInd w:val="0"/>
        <w:jc w:val="both"/>
        <w:rPr>
          <w:lang w:val="sr-Cyrl-CS"/>
        </w:rPr>
      </w:pPr>
    </w:p>
    <w:p w:rsidR="002A3723" w:rsidRPr="00B71FCF" w:rsidRDefault="002A3723" w:rsidP="002A3723">
      <w:pPr>
        <w:autoSpaceDE w:val="0"/>
        <w:autoSpaceDN w:val="0"/>
        <w:adjustRightInd w:val="0"/>
        <w:jc w:val="both"/>
        <w:rPr>
          <w:lang w:val="sr-Cyrl-CS"/>
        </w:rPr>
      </w:pPr>
    </w:p>
    <w:p w:rsidR="002A3723" w:rsidRPr="002A3723" w:rsidRDefault="002A3723" w:rsidP="002A3723">
      <w:pPr>
        <w:autoSpaceDE w:val="0"/>
        <w:autoSpaceDN w:val="0"/>
        <w:adjustRightInd w:val="0"/>
        <w:jc w:val="both"/>
        <w:rPr>
          <w:b/>
          <w:bCs/>
          <w:lang w:val="sr-Cyrl-CS"/>
        </w:rPr>
      </w:pPr>
      <w:r w:rsidRPr="00B71FCF">
        <w:rPr>
          <w:b/>
          <w:bCs/>
          <w:lang w:val="sr-Cyrl-CS"/>
        </w:rPr>
        <w:t>Збиром пондера додељених по сва три подкритеријума (а+б+в) добиће се укупан број пондера и тиме утврдити економски најповољнија понуда.</w:t>
      </w:r>
    </w:p>
    <w:p w:rsidR="002A3723" w:rsidRPr="002A3723" w:rsidRDefault="002A3723" w:rsidP="002A3723">
      <w:pPr>
        <w:suppressAutoHyphens/>
        <w:spacing w:line="100" w:lineRule="atLeast"/>
        <w:jc w:val="both"/>
        <w:rPr>
          <w:rFonts w:eastAsia="Arial Unicode MS"/>
          <w:b/>
          <w:kern w:val="1"/>
          <w:lang w:val="sr-Cyrl-RS" w:eastAsia="ar-SA"/>
        </w:rPr>
      </w:pPr>
    </w:p>
    <w:p w:rsidR="002A3723" w:rsidRPr="002A3723" w:rsidRDefault="002A3723" w:rsidP="002A3723">
      <w:pPr>
        <w:suppressAutoHyphens/>
        <w:spacing w:line="100" w:lineRule="atLeast"/>
        <w:jc w:val="both"/>
        <w:rPr>
          <w:rFonts w:eastAsia="Arial Unicode MS"/>
          <w:b/>
          <w:bCs/>
          <w:kern w:val="1"/>
          <w:lang w:val="sr-Cyrl-CS" w:eastAsia="ar-SA"/>
        </w:rPr>
      </w:pPr>
      <w:r w:rsidRPr="002A3723">
        <w:rPr>
          <w:b/>
          <w:lang w:val="sr-Cyrl-RS"/>
        </w:rPr>
        <w:t>Ако након овако утврђеног броја пондера две или више понуда имају исти број пондера</w:t>
      </w:r>
      <w:r w:rsidRPr="002A3723">
        <w:rPr>
          <w:rFonts w:eastAsia="Arial Unicode MS"/>
          <w:b/>
          <w:bCs/>
          <w:kern w:val="1"/>
          <w:lang w:val="sr-Cyrl-CS" w:eastAsia="ar-SA"/>
        </w:rPr>
        <w:t xml:space="preserve">, економски најповољнијом  понудом ће се сматрати </w:t>
      </w:r>
      <w:r w:rsidRPr="002A3723">
        <w:rPr>
          <w:rFonts w:eastAsia="Arial Unicode MS"/>
          <w:b/>
          <w:bCs/>
          <w:kern w:val="1"/>
          <w:lang w:eastAsia="ar-SA"/>
        </w:rPr>
        <w:t xml:space="preserve"> </w:t>
      </w:r>
      <w:r w:rsidRPr="002A3723">
        <w:rPr>
          <w:rFonts w:eastAsia="Arial Unicode MS"/>
          <w:b/>
          <w:bCs/>
          <w:kern w:val="1"/>
          <w:lang w:val="sr-Cyrl-CS" w:eastAsia="ar-SA"/>
        </w:rPr>
        <w:t>понуда са најнижом ценом.</w:t>
      </w:r>
    </w:p>
    <w:p w:rsidR="0037673B" w:rsidRDefault="0037673B">
      <w:pPr>
        <w:shd w:val="clear" w:color="auto" w:fill="FFFFFF"/>
        <w:spacing w:before="100" w:beforeAutospacing="1" w:after="168" w:line="270" w:lineRule="atLeast"/>
        <w:jc w:val="both"/>
      </w:pPr>
      <w:r>
        <w:rPr>
          <w:b/>
          <w:lang w:val="sr-Cyrl-CS"/>
        </w:rPr>
        <w:t>Начин преузимања конкурсне документације, односно интернет адреса где је конкурсна документација доступна</w:t>
      </w:r>
      <w:r>
        <w:rPr>
          <w:lang w:val="sr-Cyrl-CS"/>
        </w:rPr>
        <w:t xml:space="preserve">: </w:t>
      </w:r>
      <w:r>
        <w:rPr>
          <w:lang w:val="ru-RU"/>
        </w:rPr>
        <w:t>Конкурсну документацију заинтересована лица могу преузети ли</w:t>
      </w:r>
      <w:r w:rsidR="002A3723">
        <w:rPr>
          <w:lang w:val="ru-RU"/>
        </w:rPr>
        <w:t>чно код наручиоца, у Београду, у</w:t>
      </w:r>
      <w:r>
        <w:rPr>
          <w:lang w:val="ru-RU"/>
        </w:rPr>
        <w:t xml:space="preserve">лица </w:t>
      </w:r>
      <w:r w:rsidR="002A3723">
        <w:rPr>
          <w:lang w:val="sr-Cyrl-CS"/>
        </w:rPr>
        <w:t>Немањина 22-26</w:t>
      </w:r>
      <w:r>
        <w:rPr>
          <w:lang w:val="ru-RU"/>
        </w:rPr>
        <w:t xml:space="preserve">, </w:t>
      </w:r>
      <w:r>
        <w:t>III</w:t>
      </w:r>
      <w:r w:rsidR="002A3723">
        <w:rPr>
          <w:lang w:val="ru-RU"/>
        </w:rPr>
        <w:t xml:space="preserve"> спрат, крило Ц, канцеларија број 4а</w:t>
      </w:r>
      <w:r>
        <w:rPr>
          <w:lang w:val="ru-RU"/>
        </w:rPr>
        <w:t>, или се иста може преузети са интернет странице наручиоца:</w:t>
      </w:r>
      <w:r w:rsidR="008F7813">
        <w:rPr>
          <w:lang w:val="sr-Latn-CS"/>
        </w:rPr>
        <w:t xml:space="preserve"> </w:t>
      </w:r>
      <w:r w:rsidRPr="008F7813">
        <w:rPr>
          <w:color w:val="0070C0"/>
          <w:u w:val="single"/>
        </w:rPr>
        <w:t>www</w:t>
      </w:r>
      <w:r w:rsidRPr="008F7813">
        <w:rPr>
          <w:color w:val="0070C0"/>
          <w:u w:val="single"/>
          <w:lang w:val="ru-RU"/>
        </w:rPr>
        <w:t>.</w:t>
      </w:r>
      <w:r w:rsidRPr="008F7813">
        <w:rPr>
          <w:color w:val="0070C0"/>
          <w:u w:val="single"/>
          <w:lang w:val="sr-Latn-CS"/>
        </w:rPr>
        <w:t>minrzs.gov.rs</w:t>
      </w:r>
      <w:r w:rsidRPr="008F7813">
        <w:rPr>
          <w:color w:val="0070C0"/>
          <w:lang w:val="ru-RU"/>
        </w:rPr>
        <w:t xml:space="preserve">, </w:t>
      </w:r>
      <w:r>
        <w:rPr>
          <w:lang w:val="ru-RU"/>
        </w:rPr>
        <w:t>односно са Портала јавних</w:t>
      </w:r>
      <w:r>
        <w:t xml:space="preserve">  </w:t>
      </w:r>
      <w:r>
        <w:rPr>
          <w:lang w:val="ru-RU"/>
        </w:rPr>
        <w:t>набавки:</w:t>
      </w:r>
      <w:r>
        <w:t> </w:t>
      </w:r>
      <w:r>
        <w:rPr>
          <w:lang w:val="sr-Cyrl-CS"/>
        </w:rPr>
        <w:t xml:space="preserve"> </w:t>
      </w:r>
      <w:hyperlink r:id="rId6" w:history="1">
        <w:r w:rsidRPr="008F7813">
          <w:rPr>
            <w:rStyle w:val="Hyperlink"/>
            <w:color w:val="0070C0"/>
          </w:rPr>
          <w:t>www.ujn.gov.rs</w:t>
        </w:r>
      </w:hyperlink>
      <w:r w:rsidRPr="008F7813">
        <w:rPr>
          <w:color w:val="0070C0"/>
        </w:rPr>
        <w:t xml:space="preserve"> </w:t>
      </w:r>
      <w:r>
        <w:rPr>
          <w:lang w:val="sr-Cyrl-CS"/>
        </w:rPr>
        <w:t>Конкурсна документација се налази у прилогу Позива за достављане понуда.</w:t>
      </w:r>
    </w:p>
    <w:p w:rsidR="0037673B" w:rsidRDefault="0037673B">
      <w:pPr>
        <w:pStyle w:val="BodyText"/>
      </w:pPr>
      <w:r>
        <w:t>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уловима рада и сл:</w:t>
      </w:r>
    </w:p>
    <w:p w:rsidR="0037673B" w:rsidRDefault="0037673B">
      <w:pPr>
        <w:pStyle w:val="BodyText"/>
        <w:rPr>
          <w:b w:val="0"/>
          <w:lang w:val="en-US"/>
        </w:rPr>
      </w:pPr>
      <w:r>
        <w:rPr>
          <w:b w:val="0"/>
        </w:rPr>
        <w:t>Министарство финансија</w:t>
      </w:r>
      <w:r>
        <w:rPr>
          <w:b w:val="0"/>
          <w:lang w:val="en-US"/>
        </w:rPr>
        <w:t xml:space="preserve"> </w:t>
      </w:r>
      <w:hyperlink r:id="rId7" w:history="1">
        <w:r w:rsidRPr="008F7813">
          <w:rPr>
            <w:rStyle w:val="Hyperlink"/>
            <w:b w:val="0"/>
            <w:color w:val="0070C0"/>
            <w:lang w:val="en-US"/>
          </w:rPr>
          <w:t>www.mfin.gov.rs</w:t>
        </w:r>
      </w:hyperlink>
    </w:p>
    <w:p w:rsidR="0037673B" w:rsidRDefault="0037673B">
      <w:pPr>
        <w:pStyle w:val="BodyText"/>
        <w:rPr>
          <w:b w:val="0"/>
          <w:lang w:val="en-US"/>
        </w:rPr>
      </w:pPr>
      <w:r>
        <w:rPr>
          <w:b w:val="0"/>
        </w:rPr>
        <w:t>Министарство пољопривреде и заштите животне средине</w:t>
      </w:r>
      <w:r>
        <w:rPr>
          <w:b w:val="0"/>
          <w:lang w:val="en-US"/>
        </w:rPr>
        <w:t xml:space="preserve"> www.mpzzs.gov.rs</w:t>
      </w:r>
    </w:p>
    <w:p w:rsidR="0037673B" w:rsidRDefault="0037673B">
      <w:pPr>
        <w:pStyle w:val="BodyText"/>
        <w:rPr>
          <w:b w:val="0"/>
          <w:lang w:val="en-US"/>
        </w:rPr>
      </w:pPr>
      <w:r>
        <w:rPr>
          <w:b w:val="0"/>
        </w:rPr>
        <w:t>Агенција за заштиту животне средине</w:t>
      </w:r>
      <w:r>
        <w:rPr>
          <w:b w:val="0"/>
          <w:lang w:val="en-US"/>
        </w:rPr>
        <w:t xml:space="preserve"> </w:t>
      </w:r>
      <w:hyperlink r:id="rId8" w:history="1">
        <w:r w:rsidRPr="008F7813">
          <w:rPr>
            <w:rStyle w:val="Hyperlink"/>
            <w:b w:val="0"/>
            <w:color w:val="0070C0"/>
            <w:lang w:val="en-US"/>
          </w:rPr>
          <w:t>www.sepa.gov.rs</w:t>
        </w:r>
      </w:hyperlink>
    </w:p>
    <w:p w:rsidR="0037673B" w:rsidRDefault="0037673B">
      <w:pPr>
        <w:pStyle w:val="BodyText"/>
        <w:rPr>
          <w:b w:val="0"/>
          <w:lang w:val="en-US"/>
        </w:rPr>
      </w:pPr>
      <w:r>
        <w:rPr>
          <w:b w:val="0"/>
        </w:rPr>
        <w:t xml:space="preserve">Министарство за рад, запошљавање, борачка и социјална питања </w:t>
      </w:r>
      <w:hyperlink r:id="rId9" w:history="1">
        <w:r w:rsidRPr="008F7813">
          <w:rPr>
            <w:rStyle w:val="Hyperlink"/>
            <w:b w:val="0"/>
            <w:color w:val="0070C0"/>
          </w:rPr>
          <w:t>www.minrzs.gov.rs</w:t>
        </w:r>
      </w:hyperlink>
    </w:p>
    <w:p w:rsidR="0037673B" w:rsidRPr="00206EFC" w:rsidRDefault="0037673B">
      <w:pPr>
        <w:jc w:val="both"/>
        <w:rPr>
          <w:b/>
          <w:bCs/>
          <w:color w:val="FF0000"/>
          <w:lang w:val="sr-Cyrl-CS"/>
        </w:rPr>
      </w:pPr>
    </w:p>
    <w:p w:rsidR="0037673B" w:rsidRPr="00206EFC" w:rsidRDefault="0037673B">
      <w:pPr>
        <w:jc w:val="both"/>
        <w:rPr>
          <w:color w:val="FF0000"/>
          <w:lang w:val="sr-Cyrl-CS"/>
        </w:rPr>
      </w:pPr>
      <w:proofErr w:type="spellStart"/>
      <w:r w:rsidRPr="00B72227">
        <w:rPr>
          <w:b/>
          <w:bCs/>
        </w:rPr>
        <w:t>Начин</w:t>
      </w:r>
      <w:proofErr w:type="spellEnd"/>
      <w:r w:rsidRPr="00B72227">
        <w:rPr>
          <w:b/>
          <w:bCs/>
        </w:rPr>
        <w:t xml:space="preserve"> </w:t>
      </w:r>
      <w:proofErr w:type="spellStart"/>
      <w:r w:rsidRPr="00B72227">
        <w:rPr>
          <w:b/>
          <w:bCs/>
        </w:rPr>
        <w:t>подношења</w:t>
      </w:r>
      <w:proofErr w:type="spellEnd"/>
      <w:r w:rsidRPr="00B72227">
        <w:rPr>
          <w:b/>
          <w:bCs/>
        </w:rPr>
        <w:t xml:space="preserve"> </w:t>
      </w:r>
      <w:proofErr w:type="spellStart"/>
      <w:r w:rsidRPr="00B72227">
        <w:rPr>
          <w:b/>
          <w:bCs/>
        </w:rPr>
        <w:t>понуде</w:t>
      </w:r>
      <w:proofErr w:type="spellEnd"/>
      <w:r w:rsidRPr="00B72227">
        <w:rPr>
          <w:b/>
          <w:bCs/>
        </w:rPr>
        <w:t xml:space="preserve"> и </w:t>
      </w:r>
      <w:proofErr w:type="spellStart"/>
      <w:r w:rsidRPr="00B72227">
        <w:rPr>
          <w:b/>
          <w:bCs/>
        </w:rPr>
        <w:t>рок</w:t>
      </w:r>
      <w:proofErr w:type="spellEnd"/>
      <w:r w:rsidRPr="00B72227">
        <w:rPr>
          <w:b/>
          <w:bCs/>
        </w:rPr>
        <w:t xml:space="preserve"> </w:t>
      </w:r>
      <w:proofErr w:type="spellStart"/>
      <w:r w:rsidRPr="00B72227">
        <w:rPr>
          <w:b/>
          <w:bCs/>
        </w:rPr>
        <w:t>за</w:t>
      </w:r>
      <w:proofErr w:type="spellEnd"/>
      <w:r w:rsidRPr="00B72227">
        <w:rPr>
          <w:b/>
          <w:bCs/>
        </w:rPr>
        <w:t xml:space="preserve"> </w:t>
      </w:r>
      <w:proofErr w:type="spellStart"/>
      <w:r w:rsidRPr="00B72227">
        <w:rPr>
          <w:b/>
          <w:bCs/>
        </w:rPr>
        <w:t>подношење</w:t>
      </w:r>
      <w:proofErr w:type="spellEnd"/>
      <w:r w:rsidRPr="00B72227">
        <w:rPr>
          <w:b/>
          <w:bCs/>
        </w:rPr>
        <w:t xml:space="preserve"> </w:t>
      </w:r>
      <w:proofErr w:type="spellStart"/>
      <w:r w:rsidRPr="00B72227">
        <w:rPr>
          <w:b/>
          <w:bCs/>
        </w:rPr>
        <w:t>понуде</w:t>
      </w:r>
      <w:proofErr w:type="spellEnd"/>
      <w:r w:rsidRPr="00B72227">
        <w:t xml:space="preserve">: </w:t>
      </w:r>
      <w:proofErr w:type="spellStart"/>
      <w:r w:rsidRPr="00B72227">
        <w:t>Понуда</w:t>
      </w:r>
      <w:proofErr w:type="spellEnd"/>
      <w:r w:rsidRPr="00B72227">
        <w:t xml:space="preserve"> </w:t>
      </w:r>
      <w:proofErr w:type="spellStart"/>
      <w:r w:rsidRPr="00B72227">
        <w:t>се</w:t>
      </w:r>
      <w:proofErr w:type="spellEnd"/>
      <w:r w:rsidRPr="00B72227">
        <w:t xml:space="preserve"> </w:t>
      </w:r>
      <w:proofErr w:type="spellStart"/>
      <w:r w:rsidRPr="00B72227">
        <w:t>доставља</w:t>
      </w:r>
      <w:proofErr w:type="spellEnd"/>
      <w:r w:rsidRPr="00B72227">
        <w:t xml:space="preserve"> </w:t>
      </w:r>
      <w:proofErr w:type="spellStart"/>
      <w:r w:rsidRPr="00B72227">
        <w:t>на</w:t>
      </w:r>
      <w:proofErr w:type="spellEnd"/>
      <w:r w:rsidRPr="00B72227">
        <w:t xml:space="preserve"> </w:t>
      </w:r>
      <w:proofErr w:type="spellStart"/>
      <w:r w:rsidRPr="00B72227">
        <w:t>адресу</w:t>
      </w:r>
      <w:proofErr w:type="spellEnd"/>
      <w:r w:rsidRPr="00B72227">
        <w:t xml:space="preserve"> </w:t>
      </w:r>
      <w:r w:rsidRPr="00B72227">
        <w:rPr>
          <w:bCs/>
          <w:lang w:val="ru-RU"/>
        </w:rPr>
        <w:t xml:space="preserve">Министарство </w:t>
      </w:r>
      <w:r w:rsidRPr="00B72227">
        <w:rPr>
          <w:bCs/>
          <w:lang w:val="sr-Cyrl-CS"/>
        </w:rPr>
        <w:t xml:space="preserve">за </w:t>
      </w:r>
      <w:r w:rsidRPr="00B72227">
        <w:rPr>
          <w:bCs/>
          <w:lang w:val="ru-RU"/>
        </w:rPr>
        <w:t xml:space="preserve">рад, запошљавање, борачка и социјална питања, Београд, </w:t>
      </w:r>
      <w:r w:rsidR="002A3723" w:rsidRPr="00B72227">
        <w:rPr>
          <w:bCs/>
          <w:lang w:val="ru-RU"/>
        </w:rPr>
        <w:t>Немањина 22-26</w:t>
      </w:r>
      <w:r w:rsidRPr="00B72227">
        <w:rPr>
          <w:i/>
          <w:iCs/>
          <w:lang w:val="ru-RU"/>
        </w:rPr>
        <w:t xml:space="preserve">, </w:t>
      </w:r>
      <w:r w:rsidRPr="00B72227">
        <w:rPr>
          <w:bCs/>
          <w:lang w:val="ru-RU"/>
        </w:rPr>
        <w:t>са назнаком</w:t>
      </w:r>
      <w:proofErr w:type="gramStart"/>
      <w:r w:rsidRPr="00B72227">
        <w:rPr>
          <w:bCs/>
          <w:lang w:val="ru-RU"/>
        </w:rPr>
        <w:t xml:space="preserve">: </w:t>
      </w:r>
      <w:r w:rsidRPr="00B72227">
        <w:rPr>
          <w:b/>
          <w:bCs/>
          <w:lang w:val="ru-RU"/>
        </w:rPr>
        <w:t>,,</w:t>
      </w:r>
      <w:proofErr w:type="gramEnd"/>
      <w:r w:rsidRPr="00B72227">
        <w:rPr>
          <w:b/>
          <w:bCs/>
          <w:lang w:val="ru-RU"/>
        </w:rPr>
        <w:t>Понуда за јавну набавку</w:t>
      </w:r>
      <w:r w:rsidRPr="00B72227">
        <w:rPr>
          <w:lang w:val="ru-RU"/>
        </w:rPr>
        <w:t xml:space="preserve"> </w:t>
      </w:r>
      <w:r w:rsidRPr="00B72227">
        <w:rPr>
          <w:lang w:val="sr-Cyrl-CS"/>
        </w:rPr>
        <w:t>Услуге организовање и реализација свечаности поводом обележавања значајних историјских догађаја из ослободилачких ратова Србије у 201</w:t>
      </w:r>
      <w:r w:rsidR="002A3723" w:rsidRPr="00B72227">
        <w:rPr>
          <w:lang w:val="sr-Latn-RS"/>
        </w:rPr>
        <w:t>8</w:t>
      </w:r>
      <w:r w:rsidRPr="00B72227">
        <w:rPr>
          <w:lang w:val="sr-Cyrl-CS"/>
        </w:rPr>
        <w:t>. години</w:t>
      </w:r>
      <w:r w:rsidRPr="00B72227">
        <w:rPr>
          <w:bCs/>
          <w:lang w:val="ru-RU"/>
        </w:rPr>
        <w:t xml:space="preserve"> </w:t>
      </w:r>
      <w:r w:rsidRPr="00B72227">
        <w:rPr>
          <w:lang w:val="sr-Cyrl-CS"/>
        </w:rPr>
        <w:t xml:space="preserve">(ознака партије) – </w:t>
      </w:r>
      <w:r w:rsidRPr="00B72227">
        <w:rPr>
          <w:b/>
          <w:bCs/>
          <w:lang w:val="ru-RU"/>
        </w:rPr>
        <w:t xml:space="preserve">ЈН бр. </w:t>
      </w:r>
      <w:r w:rsidR="00206EFC" w:rsidRPr="00B72227">
        <w:rPr>
          <w:b/>
          <w:bCs/>
          <w:lang w:val="sr-Cyrl-RS"/>
        </w:rPr>
        <w:t>2</w:t>
      </w:r>
      <w:r w:rsidR="002A3723" w:rsidRPr="00B72227">
        <w:rPr>
          <w:b/>
          <w:bCs/>
          <w:lang w:val="ru-RU"/>
        </w:rPr>
        <w:t>/2018</w:t>
      </w:r>
      <w:r w:rsidRPr="00B72227">
        <w:rPr>
          <w:b/>
          <w:bCs/>
          <w:lang w:val="ru-RU"/>
        </w:rPr>
        <w:t xml:space="preserve"> - НЕ ОТВАРАТИ”</w:t>
      </w:r>
      <w:r w:rsidRPr="00B72227">
        <w:rPr>
          <w:b/>
          <w:bCs/>
          <w:lang w:val="sr-Cyrl-CS"/>
        </w:rPr>
        <w:t>,</w:t>
      </w:r>
      <w:r w:rsidRPr="00206EFC">
        <w:rPr>
          <w:b/>
          <w:bCs/>
          <w:color w:val="FF0000"/>
          <w:lang w:val="sr-Cyrl-CS"/>
        </w:rPr>
        <w:t xml:space="preserve">  </w:t>
      </w:r>
      <w:r w:rsidRPr="00380769">
        <w:rPr>
          <w:lang w:val="sr-Cyrl-CS"/>
        </w:rPr>
        <w:t>до</w:t>
      </w:r>
      <w:r w:rsidR="003C1E48" w:rsidRPr="00380769">
        <w:rPr>
          <w:lang w:val="sr-Latn-RS"/>
        </w:rPr>
        <w:t xml:space="preserve"> </w:t>
      </w:r>
      <w:r w:rsidR="00380769" w:rsidRPr="00380769">
        <w:rPr>
          <w:b/>
          <w:lang w:val="sr-Latn-RS"/>
        </w:rPr>
        <w:t>16</w:t>
      </w:r>
      <w:r w:rsidRPr="00380769">
        <w:rPr>
          <w:b/>
          <w:bCs/>
          <w:lang w:val="sr-Cyrl-CS"/>
        </w:rPr>
        <w:t xml:space="preserve">. </w:t>
      </w:r>
      <w:r w:rsidR="006A4E9A">
        <w:rPr>
          <w:b/>
          <w:bCs/>
          <w:lang w:val="sr-Cyrl-CS"/>
        </w:rPr>
        <w:t>марта</w:t>
      </w:r>
      <w:r w:rsidR="002A3723" w:rsidRPr="00380769">
        <w:rPr>
          <w:b/>
          <w:bCs/>
          <w:lang w:val="sr-Cyrl-CS"/>
        </w:rPr>
        <w:t xml:space="preserve"> 2018</w:t>
      </w:r>
      <w:r w:rsidRPr="00380769">
        <w:rPr>
          <w:b/>
          <w:bCs/>
          <w:lang w:val="sr-Cyrl-CS"/>
        </w:rPr>
        <w:t>.</w:t>
      </w:r>
      <w:r w:rsidR="007A394C">
        <w:rPr>
          <w:b/>
          <w:bCs/>
          <w:lang w:val="sr-Latn-CS"/>
        </w:rPr>
        <w:t xml:space="preserve"> </w:t>
      </w:r>
      <w:bookmarkStart w:id="0" w:name="_GoBack"/>
      <w:bookmarkEnd w:id="0"/>
      <w:r w:rsidRPr="00380769">
        <w:rPr>
          <w:b/>
          <w:bCs/>
          <w:lang w:val="sr-Cyrl-CS"/>
        </w:rPr>
        <w:t xml:space="preserve">године, до </w:t>
      </w:r>
      <w:r w:rsidR="00380769" w:rsidRPr="00380769">
        <w:rPr>
          <w:b/>
          <w:bCs/>
          <w:lang w:val="sr-Cyrl-CS"/>
        </w:rPr>
        <w:t>1</w:t>
      </w:r>
      <w:r w:rsidR="00020EAB">
        <w:rPr>
          <w:b/>
          <w:bCs/>
          <w:lang w:val="sr-Latn-CS"/>
        </w:rPr>
        <w:t>2</w:t>
      </w:r>
      <w:r w:rsidR="00AA0FC2">
        <w:rPr>
          <w:b/>
          <w:bCs/>
          <w:lang w:val="sr-Cyrl-CS"/>
        </w:rPr>
        <w:t>,</w:t>
      </w:r>
      <w:r w:rsidR="00AA0FC2">
        <w:rPr>
          <w:b/>
          <w:bCs/>
          <w:lang w:val="sr-Latn-CS"/>
        </w:rPr>
        <w:t>0</w:t>
      </w:r>
      <w:r w:rsidR="006E7E6D">
        <w:rPr>
          <w:b/>
          <w:bCs/>
          <w:lang w:val="sr-Latn-CS"/>
        </w:rPr>
        <w:t>0</w:t>
      </w:r>
      <w:r w:rsidRPr="00380769">
        <w:rPr>
          <w:b/>
          <w:bCs/>
          <w:lang w:val="sr-Cyrl-CS"/>
        </w:rPr>
        <w:t xml:space="preserve"> часова.</w:t>
      </w:r>
    </w:p>
    <w:p w:rsidR="0037673B" w:rsidRPr="00206EFC" w:rsidRDefault="0037673B">
      <w:pPr>
        <w:jc w:val="both"/>
        <w:rPr>
          <w:color w:val="FF0000"/>
        </w:rPr>
      </w:pPr>
    </w:p>
    <w:p w:rsidR="0037673B" w:rsidRPr="008F7813" w:rsidRDefault="0037673B" w:rsidP="003C1E48">
      <w:pPr>
        <w:jc w:val="both"/>
        <w:rPr>
          <w:b/>
          <w:bCs/>
        </w:rPr>
      </w:pPr>
      <w:proofErr w:type="spellStart"/>
      <w:r w:rsidRPr="00AA0FC2">
        <w:rPr>
          <w:b/>
        </w:rPr>
        <w:t>Мест</w:t>
      </w:r>
      <w:r w:rsidR="00AA0FC2">
        <w:rPr>
          <w:b/>
        </w:rPr>
        <w:t>о</w:t>
      </w:r>
      <w:proofErr w:type="spellEnd"/>
      <w:r w:rsidR="00AA0FC2">
        <w:rPr>
          <w:b/>
        </w:rPr>
        <w:t xml:space="preserve">, </w:t>
      </w:r>
      <w:proofErr w:type="spellStart"/>
      <w:r w:rsidR="00AA0FC2">
        <w:rPr>
          <w:b/>
        </w:rPr>
        <w:t>време</w:t>
      </w:r>
      <w:proofErr w:type="spellEnd"/>
      <w:r w:rsidR="00AA0FC2">
        <w:rPr>
          <w:b/>
        </w:rPr>
        <w:t xml:space="preserve"> и </w:t>
      </w:r>
      <w:proofErr w:type="spellStart"/>
      <w:r w:rsidR="00AA0FC2">
        <w:rPr>
          <w:b/>
        </w:rPr>
        <w:t>начин</w:t>
      </w:r>
      <w:proofErr w:type="spellEnd"/>
      <w:r w:rsidR="00AA0FC2">
        <w:rPr>
          <w:b/>
        </w:rPr>
        <w:t xml:space="preserve"> </w:t>
      </w:r>
      <w:proofErr w:type="spellStart"/>
      <w:r w:rsidR="00AA0FC2">
        <w:rPr>
          <w:b/>
        </w:rPr>
        <w:t>отварања</w:t>
      </w:r>
      <w:proofErr w:type="spellEnd"/>
      <w:r w:rsidR="00AA0FC2">
        <w:rPr>
          <w:b/>
        </w:rPr>
        <w:t xml:space="preserve"> </w:t>
      </w:r>
      <w:proofErr w:type="spellStart"/>
      <w:r w:rsidR="00AA0FC2">
        <w:rPr>
          <w:b/>
        </w:rPr>
        <w:t>понудa</w:t>
      </w:r>
      <w:proofErr w:type="spellEnd"/>
      <w:r w:rsidRPr="00AA0FC2">
        <w:rPr>
          <w:b/>
        </w:rPr>
        <w:t>:</w:t>
      </w:r>
      <w:r w:rsidRPr="00B72227">
        <w:t xml:space="preserve"> </w:t>
      </w:r>
      <w:proofErr w:type="spellStart"/>
      <w:r w:rsidRPr="008F7813">
        <w:rPr>
          <w:b/>
          <w:bCs/>
        </w:rPr>
        <w:t>Министарство</w:t>
      </w:r>
      <w:proofErr w:type="spellEnd"/>
      <w:r w:rsidRPr="008F7813">
        <w:rPr>
          <w:b/>
          <w:bCs/>
        </w:rPr>
        <w:t xml:space="preserve"> </w:t>
      </w:r>
      <w:proofErr w:type="spellStart"/>
      <w:r w:rsidRPr="008F7813">
        <w:rPr>
          <w:b/>
          <w:bCs/>
        </w:rPr>
        <w:t>за</w:t>
      </w:r>
      <w:proofErr w:type="spellEnd"/>
      <w:r w:rsidRPr="008F7813">
        <w:rPr>
          <w:b/>
          <w:bCs/>
        </w:rPr>
        <w:t xml:space="preserve"> </w:t>
      </w:r>
      <w:proofErr w:type="spellStart"/>
      <w:r w:rsidRPr="008F7813">
        <w:rPr>
          <w:b/>
          <w:bCs/>
        </w:rPr>
        <w:t>рад</w:t>
      </w:r>
      <w:proofErr w:type="spellEnd"/>
      <w:r w:rsidRPr="008F7813">
        <w:rPr>
          <w:b/>
          <w:bCs/>
        </w:rPr>
        <w:t xml:space="preserve">, </w:t>
      </w:r>
      <w:proofErr w:type="spellStart"/>
      <w:r w:rsidRPr="008F7813">
        <w:rPr>
          <w:b/>
          <w:bCs/>
        </w:rPr>
        <w:t>запошљавање</w:t>
      </w:r>
      <w:proofErr w:type="spellEnd"/>
      <w:r w:rsidRPr="008F7813">
        <w:rPr>
          <w:b/>
          <w:bCs/>
        </w:rPr>
        <w:t xml:space="preserve">, </w:t>
      </w:r>
      <w:proofErr w:type="spellStart"/>
      <w:r w:rsidRPr="008F7813">
        <w:rPr>
          <w:b/>
          <w:bCs/>
        </w:rPr>
        <w:t>борачка</w:t>
      </w:r>
      <w:proofErr w:type="spellEnd"/>
      <w:r w:rsidRPr="008F7813">
        <w:rPr>
          <w:b/>
          <w:bCs/>
        </w:rPr>
        <w:t xml:space="preserve"> и </w:t>
      </w:r>
      <w:proofErr w:type="spellStart"/>
      <w:r w:rsidRPr="008F7813">
        <w:rPr>
          <w:b/>
          <w:bCs/>
        </w:rPr>
        <w:t>социјална</w:t>
      </w:r>
      <w:proofErr w:type="spellEnd"/>
      <w:r w:rsidRPr="008F7813">
        <w:rPr>
          <w:b/>
          <w:bCs/>
        </w:rPr>
        <w:t xml:space="preserve"> </w:t>
      </w:r>
      <w:proofErr w:type="spellStart"/>
      <w:r w:rsidRPr="008F7813">
        <w:rPr>
          <w:b/>
          <w:bCs/>
        </w:rPr>
        <w:t>питања</w:t>
      </w:r>
      <w:proofErr w:type="spellEnd"/>
      <w:r w:rsidRPr="008F7813">
        <w:rPr>
          <w:b/>
          <w:bCs/>
        </w:rPr>
        <w:t xml:space="preserve">, </w:t>
      </w:r>
      <w:r w:rsidR="002A3723" w:rsidRPr="008F7813">
        <w:rPr>
          <w:lang w:val="sr-Cyrl-CS"/>
        </w:rPr>
        <w:t>Немањина 22-26</w:t>
      </w:r>
      <w:r w:rsidR="002A3723" w:rsidRPr="008F7813">
        <w:rPr>
          <w:lang w:val="ru-RU"/>
        </w:rPr>
        <w:t xml:space="preserve">, </w:t>
      </w:r>
      <w:r w:rsidR="002A3723" w:rsidRPr="008F7813">
        <w:t>III</w:t>
      </w:r>
      <w:r w:rsidR="002A3723" w:rsidRPr="008F7813">
        <w:rPr>
          <w:lang w:val="ru-RU"/>
        </w:rPr>
        <w:t xml:space="preserve"> спрат, крило Ц, канцеларија број 4а</w:t>
      </w:r>
      <w:r w:rsidRPr="008F7813">
        <w:t>,</w:t>
      </w:r>
      <w:r w:rsidRPr="008F7813">
        <w:rPr>
          <w:b/>
          <w:bCs/>
        </w:rPr>
        <w:t xml:space="preserve"> </w:t>
      </w:r>
      <w:r w:rsidRPr="00AA0FC2">
        <w:rPr>
          <w:bCs/>
        </w:rPr>
        <w:t xml:space="preserve">11000 </w:t>
      </w:r>
      <w:proofErr w:type="spellStart"/>
      <w:r w:rsidRPr="00AA0FC2">
        <w:rPr>
          <w:bCs/>
        </w:rPr>
        <w:t>Београд</w:t>
      </w:r>
      <w:proofErr w:type="spellEnd"/>
      <w:r w:rsidRPr="00AA0FC2">
        <w:rPr>
          <w:bCs/>
        </w:rPr>
        <w:t>,</w:t>
      </w:r>
      <w:r w:rsidRPr="008F7813">
        <w:rPr>
          <w:b/>
          <w:bCs/>
        </w:rPr>
        <w:t xml:space="preserve"> </w:t>
      </w:r>
      <w:proofErr w:type="spellStart"/>
      <w:r w:rsidRPr="00AA0FC2">
        <w:rPr>
          <w:bCs/>
        </w:rPr>
        <w:t>дана</w:t>
      </w:r>
      <w:proofErr w:type="spellEnd"/>
      <w:r w:rsidRPr="00AA0FC2">
        <w:rPr>
          <w:bCs/>
        </w:rPr>
        <w:t xml:space="preserve"> </w:t>
      </w:r>
      <w:r w:rsidR="00020EAB">
        <w:rPr>
          <w:b/>
          <w:lang w:val="sr-Latn-CS"/>
        </w:rPr>
        <w:t>16</w:t>
      </w:r>
      <w:r w:rsidR="006A4E9A">
        <w:rPr>
          <w:b/>
          <w:bCs/>
          <w:lang w:val="sr-Cyrl-CS"/>
        </w:rPr>
        <w:t>. марта</w:t>
      </w:r>
      <w:r w:rsidR="002A3723" w:rsidRPr="00380769">
        <w:rPr>
          <w:b/>
          <w:bCs/>
          <w:lang w:val="sr-Cyrl-CS"/>
        </w:rPr>
        <w:t xml:space="preserve"> 2018</w:t>
      </w:r>
      <w:r w:rsidR="003C1E48" w:rsidRPr="00380769">
        <w:rPr>
          <w:b/>
          <w:bCs/>
          <w:lang w:val="sr-Cyrl-CS"/>
        </w:rPr>
        <w:t>.</w:t>
      </w:r>
      <w:r w:rsidR="002A3723" w:rsidRPr="00380769">
        <w:rPr>
          <w:b/>
          <w:bCs/>
          <w:lang w:val="sr-Cyrl-CS"/>
        </w:rPr>
        <w:t xml:space="preserve"> </w:t>
      </w:r>
      <w:r w:rsidR="003C1E48" w:rsidRPr="00380769">
        <w:rPr>
          <w:b/>
          <w:bCs/>
          <w:lang w:val="sr-Cyrl-CS"/>
        </w:rPr>
        <w:t xml:space="preserve">године, </w:t>
      </w:r>
      <w:r w:rsidR="00380769" w:rsidRPr="00380769">
        <w:rPr>
          <w:b/>
          <w:bCs/>
          <w:lang w:val="sr-Cyrl-CS"/>
        </w:rPr>
        <w:t xml:space="preserve">у </w:t>
      </w:r>
      <w:r w:rsidR="00020EAB">
        <w:rPr>
          <w:b/>
          <w:bCs/>
          <w:lang w:val="sr-Latn-CS"/>
        </w:rPr>
        <w:t>13</w:t>
      </w:r>
      <w:r w:rsidR="002A3723" w:rsidRPr="00380769">
        <w:rPr>
          <w:b/>
          <w:bCs/>
          <w:lang w:val="sr-Cyrl-CS"/>
        </w:rPr>
        <w:t>,00</w:t>
      </w:r>
      <w:r w:rsidR="003C1E48" w:rsidRPr="00380769">
        <w:rPr>
          <w:b/>
          <w:bCs/>
          <w:lang w:val="sr-Cyrl-CS"/>
        </w:rPr>
        <w:t xml:space="preserve"> часова,</w:t>
      </w:r>
      <w:r w:rsidRPr="00380769">
        <w:rPr>
          <w:b/>
          <w:bCs/>
        </w:rPr>
        <w:t xml:space="preserve"> </w:t>
      </w:r>
      <w:r w:rsidRPr="008F7813">
        <w:rPr>
          <w:b/>
          <w:bCs/>
        </w:rPr>
        <w:t xml:space="preserve">у </w:t>
      </w:r>
      <w:proofErr w:type="spellStart"/>
      <w:r w:rsidRPr="008F7813">
        <w:rPr>
          <w:b/>
          <w:bCs/>
        </w:rPr>
        <w:t>присуству</w:t>
      </w:r>
      <w:proofErr w:type="spellEnd"/>
      <w:r w:rsidRPr="008F7813">
        <w:rPr>
          <w:b/>
          <w:bCs/>
        </w:rPr>
        <w:t xml:space="preserve"> </w:t>
      </w:r>
      <w:proofErr w:type="spellStart"/>
      <w:r w:rsidRPr="008F7813">
        <w:rPr>
          <w:b/>
          <w:bCs/>
        </w:rPr>
        <w:t>чланова</w:t>
      </w:r>
      <w:proofErr w:type="spellEnd"/>
      <w:r w:rsidRPr="008F7813">
        <w:rPr>
          <w:b/>
          <w:bCs/>
        </w:rPr>
        <w:t xml:space="preserve"> </w:t>
      </w:r>
      <w:proofErr w:type="spellStart"/>
      <w:r w:rsidRPr="008F7813">
        <w:rPr>
          <w:b/>
          <w:bCs/>
        </w:rPr>
        <w:t>Комисије</w:t>
      </w:r>
      <w:proofErr w:type="spellEnd"/>
      <w:r w:rsidRPr="008F7813">
        <w:rPr>
          <w:b/>
          <w:bCs/>
        </w:rPr>
        <w:t xml:space="preserve">, </w:t>
      </w:r>
      <w:proofErr w:type="spellStart"/>
      <w:r w:rsidRPr="008F7813">
        <w:rPr>
          <w:b/>
          <w:bCs/>
        </w:rPr>
        <w:t>понуђача</w:t>
      </w:r>
      <w:proofErr w:type="spellEnd"/>
      <w:r w:rsidRPr="008F7813">
        <w:rPr>
          <w:b/>
          <w:bCs/>
        </w:rPr>
        <w:t xml:space="preserve"> и </w:t>
      </w:r>
      <w:proofErr w:type="spellStart"/>
      <w:r w:rsidRPr="008F7813">
        <w:rPr>
          <w:b/>
          <w:bCs/>
        </w:rPr>
        <w:t>заинтересованих</w:t>
      </w:r>
      <w:proofErr w:type="spellEnd"/>
      <w:r w:rsidRPr="008F7813">
        <w:rPr>
          <w:b/>
          <w:bCs/>
        </w:rPr>
        <w:t xml:space="preserve"> </w:t>
      </w:r>
      <w:proofErr w:type="spellStart"/>
      <w:r w:rsidRPr="008F7813">
        <w:rPr>
          <w:b/>
          <w:bCs/>
        </w:rPr>
        <w:t>лица</w:t>
      </w:r>
      <w:proofErr w:type="spellEnd"/>
      <w:r w:rsidRPr="008F7813">
        <w:rPr>
          <w:b/>
          <w:bCs/>
        </w:rPr>
        <w:t>.</w:t>
      </w:r>
    </w:p>
    <w:p w:rsidR="0037673B" w:rsidRDefault="0037673B">
      <w:pPr>
        <w:pStyle w:val="BodyText"/>
      </w:pPr>
    </w:p>
    <w:p w:rsidR="0037673B" w:rsidRDefault="0037673B">
      <w:pPr>
        <w:shd w:val="clear" w:color="auto" w:fill="FFFFFF"/>
        <w:spacing w:before="100" w:beforeAutospacing="1" w:after="168" w:line="270" w:lineRule="atLeast"/>
        <w:jc w:val="both"/>
        <w:rPr>
          <w:lang w:val="ru-RU"/>
        </w:rPr>
      </w:pPr>
      <w:r>
        <w:rPr>
          <w:b/>
          <w:bCs/>
          <w:lang w:val="ru-RU"/>
        </w:rPr>
        <w:t>Услови под којима представници понуђача могу учествовати у поступку отварања понуда</w:t>
      </w:r>
      <w:r>
        <w:rPr>
          <w:lang w:val="ru-RU"/>
        </w:rPr>
        <w:t>: Представници понуђача, који намеравају да присуствују отварању понуда, обавезни су да поднесу пуномоћје за учешће у поступку отварања понуда. Заинтересованим лицима која нису понуђачи, Комисија за предметну јавну набавку може дозволити да присуствују отварању понуда, уколико су та лица пре започињања поступка отварања понуда, поднела писани захтев са образложењем и приложила пуномоћје за присуство поступку отварања понуда. У поступку отварања понуда могу активно учествовати само овлашћени представници понуђача.</w:t>
      </w:r>
    </w:p>
    <w:p w:rsidR="0037673B" w:rsidRDefault="0037673B">
      <w:pPr>
        <w:shd w:val="clear" w:color="auto" w:fill="FFFFFF"/>
        <w:spacing w:before="100" w:beforeAutospacing="1" w:after="168" w:line="270" w:lineRule="atLeast"/>
        <w:jc w:val="both"/>
        <w:rPr>
          <w:lang w:val="ru-RU"/>
        </w:rPr>
      </w:pPr>
      <w:r>
        <w:rPr>
          <w:b/>
          <w:bCs/>
          <w:lang w:val="ru-RU"/>
        </w:rPr>
        <w:t>Рок за доношење одлуке о додели уговора</w:t>
      </w:r>
      <w:r w:rsidR="00604855">
        <w:rPr>
          <w:lang w:val="ru-RU"/>
        </w:rPr>
        <w:t xml:space="preserve">: до </w:t>
      </w:r>
      <w:r>
        <w:rPr>
          <w:lang w:val="sr-Cyrl-CS"/>
        </w:rPr>
        <w:t xml:space="preserve">5 </w:t>
      </w:r>
      <w:r>
        <w:rPr>
          <w:lang w:val="ru-RU"/>
        </w:rPr>
        <w:t>дана од дана отварања понуда.</w:t>
      </w:r>
    </w:p>
    <w:p w:rsidR="00AA0FC2" w:rsidRDefault="00AA0FC2">
      <w:pPr>
        <w:shd w:val="clear" w:color="auto" w:fill="FFFFFF"/>
        <w:spacing w:before="100" w:beforeAutospacing="1" w:after="168" w:line="270" w:lineRule="atLeast"/>
        <w:jc w:val="both"/>
        <w:rPr>
          <w:b/>
          <w:bCs/>
          <w:lang w:val="sr-Latn-CS"/>
        </w:rPr>
      </w:pPr>
    </w:p>
    <w:p w:rsidR="0037673B" w:rsidRDefault="00380769">
      <w:pPr>
        <w:shd w:val="clear" w:color="auto" w:fill="FFFFFF"/>
        <w:spacing w:before="100" w:beforeAutospacing="1" w:after="168" w:line="270" w:lineRule="atLeast"/>
        <w:jc w:val="both"/>
        <w:rPr>
          <w:b/>
          <w:bCs/>
        </w:rPr>
      </w:pPr>
      <w:r>
        <w:rPr>
          <w:b/>
          <w:bCs/>
          <w:lang w:val="ru-RU"/>
        </w:rPr>
        <w:lastRenderedPageBreak/>
        <w:t>Лиц</w:t>
      </w:r>
      <w:r>
        <w:rPr>
          <w:b/>
          <w:bCs/>
          <w:lang w:val="sr-Latn-CS"/>
        </w:rPr>
        <w:t>a</w:t>
      </w:r>
      <w:r w:rsidR="0037673B">
        <w:rPr>
          <w:b/>
          <w:bCs/>
          <w:lang w:val="ru-RU"/>
        </w:rPr>
        <w:t xml:space="preserve"> за контакт: Милица Ђурић</w:t>
      </w:r>
      <w:r w:rsidR="003C1E48">
        <w:rPr>
          <w:b/>
          <w:bCs/>
          <w:lang w:val="ru-RU"/>
        </w:rPr>
        <w:t xml:space="preserve"> и </w:t>
      </w:r>
      <w:r w:rsidR="00604855">
        <w:rPr>
          <w:b/>
          <w:bCs/>
          <w:lang w:val="ru-RU"/>
        </w:rPr>
        <w:t>Богољуб Станковић</w:t>
      </w:r>
    </w:p>
    <w:p w:rsidR="0037673B" w:rsidRDefault="0037673B">
      <w:pPr>
        <w:shd w:val="clear" w:color="auto" w:fill="FFFFFF"/>
        <w:spacing w:before="100" w:beforeAutospacing="1" w:after="168" w:line="270" w:lineRule="atLeast"/>
        <w:jc w:val="both"/>
        <w:rPr>
          <w:bCs/>
          <w:lang w:val="ru-RU"/>
        </w:rPr>
      </w:pPr>
      <w:r>
        <w:rPr>
          <w:bCs/>
          <w:lang w:val="ru-RU"/>
        </w:rPr>
        <w:t xml:space="preserve">Заинтересовано лице може, у писаном облику на адресу Министарство за рад, запошљавање, борачка  и социјална питања, Београд, </w:t>
      </w:r>
      <w:r w:rsidR="00604855">
        <w:rPr>
          <w:bCs/>
          <w:lang w:val="ru-RU"/>
        </w:rPr>
        <w:t>Немањина 22-26</w:t>
      </w:r>
      <w:r>
        <w:rPr>
          <w:bCs/>
          <w:lang w:val="ru-RU"/>
        </w:rPr>
        <w:t xml:space="preserve">, </w:t>
      </w:r>
      <w:r w:rsidR="00604855">
        <w:rPr>
          <w:bCs/>
          <w:lang w:val="ru-RU"/>
        </w:rPr>
        <w:t>или факсом на број 011/3616-259</w:t>
      </w:r>
      <w:r>
        <w:rPr>
          <w:lang w:val="ru-RU"/>
        </w:rPr>
        <w:t>,</w:t>
      </w:r>
      <w:r>
        <w:rPr>
          <w:bCs/>
          <w:lang w:val="ru-RU"/>
        </w:rPr>
        <w:t xml:space="preserve"> односно  путем електронске поште </w:t>
      </w:r>
      <w:r w:rsidR="003C1E48">
        <w:rPr>
          <w:bCs/>
        </w:rPr>
        <w:t xml:space="preserve">milica.djuric@minrzs.gov.rs </w:t>
      </w:r>
      <w:r w:rsidR="003C1E48">
        <w:rPr>
          <w:bCs/>
          <w:lang w:val="sr-Cyrl-RS"/>
        </w:rPr>
        <w:t xml:space="preserve">или </w:t>
      </w:r>
      <w:r w:rsidR="00604855">
        <w:rPr>
          <w:bCs/>
        </w:rPr>
        <w:t>bogoljub.stank</w:t>
      </w:r>
      <w:r w:rsidR="003C1E48">
        <w:rPr>
          <w:bCs/>
        </w:rPr>
        <w:t xml:space="preserve">ovic@minrzs.gov.rs </w:t>
      </w:r>
      <w:r>
        <w:rPr>
          <w:bCs/>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7673B" w:rsidRDefault="0037673B">
      <w:pPr>
        <w:shd w:val="clear" w:color="auto" w:fill="FFFFFF"/>
        <w:spacing w:before="100" w:beforeAutospacing="1" w:after="168" w:line="270" w:lineRule="atLeast"/>
        <w:jc w:val="both"/>
        <w:rPr>
          <w:bCs/>
          <w:lang w:val="ru-RU"/>
        </w:rPr>
      </w:pPr>
      <w:r>
        <w:rPr>
          <w:bCs/>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37673B" w:rsidRPr="00380769" w:rsidRDefault="0037673B">
      <w:pPr>
        <w:shd w:val="clear" w:color="auto" w:fill="FFFFFF"/>
        <w:spacing w:before="100" w:beforeAutospacing="1" w:after="168" w:line="270" w:lineRule="atLeast"/>
        <w:jc w:val="both"/>
        <w:rPr>
          <w:lang w:val="sr-Latn-RS"/>
        </w:rPr>
      </w:pPr>
      <w:r>
        <w:rPr>
          <w:bCs/>
          <w:lang w:val="ru-RU"/>
        </w:rPr>
        <w:t>Додатне информације или пој</w:t>
      </w:r>
      <w:r w:rsidR="00604855">
        <w:rPr>
          <w:bCs/>
          <w:lang w:val="ru-RU"/>
        </w:rPr>
        <w:t xml:space="preserve">ашњења упућују се са напоменом </w:t>
      </w:r>
      <w:r w:rsidR="00604855">
        <w:rPr>
          <w:bCs/>
          <w:lang w:val="sr-Latn-RS"/>
        </w:rPr>
        <w:t>„</w:t>
      </w:r>
      <w:r>
        <w:rPr>
          <w:bCs/>
          <w:lang w:val="ru-RU"/>
        </w:rPr>
        <w:t xml:space="preserve">Захтев за додатним информацијама или појашњењима конкурсне документације, </w:t>
      </w:r>
      <w:r w:rsidRPr="00380769">
        <w:rPr>
          <w:bCs/>
          <w:lang w:val="ru-RU"/>
        </w:rPr>
        <w:t xml:space="preserve">ЈН бр. </w:t>
      </w:r>
      <w:r w:rsidR="00DA4327" w:rsidRPr="00380769">
        <w:rPr>
          <w:bCs/>
          <w:lang w:val="ru-RU"/>
        </w:rPr>
        <w:t>2</w:t>
      </w:r>
      <w:r w:rsidR="00604855" w:rsidRPr="00380769">
        <w:rPr>
          <w:bCs/>
          <w:lang w:val="ru-RU"/>
        </w:rPr>
        <w:t>/2018</w:t>
      </w:r>
      <w:r w:rsidRPr="00380769">
        <w:rPr>
          <w:bCs/>
          <w:lang w:val="ru-RU"/>
        </w:rPr>
        <w:t>.</w:t>
      </w:r>
      <w:r w:rsidR="00604855" w:rsidRPr="00380769">
        <w:rPr>
          <w:bCs/>
          <w:lang w:val="sr-Cyrl-CS"/>
        </w:rPr>
        <w:t>“</w:t>
      </w:r>
    </w:p>
    <w:p w:rsidR="0037673B" w:rsidRDefault="0037673B">
      <w:pPr>
        <w:spacing w:after="200" w:line="276" w:lineRule="auto"/>
        <w:rPr>
          <w:bCs/>
          <w:highlight w:val="yellow"/>
          <w:lang w:val="sr-Cyrl-CS"/>
        </w:rPr>
      </w:pPr>
    </w:p>
    <w:p w:rsidR="0037673B" w:rsidRDefault="0037673B">
      <w:pPr>
        <w:spacing w:after="200" w:line="276" w:lineRule="auto"/>
        <w:rPr>
          <w:rFonts w:eastAsia="Calibri"/>
          <w:lang w:val="ru-RU"/>
        </w:rPr>
      </w:pPr>
    </w:p>
    <w:p w:rsidR="0037673B" w:rsidRDefault="0037673B"/>
    <w:p w:rsidR="0037673B" w:rsidRDefault="0037673B"/>
    <w:sectPr w:rsidR="0037673B" w:rsidSect="00380769">
      <w:pgSz w:w="12240" w:h="15840"/>
      <w:pgMar w:top="1440" w:right="1325"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Antiqua-Italic">
    <w:altName w:val="Times New Roman"/>
    <w:panose1 w:val="00000000000000000000"/>
    <w:charset w:val="00"/>
    <w:family w:val="roman"/>
    <w:notTrueType/>
    <w:pitch w:val="default"/>
    <w:sig w:usb0="00000203" w:usb1="00000000" w:usb2="00000000" w:usb3="00000000" w:csb0="00000005"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E48"/>
    <w:rsid w:val="00020EAB"/>
    <w:rsid w:val="000D5600"/>
    <w:rsid w:val="00206EFC"/>
    <w:rsid w:val="002A3723"/>
    <w:rsid w:val="0037673B"/>
    <w:rsid w:val="00380769"/>
    <w:rsid w:val="003C1E48"/>
    <w:rsid w:val="0042433E"/>
    <w:rsid w:val="00486445"/>
    <w:rsid w:val="005F7F8A"/>
    <w:rsid w:val="00604855"/>
    <w:rsid w:val="00656807"/>
    <w:rsid w:val="006A4E9A"/>
    <w:rsid w:val="006E7E6D"/>
    <w:rsid w:val="007A394C"/>
    <w:rsid w:val="008F7813"/>
    <w:rsid w:val="00957B7F"/>
    <w:rsid w:val="00AA0FC2"/>
    <w:rsid w:val="00B71FCF"/>
    <w:rsid w:val="00B72227"/>
    <w:rsid w:val="00DA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pPr>
      <w:keepNext/>
      <w:autoSpaceDE w:val="0"/>
      <w:autoSpaceDN w:val="0"/>
      <w:adjustRightInd w:val="0"/>
      <w:outlineLvl w:val="2"/>
    </w:pPr>
    <w:rPr>
      <w:rFonts w:ascii="BookAntiqua-Italic" w:hAnsi="BookAntiqua-Italic"/>
      <w:i/>
      <w:iCs/>
      <w:u w:val="single"/>
    </w:rPr>
  </w:style>
  <w:style w:type="paragraph" w:styleId="Heading4">
    <w:name w:val="heading 4"/>
    <w:basedOn w:val="Normal"/>
    <w:next w:val="Normal"/>
    <w:qFormat/>
    <w:pPr>
      <w:keepNext/>
      <w:autoSpaceDE w:val="0"/>
      <w:autoSpaceDN w:val="0"/>
      <w:adjustRightInd w:val="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NoSpacing">
    <w:name w:val="No Spacing"/>
    <w:qFormat/>
    <w:rPr>
      <w:rFonts w:ascii="Calibri" w:eastAsia="Calibri" w:hAnsi="Calibri"/>
      <w:sz w:val="22"/>
      <w:szCs w:val="22"/>
    </w:rPr>
  </w:style>
  <w:style w:type="paragraph" w:styleId="BodyText">
    <w:name w:val="Body Text"/>
    <w:basedOn w:val="Normal"/>
    <w:semiHidden/>
    <w:pPr>
      <w:jc w:val="both"/>
    </w:pPr>
    <w:rPr>
      <w:b/>
      <w:bCs/>
      <w:lang w:val="sr-Cyrl-CS"/>
    </w:rPr>
  </w:style>
  <w:style w:type="paragraph" w:styleId="ListParagraph">
    <w:name w:val="List Paragraph"/>
    <w:basedOn w:val="Normal"/>
    <w:qFormat/>
    <w:pPr>
      <w:suppressAutoHyphens/>
      <w:spacing w:line="100" w:lineRule="atLeast"/>
      <w:ind w:left="720"/>
    </w:pPr>
    <w:rPr>
      <w:rFonts w:eastAsia="Arial Unicode MS"/>
      <w:color w:val="000000"/>
      <w:kern w:val="2"/>
      <w:lang w:eastAsia="ar-SA"/>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206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E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pPr>
      <w:keepNext/>
      <w:autoSpaceDE w:val="0"/>
      <w:autoSpaceDN w:val="0"/>
      <w:adjustRightInd w:val="0"/>
      <w:outlineLvl w:val="2"/>
    </w:pPr>
    <w:rPr>
      <w:rFonts w:ascii="BookAntiqua-Italic" w:hAnsi="BookAntiqua-Italic"/>
      <w:i/>
      <w:iCs/>
      <w:u w:val="single"/>
    </w:rPr>
  </w:style>
  <w:style w:type="paragraph" w:styleId="Heading4">
    <w:name w:val="heading 4"/>
    <w:basedOn w:val="Normal"/>
    <w:next w:val="Normal"/>
    <w:qFormat/>
    <w:pPr>
      <w:keepNext/>
      <w:autoSpaceDE w:val="0"/>
      <w:autoSpaceDN w:val="0"/>
      <w:adjustRightInd w:val="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NoSpacing">
    <w:name w:val="No Spacing"/>
    <w:qFormat/>
    <w:rPr>
      <w:rFonts w:ascii="Calibri" w:eastAsia="Calibri" w:hAnsi="Calibri"/>
      <w:sz w:val="22"/>
      <w:szCs w:val="22"/>
    </w:rPr>
  </w:style>
  <w:style w:type="paragraph" w:styleId="BodyText">
    <w:name w:val="Body Text"/>
    <w:basedOn w:val="Normal"/>
    <w:semiHidden/>
    <w:pPr>
      <w:jc w:val="both"/>
    </w:pPr>
    <w:rPr>
      <w:b/>
      <w:bCs/>
      <w:lang w:val="sr-Cyrl-CS"/>
    </w:rPr>
  </w:style>
  <w:style w:type="paragraph" w:styleId="ListParagraph">
    <w:name w:val="List Paragraph"/>
    <w:basedOn w:val="Normal"/>
    <w:qFormat/>
    <w:pPr>
      <w:suppressAutoHyphens/>
      <w:spacing w:line="100" w:lineRule="atLeast"/>
      <w:ind w:left="720"/>
    </w:pPr>
    <w:rPr>
      <w:rFonts w:eastAsia="Arial Unicode MS"/>
      <w:color w:val="000000"/>
      <w:kern w:val="2"/>
      <w:lang w:eastAsia="ar-SA"/>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206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a.gov.rs" TargetMode="External"/><Relationship Id="rId3" Type="http://schemas.openxmlformats.org/officeDocument/2006/relationships/settings" Target="settings.xml"/><Relationship Id="rId7" Type="http://schemas.openxmlformats.org/officeDocument/2006/relationships/hyperlink" Target="http://www.mfin.gov.r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jn.gov.rs/" TargetMode="External"/><Relationship Id="rId11" Type="http://schemas.openxmlformats.org/officeDocument/2006/relationships/theme" Target="theme/theme1.xml"/><Relationship Id="rId5" Type="http://schemas.openxmlformats.org/officeDocument/2006/relationships/hyperlink" Target="http://www.minrzs.gov.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ЈАВНА НАБАВКА 04/2014</vt:lpstr>
    </vt:vector>
  </TitlesOfParts>
  <Company>MinRSP</Company>
  <LinksUpToDate>false</LinksUpToDate>
  <CharactersWithSpaces>8264</CharactersWithSpaces>
  <SharedDoc>false</SharedDoc>
  <HLinks>
    <vt:vector size="30" baseType="variant">
      <vt:variant>
        <vt:i4>5111899</vt:i4>
      </vt:variant>
      <vt:variant>
        <vt:i4>12</vt:i4>
      </vt:variant>
      <vt:variant>
        <vt:i4>0</vt:i4>
      </vt:variant>
      <vt:variant>
        <vt:i4>5</vt:i4>
      </vt:variant>
      <vt:variant>
        <vt:lpwstr>http://www.minrzs.gov.rs/</vt:lpwstr>
      </vt:variant>
      <vt:variant>
        <vt:lpwstr/>
      </vt:variant>
      <vt:variant>
        <vt:i4>3407927</vt:i4>
      </vt:variant>
      <vt:variant>
        <vt:i4>9</vt:i4>
      </vt:variant>
      <vt:variant>
        <vt:i4>0</vt:i4>
      </vt:variant>
      <vt:variant>
        <vt:i4>5</vt:i4>
      </vt:variant>
      <vt:variant>
        <vt:lpwstr>http://www.sepa.gov.rs/</vt:lpwstr>
      </vt:variant>
      <vt:variant>
        <vt:lpwstr/>
      </vt:variant>
      <vt:variant>
        <vt:i4>3342395</vt:i4>
      </vt:variant>
      <vt:variant>
        <vt:i4>6</vt:i4>
      </vt:variant>
      <vt:variant>
        <vt:i4>0</vt:i4>
      </vt:variant>
      <vt:variant>
        <vt:i4>5</vt:i4>
      </vt:variant>
      <vt:variant>
        <vt:lpwstr>http://www.mfin.gov.rs/</vt:lpwstr>
      </vt:variant>
      <vt:variant>
        <vt:lpwstr/>
      </vt:variant>
      <vt:variant>
        <vt:i4>8126502</vt:i4>
      </vt:variant>
      <vt:variant>
        <vt:i4>3</vt:i4>
      </vt:variant>
      <vt:variant>
        <vt:i4>0</vt:i4>
      </vt:variant>
      <vt:variant>
        <vt:i4>5</vt:i4>
      </vt:variant>
      <vt:variant>
        <vt:lpwstr>http://www.ujn.gov.rs/</vt:lpwstr>
      </vt:variant>
      <vt:variant>
        <vt:lpwstr/>
      </vt:variant>
      <vt:variant>
        <vt:i4>5111899</vt:i4>
      </vt:variant>
      <vt:variant>
        <vt:i4>0</vt:i4>
      </vt:variant>
      <vt:variant>
        <vt:i4>0</vt:i4>
      </vt:variant>
      <vt:variant>
        <vt:i4>5</vt:i4>
      </vt:variant>
      <vt:variant>
        <vt:lpwstr>http://www.minrzs.gov.rs/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ЈАВНА НАБАВКА 04/2014</dc:title>
  <dc:subject/>
  <dc:creator>gordana.simic</dc:creator>
  <cp:keywords/>
  <dc:description/>
  <cp:lastModifiedBy>Bogoljub Stankovic</cp:lastModifiedBy>
  <cp:revision>20</cp:revision>
  <cp:lastPrinted>2018-02-14T15:18:00Z</cp:lastPrinted>
  <dcterms:created xsi:type="dcterms:W3CDTF">2018-02-13T13:57:00Z</dcterms:created>
  <dcterms:modified xsi:type="dcterms:W3CDTF">2018-02-14T16:09:00Z</dcterms:modified>
</cp:coreProperties>
</file>