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068"/>
      </w:tblGrid>
      <w:tr w:rsidR="00931DAA" w:rsidTr="00931DAA">
        <w:tc>
          <w:tcPr>
            <w:tcW w:w="4068" w:type="dxa"/>
            <w:hideMark/>
          </w:tcPr>
          <w:p w:rsid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04114C" wp14:editId="0C18638F">
                  <wp:extent cx="1437968" cy="880844"/>
                  <wp:effectExtent l="0" t="0" r="0" b="0"/>
                  <wp:docPr id="1" name="Picture 1" descr="mali 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li grb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8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МИНИСТАРСТВО ЗА РАД,</w:t>
            </w:r>
          </w:p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ЗАПОШЉАВАЊЕ, БОРАЧКА  И</w:t>
            </w:r>
          </w:p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СОЦИЈАЛНА ПИТАЊА</w:t>
            </w:r>
          </w:p>
        </w:tc>
      </w:tr>
      <w:tr w:rsidR="00931DAA" w:rsidRPr="00931DAA" w:rsidTr="00931DAA">
        <w:trPr>
          <w:trHeight w:val="249"/>
        </w:trPr>
        <w:tc>
          <w:tcPr>
            <w:tcW w:w="4068" w:type="dxa"/>
            <w:hideMark/>
          </w:tcPr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Број:</w:t>
            </w:r>
            <w:r w:rsidRPr="00931DAA">
              <w:rPr>
                <w:rFonts w:ascii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404-02-</w:t>
            </w: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4/6</w:t>
            </w: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/201</w:t>
            </w: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8</w:t>
            </w:r>
            <w:r w:rsidRPr="00931DAA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-22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јануар</w:t>
            </w: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93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931DAA" w:rsidRP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931DAA" w:rsidRPr="00931DAA" w:rsidRDefault="00931DAA" w:rsidP="00931DAA">
      <w:pPr>
        <w:pStyle w:val="Heading3"/>
        <w:rPr>
          <w:sz w:val="24"/>
          <w:lang w:val="en-US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58322F" w:rsidRDefault="00931DAA" w:rsidP="0058322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31DAA" w:rsidRPr="00931DAA" w:rsidRDefault="00931DAA" w:rsidP="00931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DAA" w:rsidRPr="00931DAA" w:rsidRDefault="00931DAA" w:rsidP="00931DA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1DAA">
        <w:rPr>
          <w:rFonts w:ascii="Times New Roman" w:hAnsi="Times New Roman" w:cs="Times New Roman"/>
          <w:b/>
          <w:sz w:val="24"/>
          <w:szCs w:val="24"/>
        </w:rPr>
        <w:t xml:space="preserve">ПОЈАШЊЕЊЕ </w:t>
      </w:r>
      <w:r w:rsidRPr="00931DAA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</w:t>
      </w:r>
    </w:p>
    <w:p w:rsidR="00FC2186" w:rsidRDefault="00931DAA" w:rsidP="00FC218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931D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јавну набавку услуга 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организовања и</w:t>
      </w:r>
      <w:r w:rsidR="00FC2186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реализације свечаности поводом обележавања 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значајних историјских догађаја из ослободилачких ратова Србије у 201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Latn-RS"/>
        </w:rPr>
        <w:t>8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. 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г</w:t>
      </w: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одини, </w:t>
      </w:r>
    </w:p>
    <w:p w:rsidR="00931DAA" w:rsidRPr="0058322F" w:rsidRDefault="00931DAA" w:rsidP="00FC218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931DA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-  ЈН 1/2018</w:t>
      </w:r>
    </w:p>
    <w:p w:rsidR="00931DAA" w:rsidRPr="00931DAA" w:rsidRDefault="00931DAA" w:rsidP="00931DA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931DA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отвореном поступку јавне набавке </w:t>
      </w:r>
      <w:r w:rsidRPr="00931D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услуга </w:t>
      </w:r>
      <w:r w:rsidRPr="00931DAA">
        <w:rPr>
          <w:rFonts w:ascii="Times New Roman" w:eastAsia="Times New Roman" w:hAnsi="Times New Roman" w:cs="Times New Roman"/>
          <w:sz w:val="24"/>
          <w:szCs w:val="20"/>
          <w:lang w:val="sr-Cyrl-CS"/>
        </w:rPr>
        <w:t>организовања и реализације свечаности поводом обележавања значајних историјских догађаја из ослободилачких ратова Србије у 201</w:t>
      </w:r>
      <w:r w:rsidRPr="00931DAA">
        <w:rPr>
          <w:rFonts w:ascii="Times New Roman" w:eastAsia="Times New Roman" w:hAnsi="Times New Roman" w:cs="Times New Roman"/>
          <w:sz w:val="24"/>
          <w:szCs w:val="20"/>
          <w:lang w:val="sr-Latn-RS"/>
        </w:rPr>
        <w:t>8</w:t>
      </w:r>
      <w:r w:rsidRPr="00931DAA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</w:t>
      </w:r>
      <w:r w:rsidRPr="00931DAA">
        <w:rPr>
          <w:rFonts w:ascii="Times New Roman" w:eastAsia="Times New Roman" w:hAnsi="Times New Roman" w:cs="Times New Roman"/>
          <w:sz w:val="24"/>
          <w:szCs w:val="20"/>
          <w:lang w:val="sr-Cyrl-RS"/>
        </w:rPr>
        <w:t>г</w:t>
      </w:r>
      <w:r w:rsidRPr="00931DAA">
        <w:rPr>
          <w:rFonts w:ascii="Times New Roman" w:eastAsia="Times New Roman" w:hAnsi="Times New Roman" w:cs="Times New Roman"/>
          <w:sz w:val="24"/>
          <w:szCs w:val="20"/>
          <w:lang w:val="sr-Cyrl-CS"/>
        </w:rPr>
        <w:t>одини, по партијама -  ЈН 1/2018</w:t>
      </w:r>
      <w:r w:rsidRPr="00931DAA">
        <w:rPr>
          <w:rFonts w:ascii="Times New Roman" w:hAnsi="Times New Roman" w:cs="Times New Roman"/>
          <w:sz w:val="24"/>
          <w:szCs w:val="24"/>
          <w:lang w:val="sr-Cyrl-CS"/>
        </w:rPr>
        <w:t>, Министарству за рад, запошљавање, борачка и социјална питања, поднет је захтев за појашњење Конкурсне документације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за партију 18 –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сећања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Погром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Косову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Метохији</w:t>
      </w:r>
      <w:proofErr w:type="spellEnd"/>
      <w:r w:rsidRPr="00931DAA">
        <w:rPr>
          <w:rFonts w:ascii="Times New Roman" w:hAnsi="Times New Roman" w:cs="Times New Roman"/>
          <w:color w:val="000000"/>
          <w:sz w:val="24"/>
          <w:szCs w:val="24"/>
        </w:rPr>
        <w:t xml:space="preserve"> “.</w:t>
      </w:r>
    </w:p>
    <w:p w:rsidR="00931DAA" w:rsidRPr="0058322F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1DAA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31DA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. 63. </w:t>
      </w:r>
      <w:proofErr w:type="spellStart"/>
      <w:proofErr w:type="gramStart"/>
      <w:r w:rsidRPr="00931DAA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31DAA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Pr="00931D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1DA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r w:rsidRPr="00931DAA">
        <w:rPr>
          <w:rFonts w:ascii="Times New Roman" w:hAnsi="Times New Roman" w:cs="Times New Roman"/>
          <w:i/>
          <w:sz w:val="24"/>
          <w:szCs w:val="24"/>
        </w:rPr>
        <w:t>(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„</w:t>
      </w:r>
      <w:proofErr w:type="spellStart"/>
      <w:r w:rsidRPr="00931DAA">
        <w:rPr>
          <w:rFonts w:ascii="Times New Roman" w:hAnsi="Times New Roman" w:cs="Times New Roman"/>
          <w:i/>
          <w:sz w:val="24"/>
          <w:szCs w:val="24"/>
        </w:rPr>
        <w:t>Службени</w:t>
      </w:r>
      <w:proofErr w:type="spellEnd"/>
      <w:r w:rsidRPr="00931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931DAA">
        <w:rPr>
          <w:rFonts w:ascii="Times New Roman" w:hAnsi="Times New Roman" w:cs="Times New Roman"/>
          <w:i/>
          <w:sz w:val="24"/>
          <w:szCs w:val="24"/>
        </w:rPr>
        <w:t xml:space="preserve"> РС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“</w:t>
      </w:r>
      <w:r w:rsidRPr="00931DAA">
        <w:rPr>
          <w:rFonts w:ascii="Times New Roman" w:hAnsi="Times New Roman" w:cs="Times New Roman"/>
          <w:i/>
          <w:sz w:val="24"/>
          <w:szCs w:val="24"/>
        </w:rPr>
        <w:t>, бр.124/12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, 14/2015 и 68/2015</w:t>
      </w:r>
      <w:r w:rsidRPr="00931DAA">
        <w:rPr>
          <w:rFonts w:ascii="Times New Roman" w:hAnsi="Times New Roman" w:cs="Times New Roman"/>
          <w:i/>
          <w:sz w:val="24"/>
          <w:szCs w:val="24"/>
        </w:rPr>
        <w:t>),</w:t>
      </w:r>
      <w:r w:rsidRPr="00931D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питањ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следећ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>:</w:t>
      </w:r>
    </w:p>
    <w:p w:rsidR="00BB2DC7" w:rsidRDefault="00BB2DC7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DC7" w:rsidRPr="00BB2DC7" w:rsidRDefault="00BB2DC7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DC7" w:rsidRDefault="00931DAA" w:rsidP="00BB2DC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322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1:</w:t>
      </w:r>
      <w:r w:rsidRPr="0058322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931DAA" w:rsidRPr="008829AF" w:rsidRDefault="0058322F" w:rsidP="00BB2D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тражи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22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тип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драмско-музички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2F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spellEnd"/>
      <w:r w:rsidRPr="0058322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</w:t>
      </w:r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међутим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тражени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људски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наведен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водитељ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драмско-музичког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Молимо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вас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појасните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тражите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глумце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музичке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извођаче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итд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реализовали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драмско-музички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spellEnd"/>
      <w:r w:rsidR="00931DAA" w:rsidRPr="005832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1DAA"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8829AF" w:rsidRDefault="008829AF" w:rsidP="008829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BB2DC7" w:rsidP="008829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931DAA" w:rsidP="008829A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9A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 1:</w:t>
      </w:r>
      <w:r w:rsidR="008829AF" w:rsidRPr="008829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BB2DC7" w:rsidRPr="0058322F" w:rsidRDefault="008829AF" w:rsidP="008829A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829AF">
        <w:rPr>
          <w:rFonts w:ascii="Times New Roman" w:eastAsia="Times New Roman" w:hAnsi="Times New Roman" w:cs="Times New Roman"/>
          <w:sz w:val="24"/>
          <w:szCs w:val="24"/>
          <w:lang w:val="sr-Latn-RS"/>
        </w:rPr>
        <w:t>Наручилац</w:t>
      </w:r>
      <w:proofErr w:type="spellEnd"/>
      <w:r w:rsidRPr="008829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даје 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исправку и допуну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текста у табели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насловом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Партија 18 Дан сећања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Погром на Косову и Метохији (на страни 4 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измењене и допуњене 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онкурсне документације</w:t>
      </w:r>
      <w:r w:rsidR="00FC2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2186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08.01.2018. год.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>тако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да </w:t>
      </w:r>
      <w:r w:rsidR="0058322F">
        <w:rPr>
          <w:rFonts w:ascii="Times New Roman" w:eastAsia="Times New Roman" w:hAnsi="Times New Roman" w:cs="Times New Roman"/>
          <w:sz w:val="24"/>
          <w:szCs w:val="24"/>
          <w:lang w:val="sr-Cyrl-CS"/>
        </w:rPr>
        <w:t>допуњени текст предметног (последњег) реда у табели гласи и изгледа: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7531"/>
      </w:tblGrid>
      <w:tr w:rsidR="0058322F" w:rsidRPr="0058322F" w:rsidTr="00BB2DC7">
        <w:trPr>
          <w:trHeight w:val="316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22F" w:rsidRPr="0058322F" w:rsidRDefault="0058322F" w:rsidP="00583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832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Тражени људски ресурси</w:t>
            </w:r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22F" w:rsidRPr="00EF1832" w:rsidRDefault="0058322F" w:rsidP="00583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Водитељ програма који течно чита текст и на енглеском језику, најмање три глумца, певачка група или хор, </w:t>
            </w:r>
            <w:r w:rsidR="00EF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оркестар</w:t>
            </w:r>
          </w:p>
        </w:tc>
      </w:tr>
    </w:tbl>
    <w:p w:rsidR="00BB2DC7" w:rsidRDefault="00BB2DC7" w:rsidP="00BB2DC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BB2DC7" w:rsidP="00BB2DC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BB2DC7" w:rsidP="00BB2DC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931DAA" w:rsidP="00BB2DC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829A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Питање 2:</w:t>
      </w:r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322F" w:rsidRPr="0058322F" w:rsidRDefault="00931DAA" w:rsidP="00BB2D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тражи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организује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пројекцију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документарног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филма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Молимо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вас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појашњење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тај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филм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обезбеђен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произведе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откупи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продукцијске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куће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обезбеђује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филм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молимо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вас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спецификацију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трајање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продукција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829AF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8829AF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BB2DC7" w:rsidRDefault="00BB2DC7" w:rsidP="00BB2DC7">
      <w:pPr>
        <w:spacing w:before="100" w:beforeAutospacing="1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13435D" w:rsidRPr="00BB2DC7" w:rsidRDefault="0058322F" w:rsidP="00BB2DC7">
      <w:pPr>
        <w:spacing w:before="100" w:beforeAutospacing="1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 2:</w:t>
      </w:r>
    </w:p>
    <w:p w:rsidR="00BB2DC7" w:rsidRDefault="00CA0725" w:rsidP="00CA072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табели под насловом: Партија 18 Дан сећања на на Погром на Косову и Метохији (на страни 4 измењене и до</w:t>
      </w:r>
      <w:r w:rsidR="00FC2186">
        <w:rPr>
          <w:rFonts w:ascii="Times New Roman" w:eastAsia="Times New Roman" w:hAnsi="Times New Roman" w:cs="Times New Roman"/>
          <w:sz w:val="24"/>
          <w:szCs w:val="24"/>
          <w:lang w:val="sr-Cyrl-CS"/>
        </w:rPr>
        <w:t>пуњене конкурсне документације 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08.01.2018. год.) у четвртом реду испод наслова табеле </w:t>
      </w:r>
      <w:r w:rsidR="00FC21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захтева: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7531"/>
      </w:tblGrid>
      <w:tr w:rsidR="00BB2DC7" w:rsidRPr="00BB2DC7" w:rsidTr="00BB2DC7">
        <w:trPr>
          <w:trHeight w:val="316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DC7" w:rsidRPr="00BB2DC7" w:rsidRDefault="00BB2DC7" w:rsidP="00BB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2DC7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BB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7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DC7" w:rsidRPr="00BB2DC7" w:rsidRDefault="00BB2DC7" w:rsidP="00BB2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B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Драмско-музички приказ, </w:t>
            </w:r>
            <w:r w:rsidRPr="00BB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пројекција документарне форме</w:t>
            </w:r>
          </w:p>
        </w:tc>
      </w:tr>
    </w:tbl>
    <w:p w:rsidR="00BB2DC7" w:rsidRDefault="00BB2DC7" w:rsidP="00CA072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0725" w:rsidRDefault="00931DAA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Документарна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форма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подразумева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>документарне</w:t>
      </w:r>
      <w:proofErr w:type="spellEnd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>драмске</w:t>
      </w:r>
      <w:proofErr w:type="spellEnd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proofErr w:type="spellStart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>секвенце</w:t>
      </w:r>
      <w:proofErr w:type="spellEnd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>сцене</w:t>
      </w:r>
      <w:proofErr w:type="spellEnd"/>
      <w:r w:rsidR="00CA0725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које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8322F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вези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58322F">
        <w:rPr>
          <w:rFonts w:ascii="Times New Roman" w:hAnsi="Times New Roman" w:cs="Times New Roman"/>
          <w:sz w:val="24"/>
          <w:szCs w:val="24"/>
          <w:lang w:val="sr-Latn-RS"/>
        </w:rPr>
        <w:t>дога</w:t>
      </w:r>
      <w:r w:rsidR="0058322F">
        <w:rPr>
          <w:rFonts w:ascii="Times New Roman" w:hAnsi="Times New Roman" w:cs="Times New Roman"/>
          <w:sz w:val="24"/>
          <w:szCs w:val="24"/>
          <w:lang w:val="sr-Cyrl-CS"/>
        </w:rPr>
        <w:t>ђај</w:t>
      </w:r>
      <w:r w:rsidRPr="0058322F">
        <w:rPr>
          <w:rFonts w:ascii="Times New Roman" w:hAnsi="Times New Roman" w:cs="Times New Roman"/>
          <w:sz w:val="24"/>
          <w:szCs w:val="24"/>
          <w:lang w:val="sr-Latn-RS"/>
        </w:rPr>
        <w:t>ем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58322F">
        <w:rPr>
          <w:rFonts w:ascii="Times New Roman" w:hAnsi="Times New Roman" w:cs="Times New Roman"/>
          <w:sz w:val="24"/>
          <w:szCs w:val="24"/>
          <w:lang w:val="sr-Latn-RS"/>
        </w:rPr>
        <w:t>обеле</w:t>
      </w:r>
      <w:proofErr w:type="spellEnd"/>
      <w:r w:rsidR="0058322F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58322F">
        <w:rPr>
          <w:rFonts w:ascii="Times New Roman" w:hAnsi="Times New Roman" w:cs="Times New Roman"/>
          <w:sz w:val="24"/>
          <w:szCs w:val="24"/>
          <w:lang w:val="sr-Latn-RS"/>
        </w:rPr>
        <w:t>ава</w:t>
      </w:r>
      <w:proofErr w:type="spellEnd"/>
      <w:r w:rsidR="00ED3B6E" w:rsidRPr="0058322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C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То</w:t>
      </w:r>
      <w:proofErr w:type="spellEnd"/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није</w:t>
      </w:r>
      <w:proofErr w:type="spellEnd"/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58322F">
        <w:rPr>
          <w:rFonts w:ascii="Times New Roman" w:hAnsi="Times New Roman" w:cs="Times New Roman"/>
          <w:sz w:val="24"/>
          <w:szCs w:val="24"/>
          <w:lang w:val="sr-Latn-RS"/>
        </w:rPr>
        <w:t>ну</w:t>
      </w:r>
      <w:proofErr w:type="spellEnd"/>
      <w:r w:rsidR="0058322F"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sr-Latn-RS"/>
        </w:rPr>
        <w:t>но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документарни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филм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али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8322F">
        <w:rPr>
          <w:rFonts w:ascii="Times New Roman" w:hAnsi="Times New Roman" w:cs="Times New Roman"/>
          <w:sz w:val="24"/>
          <w:szCs w:val="24"/>
          <w:lang w:val="sr-Latn-RS"/>
        </w:rPr>
        <w:t>мо</w:t>
      </w:r>
      <w:r w:rsidR="0058322F"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бити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документарни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филм</w:t>
      </w:r>
      <w:r w:rsidR="00CA07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Документарне  </w:t>
      </w:r>
      <w:r w:rsidRPr="0058322F">
        <w:rPr>
          <w:rFonts w:ascii="Times New Roman" w:hAnsi="Times New Roman" w:cs="Times New Roman"/>
          <w:sz w:val="24"/>
          <w:szCs w:val="24"/>
          <w:lang w:val="sr-Latn-RS"/>
        </w:rPr>
        <w:t>(драмске) секвенце (сцене)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прат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31DAA">
        <w:rPr>
          <w:rFonts w:ascii="Times New Roman" w:hAnsi="Times New Roman" w:cs="Times New Roman"/>
          <w:sz w:val="24"/>
          <w:szCs w:val="24"/>
          <w:lang w:val="sr-Latn-RS"/>
        </w:rPr>
        <w:t>драмско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58322F">
        <w:rPr>
          <w:rFonts w:ascii="Times New Roman" w:hAnsi="Times New Roman" w:cs="Times New Roman"/>
          <w:sz w:val="24"/>
          <w:szCs w:val="24"/>
          <w:lang w:val="sr-Latn-RS"/>
        </w:rPr>
        <w:t>музи</w:t>
      </w:r>
      <w:r w:rsidR="0058322F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931DAA">
        <w:rPr>
          <w:rFonts w:ascii="Times New Roman" w:hAnsi="Times New Roman" w:cs="Times New Roman"/>
          <w:sz w:val="24"/>
          <w:szCs w:val="24"/>
          <w:lang w:val="sr-Latn-RS"/>
        </w:rPr>
        <w:t>ки</w:t>
      </w:r>
      <w:r w:rsidR="00ED3B6E" w:rsidRPr="00931D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31DAA">
        <w:rPr>
          <w:rFonts w:ascii="Times New Roman" w:hAnsi="Times New Roman" w:cs="Times New Roman"/>
          <w:sz w:val="24"/>
          <w:szCs w:val="24"/>
          <w:lang w:val="sr-Latn-RS"/>
        </w:rPr>
        <w:t>приказ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те им је и трајање </w:t>
      </w:r>
      <w:r w:rsidR="00BB2DC7">
        <w:rPr>
          <w:rFonts w:ascii="Times New Roman" w:hAnsi="Times New Roman" w:cs="Times New Roman"/>
          <w:sz w:val="24"/>
          <w:szCs w:val="24"/>
          <w:lang w:val="sr-Cyrl-CS"/>
        </w:rPr>
        <w:t>исто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Одговарајућу документарну форму</w:t>
      </w:r>
      <w:r w:rsidRPr="00CA0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обезбеђује</w:t>
      </w:r>
      <w:r w:rsidRPr="00CA0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Понуђач. </w:t>
      </w: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FC2186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 w:rsidRPr="00CA0725"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ЗА КОМИСИЈУ ЗА ЈАВНУ </w:t>
      </w:r>
      <w:r w:rsidR="00FC2186"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   </w:t>
      </w:r>
    </w:p>
    <w:p w:rsid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bookmarkStart w:id="0" w:name="_GoBack"/>
      <w:bookmarkEnd w:id="0"/>
      <w:r w:rsidRPr="00CA0725">
        <w:rPr>
          <w:rFonts w:ascii="Times New Roman" w:eastAsia="Times New Roman" w:hAnsi="Times New Roman" w:cs="Times New Roman"/>
          <w:bCs/>
          <w:sz w:val="24"/>
          <w:lang w:val="sr-Cyrl-CS"/>
        </w:rPr>
        <w:t>НАБАВКУ</w:t>
      </w:r>
    </w:p>
    <w:p w:rsid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BB2DC7" w:rsidRDefault="00BB2DC7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P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lang w:val="sr-Cyrl-CS"/>
        </w:rPr>
        <w:t>Богољуб Станковић</w:t>
      </w:r>
    </w:p>
    <w:p w:rsidR="009A51BC" w:rsidRPr="00931DAA" w:rsidRDefault="009A51BC">
      <w:pPr>
        <w:rPr>
          <w:rFonts w:ascii="Times New Roman" w:hAnsi="Times New Roman" w:cs="Times New Roman"/>
          <w:sz w:val="24"/>
          <w:szCs w:val="24"/>
        </w:rPr>
      </w:pPr>
    </w:p>
    <w:sectPr w:rsidR="009A51BC" w:rsidRPr="00931DAA" w:rsidSect="00BB2DC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1D95"/>
    <w:multiLevelType w:val="hybridMultilevel"/>
    <w:tmpl w:val="60FC0CF0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1B65"/>
    <w:multiLevelType w:val="hybridMultilevel"/>
    <w:tmpl w:val="D3F86AEA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76"/>
    <w:rsid w:val="00074276"/>
    <w:rsid w:val="0013435D"/>
    <w:rsid w:val="0058322F"/>
    <w:rsid w:val="008829AF"/>
    <w:rsid w:val="00931DAA"/>
    <w:rsid w:val="009A51BC"/>
    <w:rsid w:val="00BB2DC7"/>
    <w:rsid w:val="00CA0725"/>
    <w:rsid w:val="00ED3B6E"/>
    <w:rsid w:val="00EF1832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922"/>
  <w15:docId w15:val="{56D613BC-ED9B-4D3A-891B-8FFAE4F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6E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1DAA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31DAA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Jovanka Simic</cp:lastModifiedBy>
  <cp:revision>3</cp:revision>
  <dcterms:created xsi:type="dcterms:W3CDTF">2018-01-15T18:53:00Z</dcterms:created>
  <dcterms:modified xsi:type="dcterms:W3CDTF">2018-01-15T18:53:00Z</dcterms:modified>
</cp:coreProperties>
</file>