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000" w:firstRow="0" w:lastRow="0" w:firstColumn="0" w:lastColumn="0" w:noHBand="0" w:noVBand="0"/>
      </w:tblPr>
      <w:tblGrid>
        <w:gridCol w:w="4068"/>
      </w:tblGrid>
      <w:tr w:rsidR="00F206B4" w:rsidRPr="00645FBD">
        <w:tc>
          <w:tcPr>
            <w:tcW w:w="4068" w:type="dxa"/>
            <w:tcBorders>
              <w:top w:val="nil"/>
              <w:left w:val="nil"/>
              <w:bottom w:val="nil"/>
              <w:right w:val="nil"/>
            </w:tcBorders>
          </w:tcPr>
          <w:p w:rsidR="00F206B4" w:rsidRPr="00645FBD" w:rsidRDefault="003646C3">
            <w:pPr>
              <w:tabs>
                <w:tab w:val="center" w:pos="4320"/>
                <w:tab w:val="right" w:pos="8640"/>
              </w:tabs>
              <w:ind w:right="-108"/>
              <w:jc w:val="center"/>
              <w:rPr>
                <w:sz w:val="20"/>
                <w:szCs w:val="20"/>
              </w:rPr>
            </w:pPr>
            <w:r>
              <w:rPr>
                <w:noProof/>
                <w:sz w:val="20"/>
                <w:szCs w:val="20"/>
              </w:rPr>
              <w:drawing>
                <wp:inline distT="0" distB="0" distL="0" distR="0">
                  <wp:extent cx="419100" cy="685800"/>
                  <wp:effectExtent l="0" t="0" r="0" b="0"/>
                  <wp:docPr id="1" name="Picture 1" descr="cid:image001.jpg@01C879FB.FECBF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879FB.FECBF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p>
        </w:tc>
      </w:tr>
      <w:tr w:rsidR="00F206B4" w:rsidRPr="00CB6420">
        <w:tc>
          <w:tcPr>
            <w:tcW w:w="4068" w:type="dxa"/>
            <w:tcBorders>
              <w:top w:val="nil"/>
              <w:left w:val="nil"/>
              <w:bottom w:val="nil"/>
              <w:right w:val="nil"/>
            </w:tcBorders>
          </w:tcPr>
          <w:p w:rsidR="00F206B4" w:rsidRPr="00CB6420" w:rsidRDefault="00F206B4">
            <w:pPr>
              <w:tabs>
                <w:tab w:val="center" w:pos="4320"/>
                <w:tab w:val="right" w:pos="8640"/>
              </w:tabs>
              <w:ind w:right="-108"/>
              <w:jc w:val="center"/>
              <w:rPr>
                <w:lang w:val="sr-Cyrl-CS"/>
              </w:rPr>
            </w:pPr>
            <w:r w:rsidRPr="00CB6420">
              <w:br w:type="page"/>
            </w:r>
            <w:r w:rsidRPr="00CB6420">
              <w:rPr>
                <w:lang w:val="sr-Cyrl-CS"/>
              </w:rPr>
              <w:t>Република Србија</w:t>
            </w:r>
          </w:p>
        </w:tc>
      </w:tr>
      <w:tr w:rsidR="00F206B4" w:rsidRPr="00CB6420">
        <w:tc>
          <w:tcPr>
            <w:tcW w:w="4068" w:type="dxa"/>
            <w:tcBorders>
              <w:top w:val="nil"/>
              <w:left w:val="nil"/>
              <w:bottom w:val="nil"/>
              <w:right w:val="nil"/>
            </w:tcBorders>
          </w:tcPr>
          <w:p w:rsidR="00F206B4" w:rsidRPr="00CB6420" w:rsidRDefault="00F206B4">
            <w:pPr>
              <w:jc w:val="center"/>
              <w:rPr>
                <w:b/>
                <w:bCs/>
              </w:rPr>
            </w:pPr>
            <w:r w:rsidRPr="00CB6420">
              <w:rPr>
                <w:b/>
                <w:bCs/>
              </w:rPr>
              <w:br w:type="page"/>
              <w:t>МИНИСТАРСТВО ЗА РАД,</w:t>
            </w:r>
          </w:p>
          <w:p w:rsidR="00F206B4" w:rsidRPr="00CB6420" w:rsidRDefault="00F206B4">
            <w:pPr>
              <w:jc w:val="center"/>
              <w:rPr>
                <w:b/>
                <w:bCs/>
              </w:rPr>
            </w:pPr>
            <w:r w:rsidRPr="00CB6420">
              <w:rPr>
                <w:b/>
                <w:bCs/>
              </w:rPr>
              <w:t>ЗАПОШЉАВАЊЕ, БОРАЧКА  И</w:t>
            </w:r>
          </w:p>
          <w:p w:rsidR="00F206B4" w:rsidRPr="00CB6420" w:rsidRDefault="00F206B4">
            <w:pPr>
              <w:jc w:val="center"/>
              <w:rPr>
                <w:b/>
                <w:bCs/>
                <w:lang w:val="sr-Cyrl-CS"/>
              </w:rPr>
            </w:pPr>
            <w:r w:rsidRPr="00CB6420">
              <w:rPr>
                <w:b/>
                <w:bCs/>
              </w:rPr>
              <w:t>СОЦИЈАЛНА ПИТАЊА</w:t>
            </w:r>
          </w:p>
        </w:tc>
      </w:tr>
      <w:tr w:rsidR="00192F48" w:rsidRPr="00CB6420">
        <w:trPr>
          <w:trHeight w:val="249"/>
        </w:trPr>
        <w:tc>
          <w:tcPr>
            <w:tcW w:w="4068" w:type="dxa"/>
            <w:tcBorders>
              <w:top w:val="nil"/>
              <w:left w:val="nil"/>
              <w:bottom w:val="nil"/>
              <w:right w:val="nil"/>
            </w:tcBorders>
          </w:tcPr>
          <w:p w:rsidR="00F206B4" w:rsidRPr="00CB6420" w:rsidRDefault="00F206B4" w:rsidP="00723F6C">
            <w:pPr>
              <w:suppressAutoHyphens/>
              <w:spacing w:line="100" w:lineRule="atLeast"/>
              <w:jc w:val="center"/>
              <w:rPr>
                <w:lang w:val="sr-Cyrl-CS"/>
              </w:rPr>
            </w:pPr>
            <w:r w:rsidRPr="00CB6420">
              <w:rPr>
                <w:lang w:val="sr-Cyrl-CS"/>
              </w:rPr>
              <w:t>Број:</w:t>
            </w:r>
            <w:r w:rsidRPr="00CB6420">
              <w:rPr>
                <w:spacing w:val="6"/>
                <w:lang w:val="en-GB"/>
              </w:rPr>
              <w:t xml:space="preserve"> </w:t>
            </w:r>
            <w:r w:rsidR="00723F6C" w:rsidRPr="00CB6420">
              <w:rPr>
                <w:lang w:val="sr-Cyrl-CS"/>
              </w:rPr>
              <w:t>404-02-</w:t>
            </w:r>
            <w:r w:rsidR="00723F6C" w:rsidRPr="00CB6420">
              <w:t>8</w:t>
            </w:r>
            <w:r w:rsidR="00723F6C" w:rsidRPr="00CB6420">
              <w:rPr>
                <w:lang w:val="sr-Cyrl-CS"/>
              </w:rPr>
              <w:t>/</w:t>
            </w:r>
            <w:r w:rsidR="00723F6C" w:rsidRPr="00CB6420">
              <w:rPr>
                <w:lang w:val="sr-Latn-RS"/>
              </w:rPr>
              <w:t>6-1</w:t>
            </w:r>
            <w:r w:rsidR="00723F6C" w:rsidRPr="00CB6420">
              <w:rPr>
                <w:lang w:val="sr-Cyrl-CS"/>
              </w:rPr>
              <w:t>/201</w:t>
            </w:r>
            <w:r w:rsidR="00723F6C" w:rsidRPr="00CB6420">
              <w:t>7</w:t>
            </w:r>
            <w:r w:rsidR="00723F6C" w:rsidRPr="00CB6420">
              <w:rPr>
                <w:lang w:val="sr-Cyrl-CS"/>
              </w:rPr>
              <w:t>-22</w:t>
            </w:r>
          </w:p>
        </w:tc>
      </w:tr>
      <w:tr w:rsidR="00192F48" w:rsidRPr="00CB6420">
        <w:tc>
          <w:tcPr>
            <w:tcW w:w="4068" w:type="dxa"/>
            <w:tcBorders>
              <w:top w:val="nil"/>
              <w:left w:val="nil"/>
              <w:bottom w:val="nil"/>
              <w:right w:val="nil"/>
            </w:tcBorders>
          </w:tcPr>
          <w:p w:rsidR="00F206B4" w:rsidRPr="00CB6420" w:rsidRDefault="00F206B4">
            <w:pPr>
              <w:tabs>
                <w:tab w:val="center" w:pos="4320"/>
                <w:tab w:val="right" w:pos="8640"/>
              </w:tabs>
              <w:ind w:right="-108"/>
              <w:jc w:val="center"/>
              <w:rPr>
                <w:lang w:val="sr-Cyrl-CS"/>
              </w:rPr>
            </w:pPr>
            <w:r w:rsidRPr="00CB6420">
              <w:rPr>
                <w:lang w:val="sr-Cyrl-CS"/>
              </w:rPr>
              <w:t xml:space="preserve">Датум: </w:t>
            </w:r>
            <w:r w:rsidR="00723F6C" w:rsidRPr="00CB6420">
              <w:rPr>
                <w:lang w:val="sr-Latn-RS"/>
              </w:rPr>
              <w:t>17</w:t>
            </w:r>
            <w:r w:rsidRPr="00CB6420">
              <w:rPr>
                <w:lang w:val="sr-Cyrl-CS"/>
              </w:rPr>
              <w:t>.</w:t>
            </w:r>
            <w:r w:rsidR="00723F6C" w:rsidRPr="00CB6420">
              <w:rPr>
                <w:lang w:val="sr-Latn-RS"/>
              </w:rPr>
              <w:t xml:space="preserve"> </w:t>
            </w:r>
            <w:r w:rsidR="00723F6C" w:rsidRPr="00CB6420">
              <w:rPr>
                <w:lang w:val="sr-Cyrl-RS"/>
              </w:rPr>
              <w:t>фебруар</w:t>
            </w:r>
            <w:r w:rsidRPr="00CB6420">
              <w:rPr>
                <w:lang w:val="sr-Cyrl-CS"/>
              </w:rPr>
              <w:t xml:space="preserve">  201</w:t>
            </w:r>
            <w:r w:rsidR="00723F6C" w:rsidRPr="00CB6420">
              <w:rPr>
                <w:lang w:val="sr-Cyrl-CS"/>
              </w:rPr>
              <w:t>7</w:t>
            </w:r>
            <w:r w:rsidRPr="00CB6420">
              <w:t xml:space="preserve">. </w:t>
            </w:r>
            <w:r w:rsidRPr="00CB6420">
              <w:rPr>
                <w:lang w:val="sr-Cyrl-CS"/>
              </w:rPr>
              <w:t>године</w:t>
            </w:r>
          </w:p>
          <w:p w:rsidR="00F206B4" w:rsidRPr="00CB6420" w:rsidRDefault="00F206B4">
            <w:pPr>
              <w:tabs>
                <w:tab w:val="center" w:pos="4320"/>
                <w:tab w:val="right" w:pos="8640"/>
              </w:tabs>
              <w:ind w:right="-108"/>
              <w:jc w:val="center"/>
              <w:rPr>
                <w:spacing w:val="60"/>
                <w:lang w:val="sr-Cyrl-CS"/>
              </w:rPr>
            </w:pPr>
            <w:r w:rsidRPr="00CB6420">
              <w:rPr>
                <w:lang w:val="sr-Cyrl-CS"/>
              </w:rPr>
              <w:t>Немањина 22-26</w:t>
            </w:r>
          </w:p>
        </w:tc>
      </w:tr>
      <w:tr w:rsidR="00192F48" w:rsidRPr="00CB6420">
        <w:tc>
          <w:tcPr>
            <w:tcW w:w="4068" w:type="dxa"/>
            <w:tcBorders>
              <w:top w:val="nil"/>
              <w:left w:val="nil"/>
              <w:bottom w:val="nil"/>
              <w:right w:val="nil"/>
            </w:tcBorders>
          </w:tcPr>
          <w:p w:rsidR="00F206B4" w:rsidRPr="00CB6420" w:rsidRDefault="00F206B4">
            <w:pPr>
              <w:tabs>
                <w:tab w:val="center" w:pos="4320"/>
                <w:tab w:val="right" w:pos="8640"/>
              </w:tabs>
              <w:ind w:right="-108"/>
              <w:jc w:val="center"/>
              <w:rPr>
                <w:lang w:val="sr-Cyrl-CS"/>
              </w:rPr>
            </w:pPr>
            <w:r w:rsidRPr="00CB6420">
              <w:rPr>
                <w:lang w:val="sr-Cyrl-CS"/>
              </w:rPr>
              <w:t>Б е о г р а д</w:t>
            </w:r>
          </w:p>
        </w:tc>
      </w:tr>
    </w:tbl>
    <w:p w:rsidR="00F206B4" w:rsidRPr="00CB6420" w:rsidRDefault="00F206B4">
      <w:pPr>
        <w:pStyle w:val="Heading3"/>
        <w:rPr>
          <w:lang w:val="en-US"/>
        </w:rPr>
      </w:pPr>
    </w:p>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783572" w:rsidRPr="00CB6420" w:rsidRDefault="00783572" w:rsidP="00783572">
      <w:pPr>
        <w:jc w:val="center"/>
        <w:rPr>
          <w:b/>
          <w:bCs/>
        </w:rPr>
      </w:pPr>
      <w:r w:rsidRPr="00CB6420">
        <w:rPr>
          <w:b/>
          <w:lang w:val="ru-RU"/>
        </w:rPr>
        <w:t>ПОЈАШЊЕЊЕ  (</w:t>
      </w:r>
      <w:r w:rsidRPr="00CB6420">
        <w:rPr>
          <w:b/>
          <w:lang w:val="sr-Cyrl-CS"/>
        </w:rPr>
        <w:t>1</w:t>
      </w:r>
      <w:r w:rsidRPr="00CB6420">
        <w:rPr>
          <w:b/>
          <w:lang w:val="ru-RU"/>
        </w:rPr>
        <w:t xml:space="preserve">) У  ВЕЗИ ПРИПРЕМАЊА ПОНУДЕ – </w:t>
      </w:r>
      <w:r w:rsidRPr="00CB6420">
        <w:rPr>
          <w:b/>
          <w:bCs/>
        </w:rPr>
        <w:t xml:space="preserve">ЈАВНА НАБАВКА УСЛУГА </w:t>
      </w:r>
      <w:r w:rsidRPr="00CB6420">
        <w:rPr>
          <w:b/>
          <w:bCs/>
          <w:lang w:val="sr-Cyrl-CS"/>
        </w:rPr>
        <w:t>ОРГАНИЗОВАЊА ПРИСУСТВОВАЊА КОМЕМОРАТИВНИМ СВЕЧАНОСТИМА У ИНОСТРАНСТВУ РАДИ ОБЕЛЕЖАВАЊА ЗНАЧАЈНИХ ИСТОРИЈСКИХ ДОГАЂАЈА ИЗ ОСЛОБОДИЛАЧКИХ РАТОВА СРБИЈЕ У 201</w:t>
      </w:r>
      <w:r w:rsidRPr="00CB6420">
        <w:rPr>
          <w:b/>
          <w:bCs/>
        </w:rPr>
        <w:t>7</w:t>
      </w:r>
      <w:r w:rsidRPr="00CB6420">
        <w:rPr>
          <w:b/>
          <w:bCs/>
          <w:lang w:val="sr-Cyrl-CS"/>
        </w:rPr>
        <w:t>. ГОДИНИ ПО ПАРТИЈАМА</w:t>
      </w:r>
      <w:r w:rsidRPr="00CB6420">
        <w:rPr>
          <w:b/>
          <w:bCs/>
        </w:rPr>
        <w:t xml:space="preserve"> ЗА ПОТРЕБЕ МИНИСТАРСТВА</w:t>
      </w:r>
      <w:r w:rsidRPr="00CB6420">
        <w:rPr>
          <w:b/>
          <w:bCs/>
          <w:lang w:val="sr-Cyrl-CS"/>
        </w:rPr>
        <w:t xml:space="preserve"> ЗА РАД, ЗАПОШЉАВАЊЕ, БОРАЧКА И СОЦИЈАЛНА ПИТАЊА</w:t>
      </w:r>
    </w:p>
    <w:p w:rsidR="00783572" w:rsidRPr="00CB6420" w:rsidRDefault="00783572" w:rsidP="00783572">
      <w:pPr>
        <w:jc w:val="center"/>
      </w:pPr>
    </w:p>
    <w:p w:rsidR="00783572" w:rsidRPr="00B7798A" w:rsidRDefault="00783572" w:rsidP="00783572">
      <w:pPr>
        <w:ind w:firstLine="720"/>
        <w:jc w:val="both"/>
        <w:rPr>
          <w:sz w:val="22"/>
          <w:szCs w:val="22"/>
          <w:lang w:val="ru-RU"/>
        </w:rPr>
      </w:pPr>
    </w:p>
    <w:p w:rsidR="00783572" w:rsidRPr="00CB6420" w:rsidRDefault="00541760" w:rsidP="00541760">
      <w:pPr>
        <w:jc w:val="both"/>
        <w:rPr>
          <w:lang w:val="ru-RU"/>
        </w:rPr>
      </w:pPr>
      <w:r w:rsidRPr="00CB6420">
        <w:rPr>
          <w:lang w:val="sr-Cyrl-CS"/>
        </w:rPr>
        <w:t xml:space="preserve">У поступку јавне набавке, </w:t>
      </w:r>
      <w:r w:rsidRPr="00CB6420">
        <w:rPr>
          <w:bCs/>
        </w:rPr>
        <w:t xml:space="preserve">услуга </w:t>
      </w:r>
      <w:r w:rsidRPr="00CB6420">
        <w:rPr>
          <w:bCs/>
          <w:lang w:val="sr-Cyrl-CS"/>
        </w:rPr>
        <w:t>организовања присуствовања комеморативним свечаностима у иностранству ради обележавања значајних историјских догађаја из ослободилачких ратова Србије у 201</w:t>
      </w:r>
      <w:r w:rsidRPr="00CB6420">
        <w:rPr>
          <w:bCs/>
        </w:rPr>
        <w:t>7</w:t>
      </w:r>
      <w:r w:rsidRPr="00CB6420">
        <w:rPr>
          <w:bCs/>
          <w:lang w:val="sr-Cyrl-CS"/>
        </w:rPr>
        <w:t>. години по партијама</w:t>
      </w:r>
      <w:r w:rsidRPr="00CB6420">
        <w:rPr>
          <w:bCs/>
        </w:rPr>
        <w:t xml:space="preserve"> за потребе </w:t>
      </w:r>
      <w:r w:rsidR="001F02BC">
        <w:rPr>
          <w:bCs/>
          <w:lang w:val="sr-Cyrl-RS"/>
        </w:rPr>
        <w:t>М</w:t>
      </w:r>
      <w:r w:rsidRPr="00CB6420">
        <w:rPr>
          <w:bCs/>
        </w:rPr>
        <w:t>инистарства</w:t>
      </w:r>
      <w:r w:rsidRPr="00CB6420">
        <w:rPr>
          <w:bCs/>
          <w:lang w:val="sr-Cyrl-CS"/>
        </w:rPr>
        <w:t xml:space="preserve"> за рад, запошљавање, борачка и социјална питања, </w:t>
      </w:r>
      <w:r w:rsidR="00783572" w:rsidRPr="00CB6420">
        <w:rPr>
          <w:lang w:val="sr-Cyrl-CS"/>
        </w:rPr>
        <w:t xml:space="preserve"> ЈН бр. </w:t>
      </w:r>
      <w:r w:rsidRPr="00CB6420">
        <w:rPr>
          <w:lang w:val="sr-Cyrl-CS"/>
        </w:rPr>
        <w:t>3</w:t>
      </w:r>
      <w:r w:rsidR="00783572" w:rsidRPr="00CB6420">
        <w:rPr>
          <w:lang w:val="sr-Cyrl-CS"/>
        </w:rPr>
        <w:t>/201</w:t>
      </w:r>
      <w:r w:rsidR="00783572" w:rsidRPr="00CB6420">
        <w:rPr>
          <w:lang w:val="sr-Latn-RS"/>
        </w:rPr>
        <w:t>7</w:t>
      </w:r>
      <w:r w:rsidR="00783572" w:rsidRPr="00CB6420">
        <w:rPr>
          <w:lang w:val="sr-Cyrl-CS"/>
        </w:rPr>
        <w:t>, Министарству за рад, запошљавање, борачка и социјална питања, поднет je захтев за појашњење конкурсне документације.</w:t>
      </w:r>
    </w:p>
    <w:p w:rsidR="00BA7D32" w:rsidRDefault="00BA7D32" w:rsidP="005E76B8">
      <w:pPr>
        <w:pStyle w:val="BodyTextIndent"/>
        <w:ind w:left="0"/>
        <w:jc w:val="both"/>
        <w:rPr>
          <w:lang w:val="ru-RU"/>
        </w:rPr>
      </w:pPr>
    </w:p>
    <w:p w:rsidR="00783572" w:rsidRDefault="00783572" w:rsidP="00D46D45">
      <w:pPr>
        <w:pStyle w:val="BodyTextIndent"/>
        <w:spacing w:after="0"/>
        <w:ind w:left="0"/>
        <w:jc w:val="both"/>
        <w:rPr>
          <w:lang w:val="ru-RU"/>
        </w:rPr>
      </w:pPr>
      <w:r w:rsidRPr="00CB6420">
        <w:rPr>
          <w:lang w:val="ru-RU"/>
        </w:rPr>
        <w:t>У складу са одредбама чл. 63. ст. 3. и 4. Закона о јавним набавкама (</w:t>
      </w:r>
      <w:r w:rsidRPr="00CB6420">
        <w:rPr>
          <w:lang w:val="sr-Cyrl-CS"/>
        </w:rPr>
        <w:t>„</w:t>
      </w:r>
      <w:r w:rsidRPr="00CB6420">
        <w:rPr>
          <w:lang w:val="ru-RU"/>
        </w:rPr>
        <w:t>Службени гласник РС</w:t>
      </w:r>
      <w:r w:rsidRPr="00CB6420">
        <w:rPr>
          <w:lang w:val="sr-Cyrl-CS"/>
        </w:rPr>
        <w:t>“</w:t>
      </w:r>
      <w:r w:rsidRPr="00CB6420">
        <w:rPr>
          <w:lang w:val="ru-RU"/>
        </w:rPr>
        <w:t>, бр.124/12</w:t>
      </w:r>
      <w:r w:rsidRPr="00CB6420">
        <w:rPr>
          <w:lang w:val="sr-Cyrl-CS"/>
        </w:rPr>
        <w:t>, 14/2015 и 68/15</w:t>
      </w:r>
      <w:r w:rsidRPr="00CB6420">
        <w:rPr>
          <w:lang w:val="ru-RU"/>
        </w:rPr>
        <w:t>), Министарство</w:t>
      </w:r>
      <w:r w:rsidRPr="00CB6420">
        <w:rPr>
          <w:lang w:val="sr-Cyrl-CS"/>
        </w:rPr>
        <w:t xml:space="preserve"> за рад, запошљавање, борачка  и социјална питања</w:t>
      </w:r>
      <w:r w:rsidRPr="00CB6420">
        <w:rPr>
          <w:lang w:val="ru-RU"/>
        </w:rPr>
        <w:t xml:space="preserve"> на </w:t>
      </w:r>
      <w:r w:rsidR="005E76B8">
        <w:rPr>
          <w:lang w:val="ru-RU"/>
        </w:rPr>
        <w:t>указивање неправилности у конкурсној документацији</w:t>
      </w:r>
      <w:r w:rsidRPr="00CB6420">
        <w:rPr>
          <w:lang w:val="ru-RU"/>
        </w:rPr>
        <w:t>, доставља следећ</w:t>
      </w:r>
      <w:r w:rsidR="005E76B8">
        <w:rPr>
          <w:lang w:val="sr-Cyrl-CS"/>
        </w:rPr>
        <w:t>и</w:t>
      </w:r>
      <w:r w:rsidRPr="00CB6420">
        <w:rPr>
          <w:lang w:val="ru-RU"/>
        </w:rPr>
        <w:t xml:space="preserve"> одговор:</w:t>
      </w:r>
    </w:p>
    <w:p w:rsidR="00D46D45" w:rsidRPr="00CB6420" w:rsidRDefault="00D46D45" w:rsidP="00D46D45">
      <w:pPr>
        <w:pStyle w:val="BodyTextIndent"/>
        <w:spacing w:after="0"/>
        <w:ind w:left="0"/>
        <w:jc w:val="both"/>
        <w:rPr>
          <w:lang w:val="sr-Cyrl-CS"/>
        </w:rPr>
      </w:pPr>
    </w:p>
    <w:p w:rsidR="002F6213" w:rsidRDefault="00783572" w:rsidP="0033231F">
      <w:pPr>
        <w:jc w:val="both"/>
        <w:rPr>
          <w:b/>
          <w:bCs/>
          <w:lang w:val="sr-Cyrl-CS"/>
        </w:rPr>
      </w:pPr>
      <w:r w:rsidRPr="00CB6420">
        <w:rPr>
          <w:b/>
          <w:bCs/>
          <w:lang w:val="sr-Cyrl-CS"/>
        </w:rPr>
        <w:t>ПИТАЊЕ 1</w:t>
      </w:r>
      <w:r w:rsidR="004045B4" w:rsidRPr="00CB6420">
        <w:rPr>
          <w:b/>
          <w:bCs/>
          <w:lang w:val="sr-Cyrl-CS"/>
        </w:rPr>
        <w:t xml:space="preserve">: </w:t>
      </w:r>
    </w:p>
    <w:p w:rsidR="00EC6254" w:rsidRPr="00CB6420" w:rsidRDefault="00EC6254" w:rsidP="0033231F">
      <w:pPr>
        <w:jc w:val="both"/>
      </w:pPr>
      <w:r w:rsidRPr="00CB6420">
        <w:t>Желели бисмо овим путем да вам укажамо на одре</w:t>
      </w:r>
      <w:r w:rsidRPr="00CB6420">
        <w:rPr>
          <w:lang w:val="sr-Cyrl-RS"/>
        </w:rPr>
        <w:t>ђ</w:t>
      </w:r>
      <w:r w:rsidRPr="00CB6420">
        <w:t xml:space="preserve">ене неправилности и недостатке у условима наведненим за Јавну набавку услуга организовања присуствовања комеморативним свечаностима у иностранству ради обележавања значајних историјских догађаја из ослободилачких ратова </w:t>
      </w:r>
      <w:r w:rsidRPr="00CB6420">
        <w:rPr>
          <w:lang w:val="sr-Cyrl-RS"/>
        </w:rPr>
        <w:t>С</w:t>
      </w:r>
      <w:r w:rsidRPr="00CB6420">
        <w:t xml:space="preserve">рбије у 2017. години по партијама за потребе </w:t>
      </w:r>
      <w:r w:rsidRPr="00CB6420">
        <w:rPr>
          <w:lang w:val="sr-Cyrl-RS"/>
        </w:rPr>
        <w:t>М</w:t>
      </w:r>
      <w:r w:rsidRPr="00CB6420">
        <w:t xml:space="preserve">инистарства за рад, запошљавање, борачка и социјална питања ЈН 3/2017. </w:t>
      </w:r>
    </w:p>
    <w:p w:rsidR="0033231F" w:rsidRDefault="00EC6254" w:rsidP="00EC6254">
      <w:pPr>
        <w:spacing w:before="100" w:beforeAutospacing="1"/>
        <w:jc w:val="both"/>
      </w:pPr>
      <w:r w:rsidRPr="00CB6420">
        <w:t>Конкретно, желимо да скренемо пажњу на услов квалитета  тј. укупну вредност референтне листе (наруцилац дефини</w:t>
      </w:r>
      <w:r w:rsidRPr="00CB6420">
        <w:rPr>
          <w:lang w:val="sr-Cyrl-RS"/>
        </w:rPr>
        <w:t>ш</w:t>
      </w:r>
      <w:r w:rsidRPr="00CB6420">
        <w:t>е као услов квалитета вредност референтне листе понуђача тј. Укупну вредност у динарима без урачунатог пдв- а пружених услуга које су предмет ове јавне набавке, за период од претходне 3 (три) године (2014,2015. и 2016. година), рачунајући од датума објављивања позива за подношење понуде за ову јавну набавку) који представља допунски услов за оцену путем критеријума “економски најповољније понуде”. Наиме, ова услов због тога што доноси најве</w:t>
      </w:r>
      <w:r w:rsidRPr="00CB6420">
        <w:rPr>
          <w:lang w:val="sr-Cyrl-RS"/>
        </w:rPr>
        <w:t>ћ</w:t>
      </w:r>
      <w:r w:rsidRPr="00CB6420">
        <w:t>и број бодова – односно 60 бодова је подложан манипулацијама и представља дискриминаторски услов. У поре</w:t>
      </w:r>
      <w:r w:rsidRPr="00CB6420">
        <w:rPr>
          <w:lang w:val="sr-Cyrl-RS"/>
        </w:rPr>
        <w:t>ђ</w:t>
      </w:r>
      <w:r w:rsidRPr="00CB6420">
        <w:t>ењу са пону</w:t>
      </w:r>
      <w:r w:rsidRPr="00CB6420">
        <w:rPr>
          <w:lang w:val="sr-Cyrl-RS"/>
        </w:rPr>
        <w:t>ђ</w:t>
      </w:r>
      <w:r w:rsidRPr="00CB6420">
        <w:t xml:space="preserve">еном ценом која као обавезан критеријум доноси максимално 40 бодова, онај понуђач који има највишу референтну листу ће добити овај конкурс иако неки други понуђач понуди најнижу цену, тако да се цена као услов поставља у оваквом бодовању као потпуно ирелавантан (осим у </w:t>
      </w:r>
      <w:r w:rsidRPr="00CB6420">
        <w:lastRenderedPageBreak/>
        <w:t>случају да два понуђача имају исту или скоро индентичну референт листу, па да онда цена као услов има одлучујућу улогу, а вероватновћа да се такав сценарио догоди је изузетно мала, скоро па занемарљива). Оваква ситуација се дешава због постављене формуле где се код референтне листе износ референтне листе поможене са 60 дели са највећом реф. листом те је делилац знатно већи од делиоца који се користи код понуђене цене, па сви понуђачи са нижом реф. листом добијају знатно нижи количник него код калкулације за цену</w:t>
      </w:r>
      <w:r w:rsidR="0033231F">
        <w:t>.</w:t>
      </w:r>
    </w:p>
    <w:p w:rsidR="00EC6254" w:rsidRPr="00CB6420" w:rsidRDefault="00EC6254" w:rsidP="00EC6254">
      <w:pPr>
        <w:spacing w:before="100" w:beforeAutospacing="1"/>
        <w:jc w:val="both"/>
      </w:pPr>
      <w:r w:rsidRPr="00CB6420">
        <w:t>Оваквим одре</w:t>
      </w:r>
      <w:r w:rsidRPr="00CB6420">
        <w:rPr>
          <w:lang w:val="sr-Cyrl-RS"/>
        </w:rPr>
        <w:t>ђ</w:t>
      </w:r>
      <w:r w:rsidRPr="00CB6420">
        <w:t>ивањем критеријума се сви пону</w:t>
      </w:r>
      <w:r w:rsidRPr="00CB6420">
        <w:rPr>
          <w:lang w:val="sr-Cyrl-RS"/>
        </w:rPr>
        <w:t>ђ</w:t>
      </w:r>
      <w:r w:rsidRPr="00CB6420">
        <w:t>а</w:t>
      </w:r>
      <w:r w:rsidRPr="00CB6420">
        <w:rPr>
          <w:lang w:val="sr-Cyrl-RS"/>
        </w:rPr>
        <w:t>ч</w:t>
      </w:r>
      <w:r w:rsidRPr="00CB6420">
        <w:t>и стављају у дискриминаторски поло</w:t>
      </w:r>
      <w:r w:rsidRPr="00CB6420">
        <w:rPr>
          <w:lang w:val="sr-Cyrl-RS"/>
        </w:rPr>
        <w:t>ж</w:t>
      </w:r>
      <w:r w:rsidRPr="00CB6420">
        <w:t>ај у односу на оног пону</w:t>
      </w:r>
      <w:r w:rsidRPr="00CB6420">
        <w:rPr>
          <w:lang w:val="sr-Cyrl-RS"/>
        </w:rPr>
        <w:t>ђ</w:t>
      </w:r>
      <w:r w:rsidRPr="00CB6420">
        <w:t>а</w:t>
      </w:r>
      <w:r w:rsidRPr="00CB6420">
        <w:rPr>
          <w:lang w:val="sr-Cyrl-RS"/>
        </w:rPr>
        <w:t>ч</w:t>
      </w:r>
      <w:r w:rsidRPr="00CB6420">
        <w:t>а који има најви</w:t>
      </w:r>
      <w:r w:rsidRPr="00CB6420">
        <w:rPr>
          <w:lang w:val="sr-Cyrl-RS"/>
        </w:rPr>
        <w:t>ш</w:t>
      </w:r>
      <w:r w:rsidRPr="00CB6420">
        <w:t>у вредост референте листе. Други разлог дискриминације се јавља због тога што осим што понуђач који има најви</w:t>
      </w:r>
      <w:r w:rsidRPr="00CB6420">
        <w:rPr>
          <w:lang w:val="sr-Cyrl-RS"/>
        </w:rPr>
        <w:t>ш</w:t>
      </w:r>
      <w:r w:rsidRPr="00CB6420">
        <w:t>у вредност референтне листе добија максималан број бодова 60 + пондери од цене, је тај што то лице добија све партије за  предметне јавне набавке за које је конкурисао без обзира на то коју цену понуди он или други пону</w:t>
      </w:r>
      <w:r w:rsidRPr="00CB6420">
        <w:rPr>
          <w:lang w:val="sr-Cyrl-RS"/>
        </w:rPr>
        <w:t>ђ</w:t>
      </w:r>
      <w:r w:rsidRPr="00CB6420">
        <w:t>а</w:t>
      </w:r>
      <w:r w:rsidRPr="00CB6420">
        <w:rPr>
          <w:lang w:val="sr-Cyrl-RS"/>
        </w:rPr>
        <w:t>ч</w:t>
      </w:r>
      <w:r w:rsidRPr="00CB6420">
        <w:t>и у било којој од партија. То зна</w:t>
      </w:r>
      <w:r w:rsidRPr="00CB6420">
        <w:rPr>
          <w:lang w:val="sr-Cyrl-RS"/>
        </w:rPr>
        <w:t>ч</w:t>
      </w:r>
      <w:r w:rsidRPr="00CB6420">
        <w:t xml:space="preserve">и да он може имати највишу цену (која не представља економски најповољнију понуду) а да ипак добије целокупну јавну набавку. Критиријум је такав да лице са најбољом референтном листом засигурно добија све партије на којима је конукрисао, тако да може добити целу јавну набавку. Тиме се директно крше одредбе </w:t>
      </w:r>
      <w:r w:rsidRPr="00CB6420">
        <w:rPr>
          <w:lang w:val="sr-Cyrl-RS"/>
        </w:rPr>
        <w:t>чл</w:t>
      </w:r>
      <w:r w:rsidRPr="00CB6420">
        <w:t xml:space="preserve">. 76. </w:t>
      </w:r>
      <w:r w:rsidRPr="00CB6420">
        <w:rPr>
          <w:lang w:val="sr-Cyrl-RS"/>
        </w:rPr>
        <w:t>с</w:t>
      </w:r>
      <w:r w:rsidRPr="00CB6420">
        <w:t xml:space="preserve">т. 6 и 84. </w:t>
      </w:r>
      <w:r w:rsidRPr="00CB6420">
        <w:rPr>
          <w:lang w:val="sr-Cyrl-RS"/>
        </w:rPr>
        <w:t>чл</w:t>
      </w:r>
      <w:r w:rsidRPr="00CB6420">
        <w:t xml:space="preserve">. 2 Закона о јавним набавкама и </w:t>
      </w:r>
      <w:r w:rsidRPr="00CB6420">
        <w:rPr>
          <w:lang w:val="sr-Cyrl-RS"/>
        </w:rPr>
        <w:t>ч</w:t>
      </w:r>
      <w:r w:rsidRPr="00CB6420">
        <w:t xml:space="preserve">л. 84. </w:t>
      </w:r>
      <w:r w:rsidRPr="00CB6420">
        <w:rPr>
          <w:lang w:val="sr-Cyrl-RS"/>
        </w:rPr>
        <w:t>с</w:t>
      </w:r>
      <w:r w:rsidRPr="00CB6420">
        <w:t xml:space="preserve">т. 2. Устава </w:t>
      </w:r>
      <w:r w:rsidR="00CB6420" w:rsidRPr="00CB6420">
        <w:rPr>
          <w:lang w:val="sr-Cyrl-RS"/>
        </w:rPr>
        <w:t>рс</w:t>
      </w:r>
      <w:r w:rsidRPr="00CB6420">
        <w:t>.</w:t>
      </w:r>
    </w:p>
    <w:p w:rsidR="00EC6254" w:rsidRPr="00CB6420" w:rsidRDefault="00EC6254" w:rsidP="00EC6254">
      <w:pPr>
        <w:spacing w:before="100" w:beforeAutospacing="1"/>
        <w:jc w:val="both"/>
      </w:pPr>
      <w:r w:rsidRPr="00CB6420">
        <w:t>Уз то, вредност пру</w:t>
      </w:r>
      <w:r w:rsidRPr="00CB6420">
        <w:rPr>
          <w:lang w:val="sr-Cyrl-RS"/>
        </w:rPr>
        <w:t>ж</w:t>
      </w:r>
      <w:r w:rsidRPr="00CB6420">
        <w:t>ених услуга у предходне 3 године организације меморијалног туризма, организације путовања, манифестација и стручно-студијских путовања не могу објективно бити показатељ квалитета организовања, ве</w:t>
      </w:r>
      <w:r w:rsidR="00CB6420" w:rsidRPr="00CB6420">
        <w:rPr>
          <w:lang w:val="sr-Cyrl-RS"/>
        </w:rPr>
        <w:t>ћ</w:t>
      </w:r>
      <w:r w:rsidRPr="00CB6420">
        <w:t xml:space="preserve"> само доказ о извр</w:t>
      </w:r>
      <w:r w:rsidR="00CB6420" w:rsidRPr="00CB6420">
        <w:rPr>
          <w:lang w:val="sr-Cyrl-RS"/>
        </w:rPr>
        <w:t>ш</w:t>
      </w:r>
      <w:r w:rsidRPr="00CB6420">
        <w:t>ењу других услуга које су предмет ове јавне набавке. Они ни на какав начин не указују да су наручиоци, односно путници били заиста задовољни извршеним услогама, а тако</w:t>
      </w:r>
      <w:r w:rsidR="00CB6420" w:rsidRPr="00CB6420">
        <w:rPr>
          <w:lang w:val="sr-Cyrl-RS"/>
        </w:rPr>
        <w:t>ђ</w:t>
      </w:r>
      <w:r w:rsidRPr="00CB6420">
        <w:t>е овај критеријум није веродостојан и подложан је разним врстама манипулација и намештања ради добијања ове јавне  набавке. Такође исти критеријум фаворизује прошлогодишњег извођача ове јавне набавке у вашем министарству јер је на идентичан начин (на основу најбоље референтне листе) имао највиши број бодова и у 2016. години је извршио за ваше министарство свих 8 партија у укупном износу од нешто мање од 16.000.000,00 динара који се додају на износ референтне листе за 2014 и 2015. годину а са којима је победио на прошлогодишњем конкурсу. Тиме се ствара аутоматска и већ унапред предвиђена немогућност за друге понуђаче да добију тендер. Надаље, квалитет услуга  је тра</w:t>
      </w:r>
      <w:r w:rsidR="00CB6420" w:rsidRPr="00CB6420">
        <w:rPr>
          <w:lang w:val="sr-Cyrl-RS"/>
        </w:rPr>
        <w:t>ж</w:t>
      </w:r>
      <w:r w:rsidRPr="00CB6420">
        <w:t xml:space="preserve">ен као услов у склопу техничке спецификације партија (налази се у конкурсној докуемнтацији у глави </w:t>
      </w:r>
      <w:r w:rsidR="00CB6420" w:rsidRPr="00CB6420">
        <w:t>III</w:t>
      </w:r>
      <w:r w:rsidRPr="00CB6420">
        <w:t xml:space="preserve">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евентуалне додатне услуге и сл.)) Као нпр. превоз аутобусом до 5 година старости, но</w:t>
      </w:r>
      <w:r w:rsidR="00CB6420" w:rsidRPr="00CB6420">
        <w:t>ć</w:t>
      </w:r>
      <w:r w:rsidRPr="00CB6420">
        <w:t>ење у хотелу  категоризације 3 звездице, итд… тиме је наручилац аутоматски квалитет услуга предвидео као обавезан услов који је било који понуђач дужан да обезбеди уколико добије јавну набавку.</w:t>
      </w:r>
    </w:p>
    <w:p w:rsidR="00EC6254" w:rsidRPr="00CB6420" w:rsidRDefault="00EC6254" w:rsidP="00EC6254">
      <w:pPr>
        <w:spacing w:before="100" w:beforeAutospacing="1"/>
        <w:jc w:val="both"/>
      </w:pPr>
      <w:r w:rsidRPr="00CB6420">
        <w:t>На основу овог начина бодовања може се десити да буде изабрана понуда понуђача који је понудио и највишу цену, а што на основу сваког логичког резоновања не представља економски најповољнију понуду. Нару</w:t>
      </w:r>
      <w:r w:rsidR="00CB6420" w:rsidRPr="00CB6420">
        <w:rPr>
          <w:lang w:val="sr-Cyrl-RS"/>
        </w:rPr>
        <w:t>ч</w:t>
      </w:r>
      <w:r w:rsidRPr="00CB6420">
        <w:t>илац није образло</w:t>
      </w:r>
      <w:r w:rsidR="00CB6420" w:rsidRPr="00CB6420">
        <w:rPr>
          <w:lang w:val="sr-Cyrl-RS"/>
        </w:rPr>
        <w:t>ж</w:t>
      </w:r>
      <w:r w:rsidRPr="00CB6420">
        <w:t xml:space="preserve">ио разлог овакваког бодовања, и због </w:t>
      </w:r>
      <w:r w:rsidR="00CB6420" w:rsidRPr="00CB6420">
        <w:rPr>
          <w:lang w:val="sr-Cyrl-RS"/>
        </w:rPr>
        <w:t>ч</w:t>
      </w:r>
      <w:r w:rsidRPr="00CB6420">
        <w:t>ега “квалитет” има предност над најнижом пону</w:t>
      </w:r>
      <w:r w:rsidR="00CB6420" w:rsidRPr="00CB6420">
        <w:rPr>
          <w:lang w:val="sr-Cyrl-RS"/>
        </w:rPr>
        <w:t>ђ</w:t>
      </w:r>
      <w:r w:rsidRPr="00CB6420">
        <w:t>еном ценом која због тога преставља фиктиван критеријум за избор економски најповољније понуде.</w:t>
      </w:r>
    </w:p>
    <w:p w:rsidR="00EC6254" w:rsidRPr="00CB6420" w:rsidRDefault="00EC6254" w:rsidP="00EC6254">
      <w:pPr>
        <w:spacing w:line="276" w:lineRule="auto"/>
        <w:jc w:val="both"/>
        <w:rPr>
          <w:rFonts w:eastAsiaTheme="minorHAnsi"/>
        </w:rPr>
      </w:pPr>
    </w:p>
    <w:p w:rsidR="00EC6254" w:rsidRDefault="00EC6254" w:rsidP="00E764BA">
      <w:pPr>
        <w:jc w:val="both"/>
        <w:rPr>
          <w:rFonts w:eastAsiaTheme="minorHAnsi"/>
        </w:rPr>
      </w:pPr>
      <w:r w:rsidRPr="00CB6420">
        <w:rPr>
          <w:rFonts w:eastAsiaTheme="minorHAnsi"/>
        </w:rPr>
        <w:lastRenderedPageBreak/>
        <w:t xml:space="preserve">Стога желимо сходно чл. 63. </w:t>
      </w:r>
      <w:r w:rsidR="00CB6420" w:rsidRPr="00CB6420">
        <w:rPr>
          <w:rFonts w:eastAsiaTheme="minorHAnsi"/>
          <w:lang w:val="sr-Cyrl-RS"/>
        </w:rPr>
        <w:t>с</w:t>
      </w:r>
      <w:r w:rsidRPr="00CB6420">
        <w:rPr>
          <w:rFonts w:eastAsiaTheme="minorHAnsi"/>
        </w:rPr>
        <w:t xml:space="preserve">т. 2 да као један од заинтересованих лица и понуђача на овој јавној набавци укажемо наручиоцу на наведене нереглуларности у начину бодовања и могућности дискриминисања осталих понуђача и укажемо му на супротност са одредбама </w:t>
      </w:r>
      <w:r w:rsidR="00CB6420" w:rsidRPr="00CB6420">
        <w:rPr>
          <w:rFonts w:eastAsiaTheme="minorHAnsi"/>
          <w:lang w:val="sr-Cyrl-RS"/>
        </w:rPr>
        <w:t>ч</w:t>
      </w:r>
      <w:r w:rsidRPr="00CB6420">
        <w:rPr>
          <w:rFonts w:eastAsiaTheme="minorHAnsi"/>
        </w:rPr>
        <w:t xml:space="preserve">л. 76. </w:t>
      </w:r>
      <w:r w:rsidR="00CB6420" w:rsidRPr="00CB6420">
        <w:rPr>
          <w:rFonts w:eastAsiaTheme="minorHAnsi"/>
          <w:lang w:val="sr-Cyrl-RS"/>
        </w:rPr>
        <w:t>с</w:t>
      </w:r>
      <w:r w:rsidRPr="00CB6420">
        <w:rPr>
          <w:rFonts w:eastAsiaTheme="minorHAnsi"/>
        </w:rPr>
        <w:t xml:space="preserve">т. 6 и 84. </w:t>
      </w:r>
      <w:r w:rsidR="00CB6420" w:rsidRPr="00CB6420">
        <w:rPr>
          <w:rFonts w:eastAsiaTheme="minorHAnsi"/>
          <w:lang w:val="sr-Cyrl-RS"/>
        </w:rPr>
        <w:t>с</w:t>
      </w:r>
      <w:r w:rsidRPr="00CB6420">
        <w:rPr>
          <w:rFonts w:eastAsiaTheme="minorHAnsi"/>
        </w:rPr>
        <w:t xml:space="preserve">т. 2 Закона о јавним набавкама и </w:t>
      </w:r>
      <w:r w:rsidR="00CB6420" w:rsidRPr="00CB6420">
        <w:rPr>
          <w:rFonts w:eastAsiaTheme="minorHAnsi"/>
          <w:lang w:val="sr-Cyrl-RS"/>
        </w:rPr>
        <w:t>ч</w:t>
      </w:r>
      <w:r w:rsidRPr="00CB6420">
        <w:rPr>
          <w:rFonts w:eastAsiaTheme="minorHAnsi"/>
        </w:rPr>
        <w:t xml:space="preserve">л. 84. </w:t>
      </w:r>
      <w:r w:rsidR="00CB6420" w:rsidRPr="00CB6420">
        <w:rPr>
          <w:rFonts w:eastAsiaTheme="minorHAnsi"/>
          <w:lang w:val="sr-Cyrl-RS"/>
        </w:rPr>
        <w:t>с</w:t>
      </w:r>
      <w:r w:rsidRPr="00CB6420">
        <w:rPr>
          <w:rFonts w:eastAsiaTheme="minorHAnsi"/>
        </w:rPr>
        <w:t xml:space="preserve">т. 2. Устава </w:t>
      </w:r>
      <w:r w:rsidR="00CB6420" w:rsidRPr="00CB6420">
        <w:rPr>
          <w:rFonts w:eastAsiaTheme="minorHAnsi"/>
          <w:lang w:val="sr-Cyrl-RS"/>
        </w:rPr>
        <w:t>рс</w:t>
      </w:r>
      <w:r w:rsidRPr="00CB6420">
        <w:rPr>
          <w:rFonts w:eastAsiaTheme="minorHAnsi"/>
        </w:rPr>
        <w:t xml:space="preserve">, те га позовемо да исти начин бодовања коригује у складу са уставом и законом, да не бих били принуђени да у даљем току поступка заштиту наших права као понуђача у овој јавној набавци подносимо путем захтева за заштиту потрошача Републичкој комисији за заштиту права у поступцима јавних набавки, као и путем Уставне жалбу Уставном суду РС и другим јавним надлежним органима за разлику од прошле године када то нисмо урадили на молбу И притисак Вашег државног секретара за кога се на све стране па и у средствима јавног информисања прича да је велики манипулатор и јако подложан корупцији.  </w:t>
      </w:r>
    </w:p>
    <w:p w:rsidR="00E764BA" w:rsidRDefault="00E764BA" w:rsidP="00EC6254">
      <w:pPr>
        <w:spacing w:after="200" w:line="276" w:lineRule="auto"/>
        <w:jc w:val="both"/>
        <w:rPr>
          <w:rFonts w:eastAsiaTheme="minorHAnsi"/>
          <w:b/>
          <w:lang w:val="sr-Cyrl-RS"/>
        </w:rPr>
      </w:pPr>
    </w:p>
    <w:p w:rsidR="00CB6420" w:rsidRPr="00CB6420" w:rsidRDefault="00CB6420" w:rsidP="002D2DD3">
      <w:pPr>
        <w:jc w:val="both"/>
        <w:rPr>
          <w:rFonts w:eastAsiaTheme="minorHAnsi"/>
          <w:b/>
          <w:lang w:val="sr-Cyrl-RS"/>
        </w:rPr>
      </w:pPr>
      <w:r w:rsidRPr="00CB6420">
        <w:rPr>
          <w:rFonts w:eastAsiaTheme="minorHAnsi"/>
          <w:b/>
          <w:lang w:val="sr-Cyrl-RS"/>
        </w:rPr>
        <w:t>ОДГОВОР 1:</w:t>
      </w:r>
    </w:p>
    <w:p w:rsidR="00CF72FA" w:rsidRPr="008F1050" w:rsidRDefault="009B64EA" w:rsidP="00CF72FA">
      <w:pPr>
        <w:autoSpaceDE w:val="0"/>
        <w:autoSpaceDN w:val="0"/>
        <w:adjustRightInd w:val="0"/>
        <w:jc w:val="both"/>
      </w:pPr>
      <w:r w:rsidRPr="008F1050">
        <w:rPr>
          <w:lang w:val="sr-Cyrl-RS"/>
        </w:rPr>
        <w:t>У складу са Законом о јавним набавкама н</w:t>
      </w:r>
      <w:r w:rsidR="00CF72FA" w:rsidRPr="008F1050">
        <w:t>аручилац у конкурсној документацији одређује додатне услове за учешће у поступку јавне набавке</w:t>
      </w:r>
      <w:r w:rsidRPr="008F1050">
        <w:t xml:space="preserve"> </w:t>
      </w:r>
      <w:r w:rsidR="00CF72FA" w:rsidRPr="008F1050">
        <w:t>у погледу финансијског,</w:t>
      </w:r>
      <w:r w:rsidR="00CF72FA" w:rsidRPr="008F1050">
        <w:rPr>
          <w:lang w:val="sr-Cyrl-RS"/>
        </w:rPr>
        <w:t xml:space="preserve"> </w:t>
      </w:r>
      <w:r w:rsidR="00CF72FA" w:rsidRPr="008F1050">
        <w:t>пословног, техничког и кадровског капацитета увек када је то потребно имајући у виду предмет јавне набавке.</w:t>
      </w:r>
      <w:r w:rsidR="00CF72FA" w:rsidRPr="008F1050">
        <w:rPr>
          <w:lang w:val="sr-Cyrl-RS"/>
        </w:rPr>
        <w:t xml:space="preserve"> </w:t>
      </w:r>
      <w:r w:rsidRPr="008F1050">
        <w:rPr>
          <w:lang w:val="sr-Cyrl-RS"/>
        </w:rPr>
        <w:t xml:space="preserve"> У предметној јавној набавци н</w:t>
      </w:r>
      <w:r w:rsidR="00CF72FA" w:rsidRPr="008F1050">
        <w:t>аручилац</w:t>
      </w:r>
      <w:r w:rsidRPr="008F1050">
        <w:rPr>
          <w:lang w:val="sr-Cyrl-RS"/>
        </w:rPr>
        <w:t xml:space="preserve"> је одредио</w:t>
      </w:r>
      <w:r w:rsidR="00CF72FA" w:rsidRPr="008F1050">
        <w:t xml:space="preserve"> услове за учешће у поступку </w:t>
      </w:r>
      <w:r w:rsidRPr="008F1050">
        <w:rPr>
          <w:lang w:val="sr-Cyrl-RS"/>
        </w:rPr>
        <w:t>који</w:t>
      </w:r>
      <w:r w:rsidR="00CF72FA" w:rsidRPr="008F1050">
        <w:t xml:space="preserve"> не дискриминишу понуђаче и  у логичкој</w:t>
      </w:r>
      <w:r w:rsidRPr="008F1050">
        <w:rPr>
          <w:lang w:val="sr-Cyrl-RS"/>
        </w:rPr>
        <w:t xml:space="preserve"> су</w:t>
      </w:r>
      <w:r w:rsidR="00CF72FA" w:rsidRPr="008F1050">
        <w:t xml:space="preserve"> вези са предметом</w:t>
      </w:r>
      <w:r w:rsidR="00CF72FA" w:rsidRPr="008F1050">
        <w:rPr>
          <w:lang w:val="sr-Cyrl-RS"/>
        </w:rPr>
        <w:t xml:space="preserve"> </w:t>
      </w:r>
      <w:r w:rsidR="00CF72FA" w:rsidRPr="008F1050">
        <w:t>јавне набавке.</w:t>
      </w:r>
    </w:p>
    <w:p w:rsidR="0033231F" w:rsidRDefault="0033231F" w:rsidP="008F1050">
      <w:pPr>
        <w:jc w:val="both"/>
        <w:rPr>
          <w:lang w:val="sr-Cyrl-RS"/>
        </w:rPr>
      </w:pPr>
    </w:p>
    <w:p w:rsidR="008F1050" w:rsidRPr="008F1050" w:rsidRDefault="008F1050" w:rsidP="008F1050">
      <w:pPr>
        <w:jc w:val="both"/>
      </w:pPr>
      <w:r w:rsidRPr="008F1050">
        <w:rPr>
          <w:lang w:val="sr-Cyrl-RS"/>
        </w:rPr>
        <w:t>Дефинисано је да п</w:t>
      </w:r>
      <w:r w:rsidRPr="008F1050">
        <w:t>онуђач</w:t>
      </w:r>
      <w:r w:rsidRPr="008F1050">
        <w:rPr>
          <w:lang w:val="sr-Cyrl-RS"/>
        </w:rPr>
        <w:t>и</w:t>
      </w:r>
      <w:r w:rsidRPr="008F1050">
        <w:t xml:space="preserve"> ко</w:t>
      </w:r>
      <w:r w:rsidRPr="008F1050">
        <w:t>ји учествују</w:t>
      </w:r>
      <w:r w:rsidRPr="008F1050">
        <w:t xml:space="preserve"> у поступку предметне јавне набавке мора</w:t>
      </w:r>
      <w:r w:rsidRPr="008F1050">
        <w:rPr>
          <w:lang w:val="sr-Cyrl-RS"/>
        </w:rPr>
        <w:t>ју</w:t>
      </w:r>
      <w:r w:rsidRPr="008F1050">
        <w:t xml:space="preserve"> испунити и </w:t>
      </w:r>
      <w:r w:rsidRPr="008F1050">
        <w:rPr>
          <w:bCs/>
        </w:rPr>
        <w:t>додатне услове</w:t>
      </w:r>
      <w:r w:rsidRPr="008F1050">
        <w:t xml:space="preserve"> дефинисане чланом 76. Закона, и то:</w:t>
      </w:r>
    </w:p>
    <w:p w:rsidR="0033231F" w:rsidRDefault="0033231F" w:rsidP="008F1050">
      <w:pPr>
        <w:suppressAutoHyphens/>
        <w:jc w:val="both"/>
      </w:pPr>
    </w:p>
    <w:p w:rsidR="008F1050" w:rsidRDefault="008F1050" w:rsidP="008F1050">
      <w:pPr>
        <w:suppressAutoHyphens/>
        <w:jc w:val="both"/>
      </w:pPr>
      <w:r w:rsidRPr="008F1050">
        <w:t xml:space="preserve">Да </w:t>
      </w:r>
      <w:r w:rsidRPr="008F1050">
        <w:rPr>
          <w:lang w:val="sr-Cyrl-CS"/>
        </w:rPr>
        <w:t>располажу</w:t>
      </w:r>
      <w:r w:rsidRPr="008F1050">
        <w:rPr>
          <w:lang w:val="sr-Cyrl-CS"/>
        </w:rPr>
        <w:t xml:space="preserve"> </w:t>
      </w:r>
      <w:r w:rsidRPr="008F1050">
        <w:rPr>
          <w:bCs/>
          <w:lang w:val="sr-Cyrl-CS"/>
        </w:rPr>
        <w:t>неопходним финансијским и кадровским капацитетом</w:t>
      </w:r>
      <w:r w:rsidRPr="008F1050">
        <w:rPr>
          <w:bCs/>
          <w:lang w:val="sr-Cyrl-CS"/>
        </w:rPr>
        <w:t xml:space="preserve">. </w:t>
      </w:r>
      <w:r w:rsidRPr="008F1050">
        <w:rPr>
          <w:lang w:val="ru-RU"/>
        </w:rPr>
        <w:t>Под довољним финансијским капацитетом подразумева се да је понуђач позитивно пословао у последње три обрачунске године</w:t>
      </w:r>
      <w:r w:rsidRPr="008F1050">
        <w:rPr>
          <w:lang w:val="ru-RU"/>
        </w:rPr>
        <w:t xml:space="preserve">. </w:t>
      </w:r>
      <w:r w:rsidRPr="008F1050">
        <w:rPr>
          <w:lang w:val="sr-Cyrl-CS"/>
        </w:rPr>
        <w:t xml:space="preserve"> </w:t>
      </w:r>
      <w:r w:rsidRPr="008F1050">
        <w:t xml:space="preserve">Под довољним кадровским капацитетом подразумева се да понуђач има </w:t>
      </w:r>
      <w:r w:rsidRPr="008F1050">
        <w:rPr>
          <w:lang w:val="sr-Cyrl-CS"/>
        </w:rPr>
        <w:t xml:space="preserve">у </w:t>
      </w:r>
      <w:r w:rsidRPr="008F1050">
        <w:t>радном односу на неодређено и/или одређено време најмање</w:t>
      </w:r>
      <w:r w:rsidRPr="008F1050">
        <w:rPr>
          <w:lang w:val="sr-Cyrl-CS"/>
        </w:rPr>
        <w:t xml:space="preserve"> пет</w:t>
      </w:r>
      <w:r w:rsidR="001C0BBA">
        <w:rPr>
          <w:lang w:val="sr-Cyrl-CS"/>
        </w:rPr>
        <w:t xml:space="preserve"> </w:t>
      </w:r>
      <w:r w:rsidRPr="008F1050">
        <w:rPr>
          <w:lang w:val="sr-Cyrl-CS"/>
        </w:rPr>
        <w:t>(</w:t>
      </w:r>
      <w:r w:rsidRPr="008F1050">
        <w:t>5</w:t>
      </w:r>
      <w:r w:rsidRPr="008F1050">
        <w:rPr>
          <w:lang w:val="sr-Cyrl-CS"/>
        </w:rPr>
        <w:t xml:space="preserve">) </w:t>
      </w:r>
      <w:r w:rsidRPr="008F1050">
        <w:t>лица,  која ће бити одговорна за извршење уговора и квалитет пружених услуга.</w:t>
      </w:r>
      <w:r w:rsidRPr="008F1050">
        <w:rPr>
          <w:lang w:val="sr-Cyrl-RS"/>
        </w:rPr>
        <w:t xml:space="preserve"> </w:t>
      </w:r>
      <w:r w:rsidRPr="008F1050">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8F1050">
        <w:rPr>
          <w:lang w:val="sr-Cyrl-RS"/>
        </w:rPr>
        <w:t xml:space="preserve"> </w:t>
      </w:r>
      <w:r w:rsidRPr="008F1050">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r>
        <w:t>.</w:t>
      </w:r>
    </w:p>
    <w:p w:rsidR="0033231F" w:rsidRDefault="0033231F" w:rsidP="0033231F">
      <w:pPr>
        <w:widowControl w:val="0"/>
        <w:spacing w:line="274" w:lineRule="exact"/>
        <w:ind w:left="20" w:right="20"/>
        <w:jc w:val="both"/>
        <w:rPr>
          <w:shd w:val="clear" w:color="auto" w:fill="FFFFFF"/>
          <w:lang w:val="sr-Cyrl-RS" w:eastAsia="ru-RU"/>
        </w:rPr>
      </w:pPr>
    </w:p>
    <w:p w:rsidR="00B61225" w:rsidRPr="006A02F3" w:rsidRDefault="00B61225" w:rsidP="0033231F">
      <w:pPr>
        <w:widowControl w:val="0"/>
        <w:spacing w:line="274" w:lineRule="exact"/>
        <w:ind w:left="20" w:right="20"/>
        <w:jc w:val="both"/>
        <w:rPr>
          <w:lang w:val="sr-Cyrl-RS"/>
        </w:rPr>
      </w:pPr>
      <w:r>
        <w:rPr>
          <w:shd w:val="clear" w:color="auto" w:fill="FFFFFF"/>
          <w:lang w:val="sr-Cyrl-RS" w:eastAsia="ru-RU"/>
        </w:rPr>
        <w:t xml:space="preserve">Квалитет услуга није садржан у техничкој спецификацији предметне јавне набавке јер старост аутобуса и категоризација хотела не представља квалитет </w:t>
      </w:r>
      <w:r w:rsidRPr="00CB6420">
        <w:rPr>
          <w:bCs/>
          <w:lang w:val="sr-Cyrl-CS"/>
        </w:rPr>
        <w:t>организовања присуствовања комеморативним свечаностима у иностранству ради обележавања значајних историјских догађаја из ослободилачких ратова Србије у 201</w:t>
      </w:r>
      <w:r w:rsidRPr="00CB6420">
        <w:rPr>
          <w:bCs/>
        </w:rPr>
        <w:t>7</w:t>
      </w:r>
      <w:r w:rsidRPr="00CB6420">
        <w:rPr>
          <w:bCs/>
          <w:lang w:val="sr-Cyrl-CS"/>
        </w:rPr>
        <w:t>. години</w:t>
      </w:r>
      <w:r>
        <w:rPr>
          <w:bCs/>
          <w:lang w:val="sr-Cyrl-CS"/>
        </w:rPr>
        <w:t xml:space="preserve"> већ техничку карактеристику предмета јавне набавке.</w:t>
      </w:r>
    </w:p>
    <w:p w:rsidR="0033231F" w:rsidRDefault="0033231F" w:rsidP="00172CCF">
      <w:pPr>
        <w:autoSpaceDE w:val="0"/>
        <w:autoSpaceDN w:val="0"/>
        <w:adjustRightInd w:val="0"/>
        <w:jc w:val="both"/>
      </w:pPr>
    </w:p>
    <w:p w:rsidR="00A5326C" w:rsidRPr="00A5326C" w:rsidRDefault="00A5326C" w:rsidP="00172CCF">
      <w:pPr>
        <w:autoSpaceDE w:val="0"/>
        <w:autoSpaceDN w:val="0"/>
        <w:adjustRightInd w:val="0"/>
        <w:jc w:val="both"/>
      </w:pPr>
      <w:r w:rsidRPr="00A5326C">
        <w:t>Наручилац је одреди</w:t>
      </w:r>
      <w:r w:rsidR="008F1050">
        <w:rPr>
          <w:lang w:val="sr-Cyrl-RS"/>
        </w:rPr>
        <w:t>о</w:t>
      </w:r>
      <w:r w:rsidRPr="00A5326C">
        <w:t xml:space="preserve"> исти критеријум и елементе критеријума за доделу уговора у позиву за подношење понуда и у</w:t>
      </w:r>
      <w:r w:rsidR="008F1050">
        <w:rPr>
          <w:lang w:val="sr-Cyrl-RS"/>
        </w:rPr>
        <w:t xml:space="preserve"> </w:t>
      </w:r>
      <w:r w:rsidRPr="00A5326C">
        <w:t>конкурсној документацији.</w:t>
      </w:r>
      <w:r w:rsidR="008F1050">
        <w:rPr>
          <w:lang w:val="sr-Cyrl-RS"/>
        </w:rPr>
        <w:t xml:space="preserve"> </w:t>
      </w:r>
      <w:r w:rsidRPr="00A5326C">
        <w:t>Елементи критеријума на основу којих наручилац додељује уговор  описани</w:t>
      </w:r>
      <w:r w:rsidR="008F1050">
        <w:rPr>
          <w:lang w:val="sr-Cyrl-RS"/>
        </w:rPr>
        <w:t xml:space="preserve"> су</w:t>
      </w:r>
      <w:r w:rsidRPr="00A5326C">
        <w:t xml:space="preserve"> и вредновани, </w:t>
      </w:r>
      <w:r w:rsidR="008F1050">
        <w:rPr>
          <w:lang w:val="sr-Cyrl-RS"/>
        </w:rPr>
        <w:t>нису</w:t>
      </w:r>
      <w:r w:rsidRPr="00A5326C">
        <w:t xml:space="preserve"> дискриминаторски</w:t>
      </w:r>
      <w:r w:rsidR="008F1050">
        <w:rPr>
          <w:lang w:val="sr-Cyrl-RS"/>
        </w:rPr>
        <w:t xml:space="preserve"> </w:t>
      </w:r>
      <w:r w:rsidRPr="00A5326C">
        <w:t xml:space="preserve">и </w:t>
      </w:r>
      <w:r w:rsidR="008F1050">
        <w:rPr>
          <w:lang w:val="sr-Cyrl-RS"/>
        </w:rPr>
        <w:t>у</w:t>
      </w:r>
      <w:r w:rsidRPr="00A5326C">
        <w:t xml:space="preserve"> логичкој</w:t>
      </w:r>
      <w:r w:rsidR="008F1050">
        <w:rPr>
          <w:lang w:val="sr-Cyrl-RS"/>
        </w:rPr>
        <w:t xml:space="preserve"> су</w:t>
      </w:r>
      <w:r w:rsidRPr="00A5326C">
        <w:t xml:space="preserve"> вези са предметом јавне набавке.</w:t>
      </w:r>
    </w:p>
    <w:p w:rsidR="00C356F5" w:rsidRDefault="00C356F5" w:rsidP="00172CCF">
      <w:pPr>
        <w:autoSpaceDE w:val="0"/>
        <w:autoSpaceDN w:val="0"/>
        <w:adjustRightInd w:val="0"/>
        <w:jc w:val="both"/>
      </w:pPr>
    </w:p>
    <w:p w:rsidR="00A5326C" w:rsidRPr="00A5326C" w:rsidRDefault="00A5326C" w:rsidP="00172CCF">
      <w:pPr>
        <w:autoSpaceDE w:val="0"/>
        <w:autoSpaceDN w:val="0"/>
        <w:adjustRightInd w:val="0"/>
        <w:jc w:val="both"/>
      </w:pPr>
      <w:r w:rsidRPr="00A5326C">
        <w:t>Наручилац</w:t>
      </w:r>
      <w:r w:rsidR="008F1050">
        <w:rPr>
          <w:lang w:val="sr-Cyrl-RS"/>
        </w:rPr>
        <w:t xml:space="preserve"> је</w:t>
      </w:r>
      <w:r w:rsidRPr="00A5326C">
        <w:t xml:space="preserve"> у </w:t>
      </w:r>
      <w:r w:rsidR="00DA0F66">
        <w:rPr>
          <w:lang w:val="sr-Cyrl-RS"/>
        </w:rPr>
        <w:t xml:space="preserve">позиву за подношење понуда и </w:t>
      </w:r>
      <w:r w:rsidRPr="00A5326C">
        <w:t>конкурсној документацији нав</w:t>
      </w:r>
      <w:r w:rsidR="008F1050">
        <w:rPr>
          <w:lang w:val="sr-Cyrl-RS"/>
        </w:rPr>
        <w:t>ео</w:t>
      </w:r>
      <w:r w:rsidRPr="00A5326C">
        <w:t>, опис</w:t>
      </w:r>
      <w:r w:rsidR="008F1050">
        <w:rPr>
          <w:lang w:val="sr-Cyrl-RS"/>
        </w:rPr>
        <w:t>ао</w:t>
      </w:r>
      <w:r w:rsidRPr="00A5326C">
        <w:t xml:space="preserve"> и вредн</w:t>
      </w:r>
      <w:r w:rsidR="008F1050">
        <w:rPr>
          <w:lang w:val="sr-Cyrl-RS"/>
        </w:rPr>
        <w:t>овао</w:t>
      </w:r>
      <w:r w:rsidRPr="00A5326C">
        <w:t xml:space="preserve"> критеријум</w:t>
      </w:r>
      <w:r w:rsidR="008F1050">
        <w:rPr>
          <w:lang w:val="sr-Cyrl-RS"/>
        </w:rPr>
        <w:t>е</w:t>
      </w:r>
      <w:r w:rsidRPr="00A5326C">
        <w:t xml:space="preserve"> и све елементе крите</w:t>
      </w:r>
      <w:r w:rsidR="008F1050">
        <w:t>ријума које намерава да примени</w:t>
      </w:r>
      <w:r w:rsidRPr="00A5326C">
        <w:t xml:space="preserve"> </w:t>
      </w:r>
      <w:r w:rsidR="008F1050">
        <w:rPr>
          <w:lang w:val="sr-Cyrl-RS"/>
        </w:rPr>
        <w:t xml:space="preserve">и </w:t>
      </w:r>
      <w:r w:rsidRPr="00A5326C">
        <w:t>посебно</w:t>
      </w:r>
      <w:r w:rsidR="008F1050">
        <w:rPr>
          <w:lang w:val="sr-Cyrl-RS"/>
        </w:rPr>
        <w:t xml:space="preserve"> је</w:t>
      </w:r>
      <w:r w:rsidRPr="00A5326C">
        <w:t xml:space="preserve"> нав</w:t>
      </w:r>
      <w:r w:rsidR="008F1050">
        <w:rPr>
          <w:lang w:val="sr-Cyrl-RS"/>
        </w:rPr>
        <w:t>ео</w:t>
      </w:r>
      <w:r w:rsidRPr="00A5326C">
        <w:t xml:space="preserve"> методологију за доделу пондера за сваки елемент критеријума</w:t>
      </w:r>
      <w:r w:rsidR="008F1050">
        <w:rPr>
          <w:lang w:val="sr-Cyrl-RS"/>
        </w:rPr>
        <w:t>.</w:t>
      </w:r>
      <w:r w:rsidRPr="00A5326C">
        <w:t xml:space="preserve"> </w:t>
      </w:r>
    </w:p>
    <w:p w:rsidR="00A5326C" w:rsidRPr="00A5326C" w:rsidRDefault="00A5326C" w:rsidP="00172CCF">
      <w:pPr>
        <w:autoSpaceDE w:val="0"/>
        <w:autoSpaceDN w:val="0"/>
        <w:adjustRightInd w:val="0"/>
        <w:jc w:val="both"/>
      </w:pPr>
      <w:bookmarkStart w:id="0" w:name="_GoBack"/>
      <w:bookmarkEnd w:id="0"/>
      <w:r w:rsidRPr="00A5326C">
        <w:lastRenderedPageBreak/>
        <w:t>Наручилац</w:t>
      </w:r>
      <w:r w:rsidR="008F1050">
        <w:rPr>
          <w:lang w:val="sr-Cyrl-RS"/>
        </w:rPr>
        <w:t xml:space="preserve"> је</w:t>
      </w:r>
      <w:r w:rsidRPr="00A5326C">
        <w:t xml:space="preserve"> одреди</w:t>
      </w:r>
      <w:r w:rsidR="008F1050">
        <w:rPr>
          <w:lang w:val="sr-Cyrl-RS"/>
        </w:rPr>
        <w:t>о</w:t>
      </w:r>
      <w:r w:rsidRPr="00A5326C">
        <w:t xml:space="preserve"> елементе критеријума, односно начин на основу којих ће доделити уговор у</w:t>
      </w:r>
      <w:r w:rsidR="008F1050">
        <w:rPr>
          <w:lang w:val="sr-Cyrl-RS"/>
        </w:rPr>
        <w:t xml:space="preserve"> </w:t>
      </w:r>
      <w:r w:rsidRPr="00A5326C">
        <w:t>ситуацији када постоје две или више понуда са једнаким бројем пондера</w:t>
      </w:r>
      <w:r w:rsidR="008F1050">
        <w:rPr>
          <w:lang w:val="sr-Cyrl-RS"/>
        </w:rPr>
        <w:t>.</w:t>
      </w:r>
    </w:p>
    <w:p w:rsidR="00C356F5" w:rsidRDefault="00C356F5" w:rsidP="00172CCF">
      <w:pPr>
        <w:autoSpaceDE w:val="0"/>
        <w:autoSpaceDN w:val="0"/>
        <w:adjustRightInd w:val="0"/>
        <w:jc w:val="both"/>
      </w:pPr>
    </w:p>
    <w:p w:rsidR="00A5326C" w:rsidRDefault="00A5326C" w:rsidP="00172CCF">
      <w:pPr>
        <w:autoSpaceDE w:val="0"/>
        <w:autoSpaceDN w:val="0"/>
        <w:adjustRightInd w:val="0"/>
        <w:jc w:val="both"/>
      </w:pPr>
      <w:r w:rsidRPr="00A5326C">
        <w:t>При оцењивању понуда наручилац</w:t>
      </w:r>
      <w:r w:rsidR="008F1050">
        <w:rPr>
          <w:lang w:val="sr-Cyrl-RS"/>
        </w:rPr>
        <w:t xml:space="preserve"> ће</w:t>
      </w:r>
      <w:r w:rsidRPr="00A5326C">
        <w:t xml:space="preserve"> примењ</w:t>
      </w:r>
      <w:r w:rsidR="008F1050">
        <w:rPr>
          <w:lang w:val="sr-Cyrl-RS"/>
        </w:rPr>
        <w:t>ивати</w:t>
      </w:r>
      <w:r w:rsidRPr="00A5326C">
        <w:t xml:space="preserve"> само он</w:t>
      </w:r>
      <w:r w:rsidR="008F1050">
        <w:rPr>
          <w:lang w:val="sr-Cyrl-RS"/>
        </w:rPr>
        <w:t>е</w:t>
      </w:r>
      <w:r w:rsidRPr="00A5326C">
        <w:t xml:space="preserve"> критеријум</w:t>
      </w:r>
      <w:r w:rsidR="008F1050">
        <w:rPr>
          <w:lang w:val="sr-Cyrl-RS"/>
        </w:rPr>
        <w:t>е</w:t>
      </w:r>
      <w:r w:rsidRPr="00A5326C">
        <w:t xml:space="preserve"> и елементе критеријума који су садржани у </w:t>
      </w:r>
      <w:r w:rsidR="00B61225">
        <w:rPr>
          <w:lang w:val="sr-Cyrl-RS"/>
        </w:rPr>
        <w:t xml:space="preserve">позиву за подношење понуда и </w:t>
      </w:r>
      <w:r w:rsidRPr="00A5326C">
        <w:t>конкурсној</w:t>
      </w:r>
      <w:r w:rsidR="008F1050">
        <w:rPr>
          <w:lang w:val="sr-Cyrl-RS"/>
        </w:rPr>
        <w:t xml:space="preserve"> </w:t>
      </w:r>
      <w:r w:rsidRPr="00A5326C">
        <w:t>документацији и то на начин како су описани и вредновани.</w:t>
      </w:r>
    </w:p>
    <w:p w:rsidR="008F1050" w:rsidRPr="00A5326C" w:rsidRDefault="008F1050" w:rsidP="00172CCF">
      <w:pPr>
        <w:autoSpaceDE w:val="0"/>
        <w:autoSpaceDN w:val="0"/>
        <w:adjustRightInd w:val="0"/>
        <w:jc w:val="both"/>
      </w:pPr>
    </w:p>
    <w:p w:rsidR="00A5326C" w:rsidRPr="00A5326C" w:rsidRDefault="00A5326C" w:rsidP="00172CCF">
      <w:pPr>
        <w:autoSpaceDE w:val="0"/>
        <w:autoSpaceDN w:val="0"/>
        <w:adjustRightInd w:val="0"/>
        <w:jc w:val="both"/>
      </w:pPr>
      <w:r w:rsidRPr="00A5326C">
        <w:t>Критеријум економски најповољније понуде</w:t>
      </w:r>
      <w:r w:rsidR="008F1050">
        <w:rPr>
          <w:lang w:val="sr-Cyrl-RS"/>
        </w:rPr>
        <w:t xml:space="preserve"> у предметној </w:t>
      </w:r>
      <w:r w:rsidR="00B61225">
        <w:rPr>
          <w:lang w:val="sr-Cyrl-RS"/>
        </w:rPr>
        <w:t>јавној набавци</w:t>
      </w:r>
      <w:r w:rsidRPr="00A5326C">
        <w:t xml:space="preserve"> заснива се на различитим елементима критеријума</w:t>
      </w:r>
      <w:r w:rsidR="008F1050">
        <w:rPr>
          <w:lang w:val="sr-Cyrl-RS"/>
        </w:rPr>
        <w:t xml:space="preserve"> који су у логичкој вези са предметом јавне набавке</w:t>
      </w:r>
      <w:r w:rsidR="008F1050">
        <w:t xml:space="preserve">, </w:t>
      </w:r>
      <w:r w:rsidR="008F1050">
        <w:rPr>
          <w:lang w:val="sr-Cyrl-RS"/>
        </w:rPr>
        <w:t xml:space="preserve">а то </w:t>
      </w:r>
      <w:r w:rsidRPr="00A5326C">
        <w:t>су:</w:t>
      </w:r>
      <w:r w:rsidR="008F1050">
        <w:rPr>
          <w:lang w:val="sr-Cyrl-RS"/>
        </w:rPr>
        <w:t xml:space="preserve"> </w:t>
      </w:r>
      <w:r w:rsidR="008F1050">
        <w:t xml:space="preserve"> понуђена цена и квалитет.</w:t>
      </w:r>
    </w:p>
    <w:p w:rsidR="00A5326C" w:rsidRDefault="00A5326C" w:rsidP="00172CCF">
      <w:pPr>
        <w:autoSpaceDE w:val="0"/>
        <w:autoSpaceDN w:val="0"/>
        <w:adjustRightInd w:val="0"/>
        <w:jc w:val="both"/>
      </w:pPr>
    </w:p>
    <w:p w:rsidR="00F10B80" w:rsidRPr="00EE2D97" w:rsidRDefault="00F10B80" w:rsidP="00172CCF">
      <w:pPr>
        <w:widowControl w:val="0"/>
        <w:spacing w:line="274" w:lineRule="exact"/>
        <w:ind w:left="20" w:right="20"/>
        <w:jc w:val="both"/>
        <w:rPr>
          <w:lang w:val="sr-Cyrl-RS"/>
        </w:rPr>
      </w:pPr>
      <w:r>
        <w:rPr>
          <w:shd w:val="clear" w:color="auto" w:fill="FFFFFF"/>
          <w:lang w:eastAsia="ru-RU"/>
        </w:rPr>
        <w:t>Као доказ о вредности пружених услуга, пону</w:t>
      </w:r>
      <w:r>
        <w:rPr>
          <w:shd w:val="clear" w:color="auto" w:fill="FFFFFF"/>
          <w:lang w:val="sr-Cyrl-CS" w:eastAsia="ru-RU"/>
        </w:rPr>
        <w:t>ђ</w:t>
      </w:r>
      <w:r>
        <w:rPr>
          <w:shd w:val="clear" w:color="auto" w:fill="FFFFFF"/>
          <w:lang w:eastAsia="ru-RU"/>
        </w:rPr>
        <w:t>ач у склопу сво</w:t>
      </w:r>
      <w:r>
        <w:rPr>
          <w:shd w:val="clear" w:color="auto" w:fill="FFFFFF"/>
          <w:lang w:val="sr-Cyrl-CS" w:eastAsia="ru-RU"/>
        </w:rPr>
        <w:t>ј</w:t>
      </w:r>
      <w:r>
        <w:rPr>
          <w:shd w:val="clear" w:color="auto" w:fill="FFFFFF"/>
          <w:lang w:eastAsia="ru-RU"/>
        </w:rPr>
        <w:t>е понуде достав</w:t>
      </w:r>
      <w:r>
        <w:rPr>
          <w:shd w:val="clear" w:color="auto" w:fill="FFFFFF"/>
          <w:lang w:val="sr-Cyrl-CS" w:eastAsia="ru-RU"/>
        </w:rPr>
        <w:t>љ</w:t>
      </w:r>
      <w:r>
        <w:rPr>
          <w:shd w:val="clear" w:color="auto" w:fill="FFFFFF"/>
          <w:lang w:eastAsia="ru-RU"/>
        </w:rPr>
        <w:t>а попу</w:t>
      </w:r>
      <w:r>
        <w:rPr>
          <w:shd w:val="clear" w:color="auto" w:fill="FFFFFF"/>
          <w:lang w:val="sr-Cyrl-CS" w:eastAsia="ru-RU"/>
        </w:rPr>
        <w:t>њ</w:t>
      </w:r>
      <w:r>
        <w:rPr>
          <w:shd w:val="clear" w:color="auto" w:fill="FFFFFF"/>
          <w:lang w:eastAsia="ru-RU"/>
        </w:rPr>
        <w:t>ену, печатирану и потписану Референтну листу (Образац бр.XIII</w:t>
      </w:r>
      <w:r>
        <w:rPr>
          <w:shd w:val="clear" w:color="auto" w:fill="FFFFFF"/>
          <w:lang w:val="sr-Cyrl-RS" w:eastAsia="ru-RU"/>
        </w:rPr>
        <w:t xml:space="preserve"> Конкурсне документације</w:t>
      </w:r>
      <w:r>
        <w:rPr>
          <w:shd w:val="clear" w:color="auto" w:fill="FFFFFF"/>
          <w:lang w:eastAsia="ru-RU"/>
        </w:rPr>
        <w:t>) са прате</w:t>
      </w:r>
      <w:r>
        <w:rPr>
          <w:shd w:val="clear" w:color="auto" w:fill="FFFFFF"/>
          <w:lang w:val="sr-Cyrl-CS" w:eastAsia="ru-RU"/>
        </w:rPr>
        <w:t>ћ</w:t>
      </w:r>
      <w:r>
        <w:rPr>
          <w:shd w:val="clear" w:color="auto" w:fill="FFFFFF"/>
          <w:lang w:eastAsia="ru-RU"/>
        </w:rPr>
        <w:t xml:space="preserve">им доказима </w:t>
      </w:r>
      <w:r>
        <w:rPr>
          <w:shd w:val="clear" w:color="auto" w:fill="FFFFFF"/>
        </w:rPr>
        <w:t xml:space="preserve">- </w:t>
      </w:r>
      <w:r>
        <w:rPr>
          <w:shd w:val="clear" w:color="auto" w:fill="FFFFFF"/>
          <w:lang w:eastAsia="ru-RU"/>
        </w:rPr>
        <w:t>О</w:t>
      </w:r>
      <w:r>
        <w:rPr>
          <w:shd w:val="clear" w:color="auto" w:fill="FFFFFF"/>
          <w:lang w:val="sr-Cyrl-CS" w:eastAsia="ru-RU"/>
        </w:rPr>
        <w:t>бр</w:t>
      </w:r>
      <w:r>
        <w:rPr>
          <w:shd w:val="clear" w:color="auto" w:fill="FFFFFF"/>
          <w:lang w:eastAsia="ru-RU"/>
        </w:rPr>
        <w:t>азац референтне потврде. Образац референтне потврде садржи податке о референтним Наручиоцима, врсти услуга, укупну вредност пружених услуга у динарима без урачунатог ПДВ-а, бро</w:t>
      </w:r>
      <w:r>
        <w:rPr>
          <w:shd w:val="clear" w:color="auto" w:fill="FFFFFF"/>
          <w:lang w:val="sr-Cyrl-CS" w:eastAsia="ru-RU"/>
        </w:rPr>
        <w:t>ј</w:t>
      </w:r>
      <w:r>
        <w:rPr>
          <w:shd w:val="clear" w:color="auto" w:fill="FFFFFF"/>
          <w:lang w:eastAsia="ru-RU"/>
        </w:rPr>
        <w:t>еве и датуме Уговора или рачуна на основу ко</w:t>
      </w:r>
      <w:r>
        <w:rPr>
          <w:shd w:val="clear" w:color="auto" w:fill="FFFFFF"/>
          <w:lang w:val="sr-Cyrl-CS" w:eastAsia="ru-RU"/>
        </w:rPr>
        <w:t>ј</w:t>
      </w:r>
      <w:r>
        <w:rPr>
          <w:shd w:val="clear" w:color="auto" w:fill="FFFFFF"/>
          <w:lang w:eastAsia="ru-RU"/>
        </w:rPr>
        <w:t xml:space="preserve">их </w:t>
      </w:r>
      <w:r>
        <w:rPr>
          <w:shd w:val="clear" w:color="auto" w:fill="FFFFFF"/>
          <w:lang w:val="sr-Cyrl-CS" w:eastAsia="ru-RU"/>
        </w:rPr>
        <w:t>ј</w:t>
      </w:r>
      <w:r>
        <w:rPr>
          <w:shd w:val="clear" w:color="auto" w:fill="FFFFFF"/>
          <w:lang w:eastAsia="ru-RU"/>
        </w:rPr>
        <w:t>е услуга пружана у траженом временском периоду. Референтни наручилац може бити дома</w:t>
      </w:r>
      <w:r>
        <w:rPr>
          <w:shd w:val="clear" w:color="auto" w:fill="FFFFFF"/>
          <w:lang w:val="sr-Cyrl-CS" w:eastAsia="ru-RU"/>
        </w:rPr>
        <w:t>ћ</w:t>
      </w:r>
      <w:r>
        <w:rPr>
          <w:shd w:val="clear" w:color="auto" w:fill="FFFFFF"/>
          <w:lang w:eastAsia="ru-RU"/>
        </w:rPr>
        <w:t>е или страно правно лице.</w:t>
      </w:r>
      <w:r w:rsidR="00EE2D97">
        <w:rPr>
          <w:shd w:val="clear" w:color="auto" w:fill="FFFFFF"/>
          <w:lang w:val="sr-Cyrl-RS" w:eastAsia="ru-RU"/>
        </w:rPr>
        <w:t xml:space="preserve"> Потврда представља доказ да је понуђач </w:t>
      </w:r>
      <w:r w:rsidR="00EE2D97">
        <w:rPr>
          <w:lang w:val="sr-Cyrl-CS"/>
        </w:rPr>
        <w:t>пружио квалитетно услуге:</w:t>
      </w:r>
      <w:r w:rsidR="00EE2D97">
        <w:rPr>
          <w:iCs/>
          <w:lang w:val="ru-RU"/>
        </w:rPr>
        <w:t xml:space="preserve"> организације меморијалног туризма; </w:t>
      </w:r>
      <w:r w:rsidR="00EE2D97">
        <w:rPr>
          <w:lang w:val="sr-Cyrl-CS"/>
        </w:rPr>
        <w:t>организације путовања; организација манифестација и организације стручно-с</w:t>
      </w:r>
      <w:r w:rsidR="00EE2D97">
        <w:rPr>
          <w:lang w:val="sr-Cyrl-CS"/>
        </w:rPr>
        <w:t>тудијских путовања.</w:t>
      </w:r>
    </w:p>
    <w:p w:rsidR="0033231F" w:rsidRDefault="0033231F" w:rsidP="0033231F">
      <w:pPr>
        <w:widowControl w:val="0"/>
        <w:spacing w:line="274" w:lineRule="exact"/>
        <w:ind w:left="20" w:right="20"/>
        <w:jc w:val="both"/>
        <w:rPr>
          <w:shd w:val="clear" w:color="auto" w:fill="FFFFFF"/>
          <w:lang w:eastAsia="ru-RU"/>
        </w:rPr>
      </w:pPr>
    </w:p>
    <w:p w:rsidR="00F10B80" w:rsidRDefault="00F10B80" w:rsidP="0033231F">
      <w:pPr>
        <w:widowControl w:val="0"/>
        <w:spacing w:line="274" w:lineRule="exact"/>
        <w:ind w:left="20" w:right="20"/>
        <w:jc w:val="both"/>
        <w:rPr>
          <w:shd w:val="clear" w:color="auto" w:fill="FFFFFF"/>
          <w:lang w:val="sr-Cyrl-CS" w:eastAsia="ru-RU"/>
        </w:rPr>
      </w:pPr>
      <w:r>
        <w:rPr>
          <w:shd w:val="clear" w:color="auto" w:fill="FFFFFF"/>
          <w:lang w:eastAsia="ru-RU"/>
        </w:rPr>
        <w:t>Референтну потврду достав</w:t>
      </w:r>
      <w:r>
        <w:rPr>
          <w:shd w:val="clear" w:color="auto" w:fill="FFFFFF"/>
          <w:lang w:val="sr-Cyrl-CS" w:eastAsia="ru-RU"/>
        </w:rPr>
        <w:t>љ</w:t>
      </w:r>
      <w:r>
        <w:rPr>
          <w:shd w:val="clear" w:color="auto" w:fill="FFFFFF"/>
          <w:lang w:eastAsia="ru-RU"/>
        </w:rPr>
        <w:t xml:space="preserve">ену на страном </w:t>
      </w:r>
      <w:r>
        <w:rPr>
          <w:shd w:val="clear" w:color="auto" w:fill="FFFFFF"/>
          <w:lang w:val="sr-Cyrl-CS" w:eastAsia="ru-RU"/>
        </w:rPr>
        <w:t>ј</w:t>
      </w:r>
      <w:r>
        <w:rPr>
          <w:shd w:val="clear" w:color="auto" w:fill="FFFFFF"/>
          <w:lang w:eastAsia="ru-RU"/>
        </w:rPr>
        <w:t>езику од стране страног референтног наручиоца, пону</w:t>
      </w:r>
      <w:r>
        <w:rPr>
          <w:shd w:val="clear" w:color="auto" w:fill="FFFFFF"/>
          <w:lang w:val="sr-Cyrl-CS" w:eastAsia="ru-RU"/>
        </w:rPr>
        <w:t>ђ</w:t>
      </w:r>
      <w:r>
        <w:rPr>
          <w:shd w:val="clear" w:color="auto" w:fill="FFFFFF"/>
          <w:lang w:eastAsia="ru-RU"/>
        </w:rPr>
        <w:t xml:space="preserve">ач мора доставити у преводу на српски </w:t>
      </w:r>
      <w:r>
        <w:rPr>
          <w:shd w:val="clear" w:color="auto" w:fill="FFFFFF"/>
          <w:lang w:val="sr-Cyrl-CS" w:eastAsia="ru-RU"/>
        </w:rPr>
        <w:t>ј</w:t>
      </w:r>
      <w:r>
        <w:rPr>
          <w:shd w:val="clear" w:color="auto" w:fill="FFFFFF"/>
          <w:lang w:eastAsia="ru-RU"/>
        </w:rPr>
        <w:t>език од стране надлежног органа (судског тумача или дипломатског представништва Републике Срби</w:t>
      </w:r>
      <w:r>
        <w:rPr>
          <w:shd w:val="clear" w:color="auto" w:fill="FFFFFF"/>
          <w:lang w:val="sr-Cyrl-CS" w:eastAsia="ru-RU"/>
        </w:rPr>
        <w:t>ј</w:t>
      </w:r>
      <w:r>
        <w:rPr>
          <w:shd w:val="clear" w:color="auto" w:fill="FFFFFF"/>
          <w:lang w:eastAsia="ru-RU"/>
        </w:rPr>
        <w:t>е у зем</w:t>
      </w:r>
      <w:r>
        <w:rPr>
          <w:shd w:val="clear" w:color="auto" w:fill="FFFFFF"/>
          <w:lang w:val="sr-Cyrl-CS" w:eastAsia="ru-RU"/>
        </w:rPr>
        <w:t>љ</w:t>
      </w:r>
      <w:r>
        <w:rPr>
          <w:shd w:val="clear" w:color="auto" w:fill="FFFFFF"/>
          <w:lang w:eastAsia="ru-RU"/>
        </w:rPr>
        <w:t>и референтног наручиоца или агенци</w:t>
      </w:r>
      <w:r>
        <w:rPr>
          <w:shd w:val="clear" w:color="auto" w:fill="FFFFFF"/>
          <w:lang w:val="sr-Cyrl-CS" w:eastAsia="ru-RU"/>
        </w:rPr>
        <w:t>ј</w:t>
      </w:r>
      <w:r>
        <w:rPr>
          <w:shd w:val="clear" w:color="auto" w:fill="FFFFFF"/>
          <w:lang w:eastAsia="ru-RU"/>
        </w:rPr>
        <w:t>е за превод регистроване у складу са важе</w:t>
      </w:r>
      <w:r>
        <w:rPr>
          <w:shd w:val="clear" w:color="auto" w:fill="FFFFFF"/>
          <w:lang w:val="sr-Cyrl-CS" w:eastAsia="ru-RU"/>
        </w:rPr>
        <w:t>ћ</w:t>
      </w:r>
      <w:r>
        <w:rPr>
          <w:shd w:val="clear" w:color="auto" w:fill="FFFFFF"/>
          <w:lang w:eastAsia="ru-RU"/>
        </w:rPr>
        <w:t>им прописима).</w:t>
      </w:r>
    </w:p>
    <w:p w:rsidR="0033231F" w:rsidRDefault="0033231F" w:rsidP="0033231F">
      <w:pPr>
        <w:widowControl w:val="0"/>
        <w:spacing w:line="274" w:lineRule="exact"/>
        <w:ind w:left="20" w:right="20"/>
        <w:jc w:val="both"/>
        <w:rPr>
          <w:shd w:val="clear" w:color="auto" w:fill="FFFFFF"/>
          <w:lang w:eastAsia="ru-RU"/>
        </w:rPr>
      </w:pPr>
    </w:p>
    <w:p w:rsidR="00F10B80" w:rsidRDefault="00F10B80" w:rsidP="0033231F">
      <w:pPr>
        <w:widowControl w:val="0"/>
        <w:spacing w:line="274" w:lineRule="exact"/>
        <w:ind w:left="20" w:right="20"/>
        <w:jc w:val="both"/>
      </w:pPr>
      <w:r>
        <w:rPr>
          <w:shd w:val="clear" w:color="auto" w:fill="FFFFFF"/>
          <w:lang w:eastAsia="ru-RU"/>
        </w:rPr>
        <w:t>Пону</w:t>
      </w:r>
      <w:r>
        <w:rPr>
          <w:shd w:val="clear" w:color="auto" w:fill="FFFFFF"/>
          <w:lang w:val="sr-Cyrl-CS" w:eastAsia="ru-RU"/>
        </w:rPr>
        <w:t>ђ</w:t>
      </w:r>
      <w:r>
        <w:rPr>
          <w:shd w:val="clear" w:color="auto" w:fill="FFFFFF"/>
          <w:lang w:eastAsia="ru-RU"/>
        </w:rPr>
        <w:t xml:space="preserve">ач може доставити уместо обрасца референтне потврде и потврду референтног Наручиоца издату на </w:t>
      </w:r>
      <w:r>
        <w:rPr>
          <w:shd w:val="clear" w:color="auto" w:fill="FFFFFF"/>
          <w:lang w:val="sr-Cyrl-CS" w:eastAsia="ru-RU"/>
        </w:rPr>
        <w:t>њ</w:t>
      </w:r>
      <w:r>
        <w:rPr>
          <w:shd w:val="clear" w:color="auto" w:fill="FFFFFF"/>
          <w:lang w:eastAsia="ru-RU"/>
        </w:rPr>
        <w:t xml:space="preserve">еговом обрасцу или формулару, под условом да исти садржи све елементе </w:t>
      </w:r>
      <w:r>
        <w:rPr>
          <w:shd w:val="clear" w:color="auto" w:fill="FFFFFF"/>
          <w:lang w:val="sr-Cyrl-CS" w:eastAsia="ru-RU"/>
        </w:rPr>
        <w:t>кој</w:t>
      </w:r>
      <w:r>
        <w:rPr>
          <w:shd w:val="clear" w:color="auto" w:fill="FFFFFF"/>
          <w:lang w:eastAsia="ru-RU"/>
        </w:rPr>
        <w:t>е садржи образац референтне потврде ко</w:t>
      </w:r>
      <w:r>
        <w:rPr>
          <w:shd w:val="clear" w:color="auto" w:fill="FFFFFF"/>
          <w:lang w:val="sr-Cyrl-CS" w:eastAsia="ru-RU"/>
        </w:rPr>
        <w:t>ј</w:t>
      </w:r>
      <w:r>
        <w:rPr>
          <w:shd w:val="clear" w:color="auto" w:fill="FFFFFF"/>
          <w:lang w:eastAsia="ru-RU"/>
        </w:rPr>
        <w:t xml:space="preserve">и </w:t>
      </w:r>
      <w:r>
        <w:rPr>
          <w:shd w:val="clear" w:color="auto" w:fill="FFFFFF"/>
          <w:lang w:val="sr-Cyrl-CS" w:eastAsia="ru-RU"/>
        </w:rPr>
        <w:t>ј</w:t>
      </w:r>
      <w:r>
        <w:rPr>
          <w:shd w:val="clear" w:color="auto" w:fill="FFFFFF"/>
          <w:lang w:eastAsia="ru-RU"/>
        </w:rPr>
        <w:t>е саставни део Конкурсне документаци</w:t>
      </w:r>
      <w:r>
        <w:rPr>
          <w:shd w:val="clear" w:color="auto" w:fill="FFFFFF"/>
          <w:lang w:val="sr-Cyrl-CS" w:eastAsia="ru-RU"/>
        </w:rPr>
        <w:t>ј</w:t>
      </w:r>
      <w:r>
        <w:rPr>
          <w:shd w:val="clear" w:color="auto" w:fill="FFFFFF"/>
          <w:lang w:eastAsia="ru-RU"/>
        </w:rPr>
        <w:t>е. Достав</w:t>
      </w:r>
      <w:r>
        <w:rPr>
          <w:shd w:val="clear" w:color="auto" w:fill="FFFFFF"/>
          <w:lang w:val="sr-Cyrl-CS" w:eastAsia="ru-RU"/>
        </w:rPr>
        <w:t>љ</w:t>
      </w:r>
      <w:r>
        <w:rPr>
          <w:shd w:val="clear" w:color="auto" w:fill="FFFFFF"/>
          <w:lang w:eastAsia="ru-RU"/>
        </w:rPr>
        <w:t>ени образац не мора бити оригинал може бити и копи</w:t>
      </w:r>
      <w:r>
        <w:rPr>
          <w:shd w:val="clear" w:color="auto" w:fill="FFFFFF"/>
          <w:lang w:val="sr-Cyrl-CS" w:eastAsia="ru-RU"/>
        </w:rPr>
        <w:t>ј</w:t>
      </w:r>
      <w:r>
        <w:rPr>
          <w:shd w:val="clear" w:color="auto" w:fill="FFFFFF"/>
          <w:lang w:eastAsia="ru-RU"/>
        </w:rPr>
        <w:t>а и примерак достав</w:t>
      </w:r>
      <w:r>
        <w:rPr>
          <w:shd w:val="clear" w:color="auto" w:fill="FFFFFF"/>
          <w:lang w:val="sr-Cyrl-CS" w:eastAsia="ru-RU"/>
        </w:rPr>
        <w:t>љ</w:t>
      </w:r>
      <w:r>
        <w:rPr>
          <w:shd w:val="clear" w:color="auto" w:fill="FFFFFF"/>
          <w:lang w:eastAsia="ru-RU"/>
        </w:rPr>
        <w:t>ен факсом.</w:t>
      </w:r>
    </w:p>
    <w:p w:rsidR="0033231F" w:rsidRDefault="0033231F" w:rsidP="0033231F">
      <w:pPr>
        <w:widowControl w:val="0"/>
        <w:spacing w:line="274" w:lineRule="exact"/>
        <w:ind w:left="20" w:right="20"/>
        <w:jc w:val="both"/>
        <w:rPr>
          <w:shd w:val="clear" w:color="auto" w:fill="FFFFFF"/>
          <w:lang w:val="sr-Cyrl-RS" w:eastAsia="ru-RU"/>
        </w:rPr>
      </w:pPr>
    </w:p>
    <w:p w:rsidR="00F10B80" w:rsidRPr="00B61225" w:rsidRDefault="00B61225" w:rsidP="0033231F">
      <w:pPr>
        <w:widowControl w:val="0"/>
        <w:spacing w:line="274" w:lineRule="exact"/>
        <w:ind w:left="20" w:right="20"/>
        <w:jc w:val="both"/>
        <w:rPr>
          <w:shd w:val="clear" w:color="auto" w:fill="FFFFFF"/>
          <w:lang w:val="sr-Cyrl-RS" w:eastAsia="ru-RU"/>
        </w:rPr>
      </w:pPr>
      <w:r>
        <w:rPr>
          <w:shd w:val="clear" w:color="auto" w:fill="FFFFFF"/>
          <w:lang w:val="sr-Cyrl-RS" w:eastAsia="ru-RU"/>
        </w:rPr>
        <w:t xml:space="preserve">Понуду може поднети и </w:t>
      </w:r>
      <w:r w:rsidR="00F10B80">
        <w:rPr>
          <w:shd w:val="clear" w:color="auto" w:fill="FFFFFF"/>
          <w:lang w:eastAsia="ru-RU"/>
        </w:rPr>
        <w:t>група пону</w:t>
      </w:r>
      <w:r w:rsidR="00F10B80">
        <w:rPr>
          <w:shd w:val="clear" w:color="auto" w:fill="FFFFFF"/>
          <w:lang w:val="sr-Cyrl-CS" w:eastAsia="ru-RU"/>
        </w:rPr>
        <w:t>ђ</w:t>
      </w:r>
      <w:r w:rsidR="00F10B80">
        <w:rPr>
          <w:shd w:val="clear" w:color="auto" w:fill="FFFFFF"/>
          <w:lang w:eastAsia="ru-RU"/>
        </w:rPr>
        <w:t>ача или пону</w:t>
      </w:r>
      <w:r w:rsidR="00F10B80">
        <w:rPr>
          <w:shd w:val="clear" w:color="auto" w:fill="FFFFFF"/>
          <w:lang w:val="sr-Cyrl-CS" w:eastAsia="ru-RU"/>
        </w:rPr>
        <w:t>ђ</w:t>
      </w:r>
      <w:r w:rsidR="00F10B80">
        <w:rPr>
          <w:shd w:val="clear" w:color="auto" w:fill="FFFFFF"/>
          <w:lang w:eastAsia="ru-RU"/>
        </w:rPr>
        <w:t>ач са подизво</w:t>
      </w:r>
      <w:r w:rsidR="00F10B80">
        <w:rPr>
          <w:shd w:val="clear" w:color="auto" w:fill="FFFFFF"/>
          <w:lang w:val="sr-Cyrl-CS" w:eastAsia="ru-RU"/>
        </w:rPr>
        <w:t>ђ</w:t>
      </w:r>
      <w:r w:rsidR="00F10B80">
        <w:rPr>
          <w:shd w:val="clear" w:color="auto" w:fill="FFFFFF"/>
          <w:lang w:eastAsia="ru-RU"/>
        </w:rPr>
        <w:t>ачем</w:t>
      </w:r>
      <w:r>
        <w:rPr>
          <w:shd w:val="clear" w:color="auto" w:fill="FFFFFF"/>
          <w:lang w:val="sr-Cyrl-RS" w:eastAsia="ru-RU"/>
        </w:rPr>
        <w:t xml:space="preserve"> и у том случају</w:t>
      </w:r>
      <w:r w:rsidR="00F10B80">
        <w:rPr>
          <w:shd w:val="clear" w:color="auto" w:fill="FFFFFF"/>
          <w:lang w:eastAsia="ru-RU"/>
        </w:rPr>
        <w:t xml:space="preserve"> референтне листе са референтним потврдама се сабира</w:t>
      </w:r>
      <w:r w:rsidR="00F10B80">
        <w:rPr>
          <w:shd w:val="clear" w:color="auto" w:fill="FFFFFF"/>
          <w:lang w:val="sr-Cyrl-CS" w:eastAsia="ru-RU"/>
        </w:rPr>
        <w:t>ј</w:t>
      </w:r>
      <w:r w:rsidR="00F10B80">
        <w:rPr>
          <w:shd w:val="clear" w:color="auto" w:fill="FFFFFF"/>
          <w:lang w:eastAsia="ru-RU"/>
        </w:rPr>
        <w:t>у и збирно посматра</w:t>
      </w:r>
      <w:r w:rsidR="00F10B80">
        <w:rPr>
          <w:shd w:val="clear" w:color="auto" w:fill="FFFFFF"/>
          <w:lang w:val="sr-Cyrl-CS" w:eastAsia="ru-RU"/>
        </w:rPr>
        <w:t>ј</w:t>
      </w:r>
      <w:r w:rsidR="00F10B80">
        <w:rPr>
          <w:shd w:val="clear" w:color="auto" w:fill="FFFFFF"/>
          <w:lang w:eastAsia="ru-RU"/>
        </w:rPr>
        <w:t>у приликом бодова</w:t>
      </w:r>
      <w:r w:rsidR="00F10B80">
        <w:rPr>
          <w:shd w:val="clear" w:color="auto" w:fill="FFFFFF"/>
          <w:lang w:val="sr-Cyrl-CS" w:eastAsia="ru-RU"/>
        </w:rPr>
        <w:t>њ</w:t>
      </w:r>
      <w:r w:rsidR="00F10B80">
        <w:rPr>
          <w:shd w:val="clear" w:color="auto" w:fill="FFFFFF"/>
          <w:lang w:eastAsia="ru-RU"/>
        </w:rPr>
        <w:t xml:space="preserve">а </w:t>
      </w:r>
      <w:r>
        <w:rPr>
          <w:shd w:val="clear" w:color="auto" w:fill="FFFFFF"/>
        </w:rPr>
        <w:t>–</w:t>
      </w:r>
      <w:r w:rsidR="00F10B80">
        <w:rPr>
          <w:shd w:val="clear" w:color="auto" w:fill="FFFFFF"/>
        </w:rPr>
        <w:t xml:space="preserve"> </w:t>
      </w:r>
      <w:r w:rsidR="00F10B80">
        <w:rPr>
          <w:shd w:val="clear" w:color="auto" w:fill="FFFFFF"/>
          <w:lang w:eastAsia="ru-RU"/>
        </w:rPr>
        <w:t>пондериса</w:t>
      </w:r>
      <w:r w:rsidR="00F10B80">
        <w:rPr>
          <w:shd w:val="clear" w:color="auto" w:fill="FFFFFF"/>
          <w:lang w:val="sr-Cyrl-CS" w:eastAsia="ru-RU"/>
        </w:rPr>
        <w:t>њ</w:t>
      </w:r>
      <w:r>
        <w:rPr>
          <w:shd w:val="clear" w:color="auto" w:fill="FFFFFF"/>
          <w:lang w:eastAsia="ru-RU"/>
        </w:rPr>
        <w:t>а.</w:t>
      </w:r>
      <w:r>
        <w:rPr>
          <w:shd w:val="clear" w:color="auto" w:fill="FFFFFF"/>
          <w:lang w:val="sr-Cyrl-RS" w:eastAsia="ru-RU"/>
        </w:rPr>
        <w:t xml:space="preserve"> </w:t>
      </w:r>
      <w:r w:rsidR="00F10B80">
        <w:rPr>
          <w:shd w:val="clear" w:color="auto" w:fill="FFFFFF"/>
          <w:lang w:eastAsia="ru-RU"/>
        </w:rPr>
        <w:t xml:space="preserve"> Референтну листу и референтне потврде попу</w:t>
      </w:r>
      <w:r w:rsidR="00F10B80">
        <w:rPr>
          <w:shd w:val="clear" w:color="auto" w:fill="FFFFFF"/>
          <w:lang w:val="sr-Cyrl-CS" w:eastAsia="ru-RU"/>
        </w:rPr>
        <w:t>њ</w:t>
      </w:r>
      <w:r w:rsidR="00F10B80">
        <w:rPr>
          <w:shd w:val="clear" w:color="auto" w:fill="FFFFFF"/>
          <w:lang w:eastAsia="ru-RU"/>
        </w:rPr>
        <w:t>ава</w:t>
      </w:r>
      <w:r w:rsidR="00F10B80">
        <w:rPr>
          <w:shd w:val="clear" w:color="auto" w:fill="FFFFFF"/>
          <w:lang w:val="sr-Cyrl-CS" w:eastAsia="ru-RU"/>
        </w:rPr>
        <w:t>ј</w:t>
      </w:r>
      <w:r w:rsidR="00F10B80">
        <w:rPr>
          <w:shd w:val="clear" w:color="auto" w:fill="FFFFFF"/>
          <w:lang w:eastAsia="ru-RU"/>
        </w:rPr>
        <w:t>у, печатира</w:t>
      </w:r>
      <w:r w:rsidR="00F10B80">
        <w:rPr>
          <w:shd w:val="clear" w:color="auto" w:fill="FFFFFF"/>
          <w:lang w:val="sr-Cyrl-CS" w:eastAsia="ru-RU"/>
        </w:rPr>
        <w:t>ј</w:t>
      </w:r>
      <w:r w:rsidR="00F10B80">
        <w:rPr>
          <w:shd w:val="clear" w:color="auto" w:fill="FFFFFF"/>
          <w:lang w:eastAsia="ru-RU"/>
        </w:rPr>
        <w:t>у и потпису</w:t>
      </w:r>
      <w:r w:rsidR="00F10B80">
        <w:rPr>
          <w:shd w:val="clear" w:color="auto" w:fill="FFFFFF"/>
          <w:lang w:val="sr-Cyrl-CS" w:eastAsia="ru-RU"/>
        </w:rPr>
        <w:t>ј</w:t>
      </w:r>
      <w:r w:rsidR="00F10B80">
        <w:rPr>
          <w:shd w:val="clear" w:color="auto" w:fill="FFFFFF"/>
          <w:lang w:eastAsia="ru-RU"/>
        </w:rPr>
        <w:t>у чланови групе пону</w:t>
      </w:r>
      <w:r w:rsidR="00F10B80">
        <w:rPr>
          <w:shd w:val="clear" w:color="auto" w:fill="FFFFFF"/>
          <w:lang w:val="sr-Cyrl-CS" w:eastAsia="ru-RU"/>
        </w:rPr>
        <w:t>ђ</w:t>
      </w:r>
      <w:r w:rsidR="00F10B80">
        <w:rPr>
          <w:shd w:val="clear" w:color="auto" w:fill="FFFFFF"/>
          <w:lang w:eastAsia="ru-RU"/>
        </w:rPr>
        <w:t xml:space="preserve">ача </w:t>
      </w:r>
      <w:r>
        <w:rPr>
          <w:shd w:val="clear" w:color="auto" w:fill="FFFFFF"/>
        </w:rPr>
        <w:t>одвоjено</w:t>
      </w:r>
      <w:r w:rsidR="00F10B80">
        <w:rPr>
          <w:shd w:val="clear" w:color="auto" w:fill="FFFFFF"/>
        </w:rPr>
        <w:t xml:space="preserve"> </w:t>
      </w:r>
      <w:r w:rsidR="00F10B80">
        <w:rPr>
          <w:shd w:val="clear" w:color="auto" w:fill="FFFFFF"/>
          <w:lang w:eastAsia="ru-RU"/>
        </w:rPr>
        <w:t>и подносе у оквиру за</w:t>
      </w:r>
      <w:r w:rsidR="00F10B80">
        <w:rPr>
          <w:shd w:val="clear" w:color="auto" w:fill="FFFFFF"/>
          <w:lang w:val="sr-Cyrl-CS" w:eastAsia="ru-RU"/>
        </w:rPr>
        <w:t>је</w:t>
      </w:r>
      <w:r w:rsidR="00F10B80">
        <w:rPr>
          <w:shd w:val="clear" w:color="auto" w:fill="FFFFFF"/>
          <w:lang w:eastAsia="ru-RU"/>
        </w:rPr>
        <w:t xml:space="preserve">дничке понуде </w:t>
      </w:r>
      <w:r w:rsidR="00F10B80">
        <w:rPr>
          <w:shd w:val="clear" w:color="auto" w:fill="FFFFFF"/>
        </w:rPr>
        <w:t xml:space="preserve">/ </w:t>
      </w:r>
      <w:r w:rsidR="00F10B80">
        <w:rPr>
          <w:shd w:val="clear" w:color="auto" w:fill="FFFFFF"/>
          <w:lang w:eastAsia="ru-RU"/>
        </w:rPr>
        <w:t>понуде са подизво</w:t>
      </w:r>
      <w:r w:rsidR="00F10B80">
        <w:rPr>
          <w:shd w:val="clear" w:color="auto" w:fill="FFFFFF"/>
          <w:lang w:val="sr-Cyrl-CS" w:eastAsia="ru-RU"/>
        </w:rPr>
        <w:t>ђ</w:t>
      </w:r>
      <w:r w:rsidR="00172CCF">
        <w:rPr>
          <w:shd w:val="clear" w:color="auto" w:fill="FFFFFF"/>
          <w:lang w:val="sr-Cyrl-CS" w:eastAsia="ru-RU"/>
        </w:rPr>
        <w:t>а</w:t>
      </w:r>
      <w:r w:rsidR="00F10B80">
        <w:rPr>
          <w:shd w:val="clear" w:color="auto" w:fill="FFFFFF"/>
          <w:lang w:eastAsia="ru-RU"/>
        </w:rPr>
        <w:t>чем.</w:t>
      </w:r>
      <w:r>
        <w:rPr>
          <w:shd w:val="clear" w:color="auto" w:fill="FFFFFF"/>
          <w:lang w:val="sr-Cyrl-RS" w:eastAsia="ru-RU"/>
        </w:rPr>
        <w:t xml:space="preserve"> Из овога се јасно може закључити да не постоје дискриминаторски елементи критеријума за доделу уговора нити се могу фаворизовати одређени понуђачи.</w:t>
      </w:r>
    </w:p>
    <w:p w:rsidR="005E76B8" w:rsidRDefault="005E76B8" w:rsidP="00172CCF">
      <w:pPr>
        <w:autoSpaceDE w:val="0"/>
        <w:autoSpaceDN w:val="0"/>
        <w:adjustRightInd w:val="0"/>
        <w:jc w:val="both"/>
      </w:pPr>
    </w:p>
    <w:p w:rsidR="005E76B8" w:rsidRDefault="005E76B8" w:rsidP="00172CCF">
      <w:pPr>
        <w:autoSpaceDE w:val="0"/>
        <w:autoSpaceDN w:val="0"/>
        <w:adjustRightInd w:val="0"/>
        <w:jc w:val="both"/>
      </w:pPr>
    </w:p>
    <w:p w:rsidR="005E76B8" w:rsidRDefault="005E76B8" w:rsidP="005E76B8">
      <w:pPr>
        <w:jc w:val="center"/>
        <w:rPr>
          <w:b/>
          <w:bCs/>
          <w:sz w:val="22"/>
          <w:szCs w:val="22"/>
          <w:lang w:val="sr-Cyrl-CS"/>
        </w:rPr>
      </w:pPr>
      <w:r>
        <w:rPr>
          <w:b/>
          <w:bCs/>
          <w:sz w:val="22"/>
          <w:szCs w:val="22"/>
          <w:lang w:val="sr-Cyrl-CS"/>
        </w:rPr>
        <w:t xml:space="preserve">                                                                                                  </w:t>
      </w:r>
      <w:r>
        <w:rPr>
          <w:b/>
          <w:bCs/>
          <w:sz w:val="22"/>
          <w:szCs w:val="22"/>
          <w:lang w:val="sr-Cyrl-CS"/>
        </w:rPr>
        <w:t>ЗА КОМИСИЈУ ЗА ЈАВНУ НАБАВКУ</w:t>
      </w:r>
    </w:p>
    <w:p w:rsidR="005E76B8" w:rsidRDefault="005E76B8" w:rsidP="005E76B8">
      <w:pPr>
        <w:jc w:val="center"/>
        <w:rPr>
          <w:b/>
          <w:bCs/>
          <w:sz w:val="22"/>
          <w:szCs w:val="22"/>
          <w:lang w:val="sr-Cyrl-CS"/>
        </w:rPr>
      </w:pPr>
    </w:p>
    <w:p w:rsidR="005E76B8" w:rsidRDefault="005E76B8" w:rsidP="005E76B8">
      <w:pPr>
        <w:jc w:val="right"/>
        <w:rPr>
          <w:b/>
          <w:bCs/>
          <w:sz w:val="22"/>
          <w:szCs w:val="22"/>
          <w:lang w:val="sr-Cyrl-CS"/>
        </w:rPr>
      </w:pPr>
      <w:r>
        <w:rPr>
          <w:b/>
          <w:bCs/>
          <w:sz w:val="22"/>
          <w:szCs w:val="22"/>
          <w:lang w:val="sr-Cyrl-CS"/>
        </w:rPr>
        <w:t xml:space="preserve">               Милица Ђурић,члан Комисије</w:t>
      </w:r>
    </w:p>
    <w:p w:rsidR="005E76B8" w:rsidRDefault="005E76B8" w:rsidP="005E76B8">
      <w:pPr>
        <w:jc w:val="right"/>
        <w:rPr>
          <w:b/>
          <w:bCs/>
          <w:sz w:val="22"/>
          <w:szCs w:val="22"/>
          <w:lang w:val="sr-Cyrl-CS"/>
        </w:rPr>
      </w:pPr>
      <w:r>
        <w:rPr>
          <w:b/>
          <w:bCs/>
          <w:sz w:val="22"/>
          <w:szCs w:val="22"/>
          <w:lang w:val="sr-Cyrl-CS"/>
        </w:rPr>
        <w:t>Тања Пушоња, члан Комисије</w:t>
      </w:r>
    </w:p>
    <w:p w:rsidR="005E76B8" w:rsidRDefault="005E76B8" w:rsidP="005E76B8">
      <w:pPr>
        <w:jc w:val="right"/>
        <w:rPr>
          <w:b/>
          <w:bCs/>
          <w:sz w:val="22"/>
          <w:szCs w:val="22"/>
          <w:lang w:val="sr-Cyrl-CS"/>
        </w:rPr>
      </w:pPr>
      <w:r>
        <w:rPr>
          <w:b/>
          <w:bCs/>
          <w:sz w:val="22"/>
          <w:szCs w:val="22"/>
          <w:lang w:val="sr-Cyrl-CS"/>
        </w:rPr>
        <w:t>Милана Сандић, члан Комисије</w:t>
      </w:r>
    </w:p>
    <w:p w:rsidR="005E76B8" w:rsidRDefault="005E76B8" w:rsidP="005E76B8">
      <w:pPr>
        <w:jc w:val="right"/>
        <w:rPr>
          <w:b/>
          <w:bCs/>
          <w:sz w:val="22"/>
          <w:szCs w:val="22"/>
          <w:lang w:val="sr-Cyrl-CS"/>
        </w:rPr>
      </w:pPr>
      <w:r>
        <w:rPr>
          <w:b/>
          <w:bCs/>
          <w:sz w:val="22"/>
          <w:szCs w:val="22"/>
          <w:lang w:val="sr-Cyrl-CS"/>
        </w:rPr>
        <w:t>Милица Михаиловић, члан Комисије</w:t>
      </w:r>
    </w:p>
    <w:p w:rsidR="005E76B8" w:rsidRPr="00A5326C" w:rsidRDefault="005E76B8" w:rsidP="005E76B8">
      <w:pPr>
        <w:autoSpaceDE w:val="0"/>
        <w:autoSpaceDN w:val="0"/>
        <w:adjustRightInd w:val="0"/>
        <w:jc w:val="right"/>
      </w:pPr>
    </w:p>
    <w:sectPr w:rsidR="005E76B8" w:rsidRPr="00A5326C" w:rsidSect="00E764BA">
      <w:footerReference w:type="default" r:id="rId8"/>
      <w:pgSz w:w="12240" w:h="15840"/>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13" w:rsidRDefault="003D3F13" w:rsidP="00F91CAD">
      <w:r>
        <w:separator/>
      </w:r>
    </w:p>
  </w:endnote>
  <w:endnote w:type="continuationSeparator" w:id="0">
    <w:p w:rsidR="003D3F13" w:rsidRDefault="003D3F13" w:rsidP="00F9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51551"/>
      <w:docPartObj>
        <w:docPartGallery w:val="Page Numbers (Bottom of Page)"/>
        <w:docPartUnique/>
      </w:docPartObj>
    </w:sdtPr>
    <w:sdtEndPr>
      <w:rPr>
        <w:noProof/>
      </w:rPr>
    </w:sdtEndPr>
    <w:sdtContent>
      <w:p w:rsidR="00F91CAD" w:rsidRDefault="00F91CAD">
        <w:pPr>
          <w:pStyle w:val="Footer"/>
          <w:jc w:val="right"/>
        </w:pPr>
        <w:r>
          <w:fldChar w:fldCharType="begin"/>
        </w:r>
        <w:r>
          <w:instrText xml:space="preserve"> PAGE   \* MERGEFORMAT </w:instrText>
        </w:r>
        <w:r>
          <w:fldChar w:fldCharType="separate"/>
        </w:r>
        <w:r w:rsidR="0014151C">
          <w:rPr>
            <w:noProof/>
          </w:rPr>
          <w:t>4</w:t>
        </w:r>
        <w:r>
          <w:rPr>
            <w:noProof/>
          </w:rPr>
          <w:fldChar w:fldCharType="end"/>
        </w:r>
      </w:p>
    </w:sdtContent>
  </w:sdt>
  <w:p w:rsidR="00F91CAD" w:rsidRDefault="00F91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13" w:rsidRDefault="003D3F13" w:rsidP="00F91CAD">
      <w:r>
        <w:separator/>
      </w:r>
    </w:p>
  </w:footnote>
  <w:footnote w:type="continuationSeparator" w:id="0">
    <w:p w:rsidR="003D3F13" w:rsidRDefault="003D3F13" w:rsidP="00F91C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1350" w:hanging="720"/>
      </w:pPr>
      <w:rPr>
        <w:rFonts w:ascii="Times New Roman" w:hAnsi="Times New Roman" w:cs="Times New Roman"/>
        <w:b/>
        <w:i w:val="0"/>
        <w:sz w:val="24"/>
        <w:szCs w:val="24"/>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440" w:hanging="1080"/>
      </w:pPr>
      <w:rPr>
        <w:rFonts w:ascii="Times New Roman" w:hAnsi="Times New Roman" w:cs="Times New Roman"/>
      </w:rPr>
    </w:lvl>
    <w:lvl w:ilvl="4">
      <w:start w:val="1"/>
      <w:numFmt w:val="decimal"/>
      <w:lvlText w:val="%1.%2.%3.%4.%5."/>
      <w:lvlJc w:val="left"/>
      <w:pPr>
        <w:tabs>
          <w:tab w:val="num" w:pos="0"/>
        </w:tabs>
        <w:ind w:left="1800" w:hanging="1440"/>
      </w:pPr>
      <w:rPr>
        <w:rFonts w:ascii="Times New Roman" w:hAnsi="Times New Roman" w:cs="Times New Roman"/>
      </w:rPr>
    </w:lvl>
    <w:lvl w:ilvl="5">
      <w:start w:val="1"/>
      <w:numFmt w:val="decimal"/>
      <w:lvlText w:val="%1.%2.%3.%4.%5.%6."/>
      <w:lvlJc w:val="left"/>
      <w:pPr>
        <w:tabs>
          <w:tab w:val="num" w:pos="0"/>
        </w:tabs>
        <w:ind w:left="1800" w:hanging="1440"/>
      </w:pPr>
      <w:rPr>
        <w:rFonts w:ascii="Times New Roman" w:hAnsi="Times New Roman" w:cs="Times New Roman"/>
      </w:rPr>
    </w:lvl>
    <w:lvl w:ilvl="6">
      <w:start w:val="1"/>
      <w:numFmt w:val="decimal"/>
      <w:lvlText w:val="%1.%2.%3.%4.%5.%6.%7."/>
      <w:lvlJc w:val="left"/>
      <w:pPr>
        <w:tabs>
          <w:tab w:val="num" w:pos="0"/>
        </w:tabs>
        <w:ind w:left="2160" w:hanging="1800"/>
      </w:pPr>
      <w:rPr>
        <w:rFonts w:ascii="Times New Roman" w:hAnsi="Times New Roman" w:cs="Times New Roman"/>
      </w:rPr>
    </w:lvl>
    <w:lvl w:ilvl="7">
      <w:start w:val="1"/>
      <w:numFmt w:val="decimal"/>
      <w:lvlText w:val="%1.%2.%3.%4.%5.%6.%7.%8."/>
      <w:lvlJc w:val="left"/>
      <w:pPr>
        <w:tabs>
          <w:tab w:val="num" w:pos="0"/>
        </w:tabs>
        <w:ind w:left="2520" w:hanging="2160"/>
      </w:pPr>
      <w:rPr>
        <w:rFonts w:ascii="Times New Roman" w:hAnsi="Times New Roman" w:cs="Times New Roman"/>
      </w:rPr>
    </w:lvl>
    <w:lvl w:ilvl="8">
      <w:start w:val="1"/>
      <w:numFmt w:val="decimal"/>
      <w:lvlText w:val="%1.%2.%3.%4.%5.%6.%7.%8.%9."/>
      <w:lvlJc w:val="left"/>
      <w:pPr>
        <w:tabs>
          <w:tab w:val="num" w:pos="0"/>
        </w:tabs>
        <w:ind w:left="2520" w:hanging="2160"/>
      </w:pPr>
      <w:rPr>
        <w:rFonts w:ascii="Times New Roman" w:hAnsi="Times New Roman" w:cs="Times New Roman"/>
      </w:rPr>
    </w:lvl>
  </w:abstractNum>
  <w:abstractNum w:abstractNumId="1" w15:restartNumberingAfterBreak="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59735FF5"/>
    <w:multiLevelType w:val="hybridMultilevel"/>
    <w:tmpl w:val="8500C2B8"/>
    <w:lvl w:ilvl="0" w:tplc="1D6E5A5A">
      <w:start w:val="2"/>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B4"/>
    <w:rsid w:val="0014151C"/>
    <w:rsid w:val="00172CCF"/>
    <w:rsid w:val="00192F48"/>
    <w:rsid w:val="001B7952"/>
    <w:rsid w:val="001C0BBA"/>
    <w:rsid w:val="001F02BC"/>
    <w:rsid w:val="00225B12"/>
    <w:rsid w:val="002D2DD3"/>
    <w:rsid w:val="002D34B4"/>
    <w:rsid w:val="002F6213"/>
    <w:rsid w:val="0033231F"/>
    <w:rsid w:val="003646C3"/>
    <w:rsid w:val="003D3F13"/>
    <w:rsid w:val="003E1EA9"/>
    <w:rsid w:val="004045B4"/>
    <w:rsid w:val="0043268F"/>
    <w:rsid w:val="00456467"/>
    <w:rsid w:val="004813CE"/>
    <w:rsid w:val="00523074"/>
    <w:rsid w:val="00541760"/>
    <w:rsid w:val="005431DC"/>
    <w:rsid w:val="005E76B8"/>
    <w:rsid w:val="00645FBD"/>
    <w:rsid w:val="006A02F3"/>
    <w:rsid w:val="00723F6C"/>
    <w:rsid w:val="00783572"/>
    <w:rsid w:val="00793880"/>
    <w:rsid w:val="007A29D4"/>
    <w:rsid w:val="00825F0B"/>
    <w:rsid w:val="008F1050"/>
    <w:rsid w:val="009B64EA"/>
    <w:rsid w:val="009B7164"/>
    <w:rsid w:val="009D7F6F"/>
    <w:rsid w:val="00A5326C"/>
    <w:rsid w:val="00AB3265"/>
    <w:rsid w:val="00B61225"/>
    <w:rsid w:val="00B82E80"/>
    <w:rsid w:val="00BA7D32"/>
    <w:rsid w:val="00C356F5"/>
    <w:rsid w:val="00C57A4F"/>
    <w:rsid w:val="00CB6420"/>
    <w:rsid w:val="00CF72FA"/>
    <w:rsid w:val="00D46D45"/>
    <w:rsid w:val="00DA0F66"/>
    <w:rsid w:val="00DD0BC3"/>
    <w:rsid w:val="00E764BA"/>
    <w:rsid w:val="00EC6254"/>
    <w:rsid w:val="00EE2D97"/>
    <w:rsid w:val="00F10B80"/>
    <w:rsid w:val="00F206B4"/>
    <w:rsid w:val="00F9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CCEE0A"/>
  <w15:docId w15:val="{5BA0ED90-9A00-49B3-AEE0-EEA3BCE1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8F"/>
    <w:rPr>
      <w:rFonts w:ascii="Times New Roman" w:hAnsi="Times New Roman"/>
      <w:sz w:val="24"/>
      <w:szCs w:val="24"/>
    </w:rPr>
  </w:style>
  <w:style w:type="paragraph" w:styleId="Heading3">
    <w:name w:val="heading 3"/>
    <w:basedOn w:val="Normal"/>
    <w:next w:val="Normal"/>
    <w:link w:val="Heading3Char"/>
    <w:uiPriority w:val="99"/>
    <w:qFormat/>
    <w:rsid w:val="0043268F"/>
    <w:pPr>
      <w:keepNext/>
      <w:jc w:val="center"/>
      <w:outlineLvl w:val="2"/>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43268F"/>
    <w:rPr>
      <w:rFonts w:ascii="Times New Roman" w:hAnsi="Times New Roman" w:cs="Times New Roman"/>
      <w:b/>
      <w:bCs/>
      <w:sz w:val="24"/>
      <w:szCs w:val="24"/>
      <w:lang w:val="sr-Cyrl-CS"/>
    </w:rPr>
  </w:style>
  <w:style w:type="paragraph" w:styleId="BodyText2">
    <w:name w:val="Body Text 2"/>
    <w:basedOn w:val="Normal"/>
    <w:link w:val="BodyText2Char"/>
    <w:uiPriority w:val="99"/>
    <w:rsid w:val="0043268F"/>
    <w:pPr>
      <w:ind w:firstLine="720"/>
      <w:jc w:val="both"/>
    </w:pPr>
  </w:style>
  <w:style w:type="character" w:customStyle="1" w:styleId="BodyText2Char">
    <w:name w:val="Body Text 2 Char"/>
    <w:link w:val="BodyText2"/>
    <w:uiPriority w:val="99"/>
    <w:semiHidden/>
    <w:rsid w:val="00F206B4"/>
    <w:rPr>
      <w:rFonts w:ascii="Times New Roman" w:hAnsi="Times New Roman"/>
      <w:sz w:val="24"/>
      <w:szCs w:val="24"/>
    </w:rPr>
  </w:style>
  <w:style w:type="character" w:customStyle="1" w:styleId="BodyTextIndentChar">
    <w:name w:val="Body Text Indent Char"/>
    <w:uiPriority w:val="99"/>
    <w:rsid w:val="0043268F"/>
    <w:rPr>
      <w:rFonts w:ascii="Times New Roman" w:hAnsi="Times New Roman" w:cs="Times New Roman"/>
      <w:sz w:val="24"/>
      <w:szCs w:val="24"/>
    </w:rPr>
  </w:style>
  <w:style w:type="paragraph" w:styleId="BalloonText">
    <w:name w:val="Balloon Text"/>
    <w:basedOn w:val="Normal"/>
    <w:link w:val="BalloonTextChar"/>
    <w:uiPriority w:val="99"/>
    <w:rsid w:val="0043268F"/>
    <w:rPr>
      <w:rFonts w:ascii="Tahoma" w:hAnsi="Tahoma"/>
      <w:sz w:val="16"/>
      <w:szCs w:val="16"/>
    </w:rPr>
  </w:style>
  <w:style w:type="character" w:customStyle="1" w:styleId="BalloonTextChar">
    <w:name w:val="Balloon Text Char"/>
    <w:link w:val="BalloonText"/>
    <w:uiPriority w:val="99"/>
    <w:rsid w:val="0043268F"/>
    <w:rPr>
      <w:rFonts w:ascii="Tahoma" w:hAnsi="Tahoma" w:cs="Tahoma"/>
      <w:sz w:val="16"/>
      <w:szCs w:val="16"/>
    </w:rPr>
  </w:style>
  <w:style w:type="paragraph" w:styleId="ListParagraph">
    <w:name w:val="List Paragraph"/>
    <w:basedOn w:val="Normal"/>
    <w:qFormat/>
    <w:rsid w:val="00645FBD"/>
    <w:pPr>
      <w:suppressAutoHyphens/>
      <w:spacing w:line="100" w:lineRule="atLeast"/>
      <w:ind w:left="720"/>
    </w:pPr>
    <w:rPr>
      <w:rFonts w:eastAsia="Arial Unicode MS"/>
      <w:color w:val="000000"/>
      <w:kern w:val="2"/>
      <w:lang w:eastAsia="ar-SA"/>
    </w:rPr>
  </w:style>
  <w:style w:type="paragraph" w:styleId="BodyTextIndent">
    <w:name w:val="Body Text Indent"/>
    <w:basedOn w:val="Normal"/>
    <w:link w:val="BodyTextIndentChar1"/>
    <w:uiPriority w:val="99"/>
    <w:unhideWhenUsed/>
    <w:rsid w:val="00783572"/>
    <w:pPr>
      <w:spacing w:after="120"/>
      <w:ind w:left="283"/>
    </w:pPr>
  </w:style>
  <w:style w:type="character" w:customStyle="1" w:styleId="BodyTextIndentChar1">
    <w:name w:val="Body Text Indent Char1"/>
    <w:basedOn w:val="DefaultParagraphFont"/>
    <w:link w:val="BodyTextIndent"/>
    <w:uiPriority w:val="99"/>
    <w:rsid w:val="00783572"/>
    <w:rPr>
      <w:rFonts w:ascii="Times New Roman" w:hAnsi="Times New Roman"/>
      <w:sz w:val="24"/>
      <w:szCs w:val="24"/>
    </w:rPr>
  </w:style>
  <w:style w:type="paragraph" w:styleId="Header">
    <w:name w:val="header"/>
    <w:basedOn w:val="Normal"/>
    <w:link w:val="HeaderChar"/>
    <w:uiPriority w:val="99"/>
    <w:unhideWhenUsed/>
    <w:rsid w:val="00F91CAD"/>
    <w:pPr>
      <w:tabs>
        <w:tab w:val="center" w:pos="4703"/>
        <w:tab w:val="right" w:pos="9406"/>
      </w:tabs>
    </w:pPr>
  </w:style>
  <w:style w:type="character" w:customStyle="1" w:styleId="HeaderChar">
    <w:name w:val="Header Char"/>
    <w:basedOn w:val="DefaultParagraphFont"/>
    <w:link w:val="Header"/>
    <w:uiPriority w:val="99"/>
    <w:rsid w:val="00F91CAD"/>
    <w:rPr>
      <w:rFonts w:ascii="Times New Roman" w:hAnsi="Times New Roman"/>
      <w:sz w:val="24"/>
      <w:szCs w:val="24"/>
    </w:rPr>
  </w:style>
  <w:style w:type="paragraph" w:styleId="Footer">
    <w:name w:val="footer"/>
    <w:basedOn w:val="Normal"/>
    <w:link w:val="FooterChar"/>
    <w:uiPriority w:val="99"/>
    <w:unhideWhenUsed/>
    <w:rsid w:val="00F91CAD"/>
    <w:pPr>
      <w:tabs>
        <w:tab w:val="center" w:pos="4703"/>
        <w:tab w:val="right" w:pos="9406"/>
      </w:tabs>
    </w:pPr>
  </w:style>
  <w:style w:type="character" w:customStyle="1" w:styleId="FooterChar">
    <w:name w:val="Footer Char"/>
    <w:basedOn w:val="DefaultParagraphFont"/>
    <w:link w:val="Footer"/>
    <w:uiPriority w:val="99"/>
    <w:rsid w:val="00F91CA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jovanka.simic</dc:creator>
  <cp:keywords/>
  <dc:description/>
  <cp:lastModifiedBy>Milica Djuric</cp:lastModifiedBy>
  <cp:revision>33</cp:revision>
  <cp:lastPrinted>2017-02-17T11:59:00Z</cp:lastPrinted>
  <dcterms:created xsi:type="dcterms:W3CDTF">2017-02-17T10:24:00Z</dcterms:created>
  <dcterms:modified xsi:type="dcterms:W3CDTF">2017-02-17T12:09:00Z</dcterms:modified>
</cp:coreProperties>
</file>