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539"/>
        <w:tblW w:w="0" w:type="auto"/>
        <w:tblLook w:val="0000" w:firstRow="0" w:lastRow="0" w:firstColumn="0" w:lastColumn="0" w:noHBand="0" w:noVBand="0"/>
      </w:tblPr>
      <w:tblGrid>
        <w:gridCol w:w="4068"/>
      </w:tblGrid>
      <w:tr w:rsidR="00A6179C">
        <w:tc>
          <w:tcPr>
            <w:tcW w:w="4068" w:type="dxa"/>
          </w:tcPr>
          <w:p w:rsidR="00A6179C" w:rsidRDefault="00EE3208">
            <w:pPr>
              <w:tabs>
                <w:tab w:val="center" w:pos="4320"/>
                <w:tab w:val="right" w:pos="8640"/>
              </w:tabs>
              <w:ind w:right="-108"/>
              <w:jc w:val="center"/>
              <w:rPr>
                <w:sz w:val="20"/>
                <w:szCs w:val="22"/>
              </w:rPr>
            </w:pPr>
            <w:r>
              <w:rPr>
                <w:noProof/>
              </w:rPr>
              <w:drawing>
                <wp:inline distT="0" distB="0" distL="0" distR="0">
                  <wp:extent cx="1447800" cy="1028700"/>
                  <wp:effectExtent l="0" t="0" r="0" b="0"/>
                  <wp:docPr id="1" name="Picture 1"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7800" cy="1028700"/>
                          </a:xfrm>
                          <a:prstGeom prst="rect">
                            <a:avLst/>
                          </a:prstGeom>
                          <a:noFill/>
                          <a:ln>
                            <a:noFill/>
                          </a:ln>
                        </pic:spPr>
                      </pic:pic>
                    </a:graphicData>
                  </a:graphic>
                </wp:inline>
              </w:drawing>
            </w:r>
          </w:p>
        </w:tc>
      </w:tr>
      <w:tr w:rsidR="00A6179C">
        <w:tc>
          <w:tcPr>
            <w:tcW w:w="4068" w:type="dxa"/>
          </w:tcPr>
          <w:p w:rsidR="00A6179C" w:rsidRDefault="00A6179C">
            <w:pPr>
              <w:tabs>
                <w:tab w:val="center" w:pos="4320"/>
                <w:tab w:val="right" w:pos="8640"/>
              </w:tabs>
              <w:ind w:right="-108"/>
              <w:jc w:val="center"/>
              <w:rPr>
                <w:sz w:val="22"/>
                <w:szCs w:val="22"/>
                <w:lang w:val="sr-Cyrl-CS"/>
              </w:rPr>
            </w:pPr>
            <w:r>
              <w:rPr>
                <w:sz w:val="22"/>
                <w:szCs w:val="22"/>
              </w:rPr>
              <w:br w:type="page"/>
            </w:r>
            <w:r>
              <w:rPr>
                <w:sz w:val="22"/>
                <w:szCs w:val="22"/>
                <w:lang w:val="sr-Cyrl-CS"/>
              </w:rPr>
              <w:t>Република Србија</w:t>
            </w:r>
          </w:p>
        </w:tc>
      </w:tr>
      <w:tr w:rsidR="00A6179C">
        <w:tc>
          <w:tcPr>
            <w:tcW w:w="4068" w:type="dxa"/>
          </w:tcPr>
          <w:p w:rsidR="00A6179C" w:rsidRDefault="00A6179C">
            <w:pPr>
              <w:jc w:val="center"/>
              <w:rPr>
                <w:b/>
                <w:bCs/>
                <w:sz w:val="22"/>
                <w:szCs w:val="22"/>
              </w:rPr>
            </w:pPr>
            <w:r>
              <w:rPr>
                <w:b/>
                <w:sz w:val="22"/>
                <w:szCs w:val="22"/>
              </w:rPr>
              <w:br w:type="page"/>
            </w:r>
            <w:r>
              <w:rPr>
                <w:b/>
                <w:bCs/>
                <w:sz w:val="22"/>
                <w:szCs w:val="22"/>
              </w:rPr>
              <w:t>МИНИСТАРСТВО ЗА РАД,</w:t>
            </w:r>
          </w:p>
          <w:p w:rsidR="00A6179C" w:rsidRDefault="00A6179C">
            <w:pPr>
              <w:jc w:val="center"/>
              <w:rPr>
                <w:b/>
                <w:bCs/>
                <w:sz w:val="22"/>
                <w:szCs w:val="22"/>
              </w:rPr>
            </w:pPr>
            <w:r>
              <w:rPr>
                <w:b/>
                <w:bCs/>
                <w:sz w:val="22"/>
                <w:szCs w:val="22"/>
              </w:rPr>
              <w:t>ЗАПОШЉАВАЊЕ, БОРАЧКА  И</w:t>
            </w:r>
          </w:p>
          <w:p w:rsidR="00A6179C" w:rsidRDefault="00A6179C">
            <w:pPr>
              <w:jc w:val="center"/>
              <w:rPr>
                <w:b/>
                <w:bCs/>
                <w:sz w:val="22"/>
                <w:szCs w:val="22"/>
                <w:lang w:val="sr-Cyrl-CS"/>
              </w:rPr>
            </w:pPr>
            <w:r>
              <w:rPr>
                <w:b/>
                <w:bCs/>
                <w:sz w:val="22"/>
                <w:szCs w:val="22"/>
              </w:rPr>
              <w:t>СОЦИЈАЛНА ПИТАЊА</w:t>
            </w:r>
          </w:p>
        </w:tc>
      </w:tr>
      <w:tr w:rsidR="00A6179C">
        <w:trPr>
          <w:trHeight w:val="249"/>
        </w:trPr>
        <w:tc>
          <w:tcPr>
            <w:tcW w:w="4068" w:type="dxa"/>
          </w:tcPr>
          <w:p w:rsidR="00A6179C" w:rsidRPr="00AD45E1" w:rsidRDefault="00A6179C" w:rsidP="00895ED0">
            <w:pPr>
              <w:jc w:val="center"/>
              <w:rPr>
                <w:bCs/>
                <w:sz w:val="22"/>
                <w:szCs w:val="22"/>
                <w:lang w:val="sr-Cyrl-CS"/>
              </w:rPr>
            </w:pPr>
            <w:r w:rsidRPr="00AD45E1">
              <w:rPr>
                <w:bCs/>
                <w:sz w:val="22"/>
                <w:szCs w:val="22"/>
                <w:lang w:val="sr-Cyrl-CS"/>
              </w:rPr>
              <w:t>Број:</w:t>
            </w:r>
            <w:r w:rsidRPr="00AD45E1">
              <w:rPr>
                <w:spacing w:val="6"/>
                <w:sz w:val="22"/>
                <w:szCs w:val="22"/>
                <w:lang w:val="en-GB"/>
              </w:rPr>
              <w:t xml:space="preserve"> </w:t>
            </w:r>
            <w:r w:rsidR="00AD45E1" w:rsidRPr="00AD45E1">
              <w:rPr>
                <w:rFonts w:eastAsia="Arial Unicode MS"/>
                <w:iCs/>
                <w:kern w:val="1"/>
                <w:lang w:val="sr-Cyrl-RS" w:eastAsia="ar-SA"/>
              </w:rPr>
              <w:t>404-02-</w:t>
            </w:r>
            <w:r w:rsidR="00514B81">
              <w:rPr>
                <w:rFonts w:eastAsia="Arial Unicode MS"/>
                <w:iCs/>
                <w:kern w:val="1"/>
                <w:lang w:val="sr-Latn-RS" w:eastAsia="ar-SA"/>
              </w:rPr>
              <w:t>64</w:t>
            </w:r>
            <w:r w:rsidR="00AD45E1" w:rsidRPr="00AD45E1">
              <w:rPr>
                <w:rFonts w:eastAsia="Arial Unicode MS"/>
                <w:iCs/>
                <w:kern w:val="1"/>
                <w:lang w:val="sr-Cyrl-RS" w:eastAsia="ar-SA"/>
              </w:rPr>
              <w:t>/</w:t>
            </w:r>
            <w:r w:rsidR="00A101FF">
              <w:rPr>
                <w:rFonts w:eastAsia="Arial Unicode MS"/>
                <w:iCs/>
                <w:kern w:val="1"/>
                <w:lang w:val="sr-Cyrl-RS" w:eastAsia="ar-SA"/>
              </w:rPr>
              <w:t>6</w:t>
            </w:r>
            <w:r w:rsidR="00F41FBD">
              <w:rPr>
                <w:rFonts w:eastAsia="Arial Unicode MS"/>
                <w:iCs/>
                <w:kern w:val="1"/>
                <w:lang w:val="sr-Cyrl-RS" w:eastAsia="ar-SA"/>
              </w:rPr>
              <w:t>-</w:t>
            </w:r>
            <w:r w:rsidR="00A101FF">
              <w:rPr>
                <w:rFonts w:eastAsia="Arial Unicode MS"/>
                <w:iCs/>
                <w:kern w:val="1"/>
                <w:lang w:eastAsia="ar-SA"/>
              </w:rPr>
              <w:t>7</w:t>
            </w:r>
            <w:r w:rsidR="00AD45E1" w:rsidRPr="00AD45E1">
              <w:rPr>
                <w:rFonts w:eastAsia="Arial Unicode MS"/>
                <w:iCs/>
                <w:kern w:val="1"/>
                <w:lang w:val="sr-Cyrl-RS" w:eastAsia="ar-SA"/>
              </w:rPr>
              <w:t>/2017-22</w:t>
            </w:r>
          </w:p>
        </w:tc>
      </w:tr>
      <w:tr w:rsidR="00A6179C">
        <w:tc>
          <w:tcPr>
            <w:tcW w:w="4068" w:type="dxa"/>
          </w:tcPr>
          <w:p w:rsidR="00A6179C" w:rsidRDefault="00A6179C">
            <w:pPr>
              <w:tabs>
                <w:tab w:val="center" w:pos="4320"/>
                <w:tab w:val="right" w:pos="8640"/>
              </w:tabs>
              <w:ind w:right="-108"/>
              <w:jc w:val="center"/>
              <w:rPr>
                <w:sz w:val="22"/>
                <w:szCs w:val="22"/>
                <w:lang w:val="sr-Cyrl-CS"/>
              </w:rPr>
            </w:pPr>
            <w:r>
              <w:rPr>
                <w:sz w:val="22"/>
                <w:szCs w:val="22"/>
                <w:lang w:val="sr-Cyrl-CS"/>
              </w:rPr>
              <w:t xml:space="preserve">Датум: </w:t>
            </w:r>
            <w:r w:rsidR="00A101FF">
              <w:rPr>
                <w:sz w:val="22"/>
                <w:szCs w:val="22"/>
              </w:rPr>
              <w:t>19</w:t>
            </w:r>
            <w:r>
              <w:rPr>
                <w:sz w:val="22"/>
                <w:szCs w:val="22"/>
                <w:lang w:val="sr-Cyrl-CS"/>
              </w:rPr>
              <w:t>.</w:t>
            </w:r>
            <w:r w:rsidR="000B6E71">
              <w:rPr>
                <w:sz w:val="22"/>
                <w:szCs w:val="22"/>
                <w:lang w:val="sr-Cyrl-CS"/>
              </w:rPr>
              <w:t xml:space="preserve"> </w:t>
            </w:r>
            <w:r w:rsidR="00895ED0">
              <w:rPr>
                <w:sz w:val="22"/>
                <w:szCs w:val="22"/>
                <w:lang w:val="sr-Cyrl-CS"/>
              </w:rPr>
              <w:t>јун</w:t>
            </w:r>
            <w:r>
              <w:rPr>
                <w:sz w:val="22"/>
                <w:szCs w:val="22"/>
                <w:lang w:val="sr-Cyrl-CS"/>
              </w:rPr>
              <w:t xml:space="preserve"> 201</w:t>
            </w:r>
            <w:r w:rsidR="000B6E71">
              <w:rPr>
                <w:sz w:val="22"/>
                <w:szCs w:val="22"/>
              </w:rPr>
              <w:t>7</w:t>
            </w:r>
            <w:r>
              <w:rPr>
                <w:sz w:val="22"/>
                <w:szCs w:val="22"/>
              </w:rPr>
              <w:t xml:space="preserve">. </w:t>
            </w:r>
            <w:r>
              <w:rPr>
                <w:sz w:val="22"/>
                <w:szCs w:val="22"/>
                <w:lang w:val="sr-Cyrl-CS"/>
              </w:rPr>
              <w:t>године</w:t>
            </w:r>
          </w:p>
          <w:p w:rsidR="00A6179C" w:rsidRDefault="00A6179C">
            <w:pPr>
              <w:tabs>
                <w:tab w:val="center" w:pos="4320"/>
                <w:tab w:val="right" w:pos="8640"/>
              </w:tabs>
              <w:ind w:right="-108"/>
              <w:jc w:val="center"/>
              <w:rPr>
                <w:spacing w:val="60"/>
                <w:sz w:val="22"/>
                <w:szCs w:val="22"/>
                <w:lang w:val="sr-Cyrl-CS"/>
              </w:rPr>
            </w:pPr>
            <w:r>
              <w:rPr>
                <w:sz w:val="22"/>
                <w:szCs w:val="22"/>
                <w:lang w:val="sr-Cyrl-CS"/>
              </w:rPr>
              <w:t>Немањина 22-26</w:t>
            </w:r>
          </w:p>
        </w:tc>
      </w:tr>
      <w:tr w:rsidR="00A6179C">
        <w:tc>
          <w:tcPr>
            <w:tcW w:w="4068" w:type="dxa"/>
          </w:tcPr>
          <w:p w:rsidR="00A6179C" w:rsidRDefault="00A6179C">
            <w:pPr>
              <w:tabs>
                <w:tab w:val="center" w:pos="4320"/>
                <w:tab w:val="right" w:pos="8640"/>
              </w:tabs>
              <w:ind w:right="-108"/>
              <w:jc w:val="center"/>
              <w:rPr>
                <w:sz w:val="22"/>
                <w:szCs w:val="22"/>
                <w:lang w:val="sr-Cyrl-CS"/>
              </w:rPr>
            </w:pPr>
            <w:r>
              <w:rPr>
                <w:sz w:val="22"/>
                <w:szCs w:val="22"/>
                <w:lang w:val="sr-Cyrl-CS"/>
              </w:rPr>
              <w:t>Б е о г р а д</w:t>
            </w:r>
          </w:p>
        </w:tc>
      </w:tr>
    </w:tbl>
    <w:p w:rsidR="00A6179C" w:rsidRDefault="00A6179C">
      <w:pPr>
        <w:pStyle w:val="Heading3"/>
        <w:rPr>
          <w:szCs w:val="22"/>
          <w:lang w:val="en-US"/>
        </w:rPr>
      </w:pPr>
    </w:p>
    <w:p w:rsidR="00A6179C" w:rsidRDefault="00A6179C">
      <w:pPr>
        <w:rPr>
          <w:sz w:val="22"/>
          <w:szCs w:val="22"/>
        </w:rPr>
      </w:pPr>
    </w:p>
    <w:p w:rsidR="00A6179C" w:rsidRDefault="00A6179C">
      <w:pPr>
        <w:rPr>
          <w:sz w:val="22"/>
          <w:szCs w:val="22"/>
        </w:rPr>
      </w:pPr>
    </w:p>
    <w:p w:rsidR="00A6179C" w:rsidRDefault="00A6179C">
      <w:pPr>
        <w:rPr>
          <w:sz w:val="22"/>
          <w:szCs w:val="22"/>
        </w:rPr>
      </w:pPr>
    </w:p>
    <w:p w:rsidR="00A6179C" w:rsidRDefault="00A6179C">
      <w:pPr>
        <w:rPr>
          <w:sz w:val="22"/>
          <w:szCs w:val="22"/>
        </w:rPr>
      </w:pPr>
    </w:p>
    <w:p w:rsidR="00A6179C" w:rsidRDefault="00A6179C">
      <w:pPr>
        <w:rPr>
          <w:sz w:val="22"/>
          <w:szCs w:val="22"/>
        </w:rPr>
      </w:pPr>
    </w:p>
    <w:p w:rsidR="00A6179C" w:rsidRDefault="00A6179C">
      <w:pPr>
        <w:rPr>
          <w:sz w:val="22"/>
          <w:szCs w:val="22"/>
        </w:rPr>
      </w:pPr>
    </w:p>
    <w:p w:rsidR="00A6179C" w:rsidRDefault="00A6179C">
      <w:pPr>
        <w:rPr>
          <w:sz w:val="22"/>
          <w:szCs w:val="22"/>
        </w:rPr>
      </w:pPr>
    </w:p>
    <w:p w:rsidR="00A6179C" w:rsidRDefault="00A6179C">
      <w:pPr>
        <w:rPr>
          <w:sz w:val="22"/>
          <w:szCs w:val="22"/>
        </w:rPr>
      </w:pPr>
    </w:p>
    <w:p w:rsidR="00A6179C" w:rsidRDefault="00A6179C">
      <w:pPr>
        <w:rPr>
          <w:sz w:val="22"/>
          <w:szCs w:val="22"/>
        </w:rPr>
      </w:pPr>
    </w:p>
    <w:p w:rsidR="00A6179C" w:rsidRDefault="00A6179C">
      <w:pPr>
        <w:rPr>
          <w:sz w:val="22"/>
          <w:szCs w:val="22"/>
        </w:rPr>
      </w:pPr>
    </w:p>
    <w:p w:rsidR="00AD45E1" w:rsidRDefault="00AD45E1" w:rsidP="000B6E71">
      <w:pPr>
        <w:jc w:val="center"/>
        <w:rPr>
          <w:b/>
          <w:sz w:val="22"/>
          <w:szCs w:val="22"/>
        </w:rPr>
      </w:pPr>
    </w:p>
    <w:p w:rsidR="00AD45E1" w:rsidRDefault="00AD45E1" w:rsidP="000B6E71">
      <w:pPr>
        <w:jc w:val="center"/>
        <w:rPr>
          <w:b/>
          <w:sz w:val="22"/>
          <w:szCs w:val="22"/>
        </w:rPr>
      </w:pPr>
    </w:p>
    <w:p w:rsidR="00AD45E1" w:rsidRDefault="00AD45E1" w:rsidP="000B6E71">
      <w:pPr>
        <w:jc w:val="center"/>
        <w:rPr>
          <w:b/>
          <w:sz w:val="22"/>
          <w:szCs w:val="22"/>
        </w:rPr>
      </w:pPr>
    </w:p>
    <w:p w:rsidR="00AD45E1" w:rsidRDefault="00AD45E1" w:rsidP="000B6E71">
      <w:pPr>
        <w:jc w:val="center"/>
        <w:rPr>
          <w:b/>
          <w:sz w:val="22"/>
          <w:szCs w:val="22"/>
        </w:rPr>
      </w:pPr>
    </w:p>
    <w:p w:rsidR="00A101FF" w:rsidRDefault="00A6179C" w:rsidP="00514B81">
      <w:pPr>
        <w:jc w:val="center"/>
        <w:rPr>
          <w:b/>
          <w:sz w:val="22"/>
          <w:szCs w:val="22"/>
        </w:rPr>
      </w:pPr>
      <w:r>
        <w:rPr>
          <w:b/>
          <w:sz w:val="22"/>
          <w:szCs w:val="22"/>
        </w:rPr>
        <w:t>ПОЈАШЊЕЊЕ  (</w:t>
      </w:r>
      <w:r w:rsidR="00A101FF">
        <w:rPr>
          <w:b/>
          <w:sz w:val="22"/>
          <w:szCs w:val="22"/>
          <w:lang w:val="sr-Cyrl-RS"/>
        </w:rPr>
        <w:t>7</w:t>
      </w:r>
      <w:r>
        <w:rPr>
          <w:b/>
          <w:sz w:val="22"/>
          <w:szCs w:val="22"/>
        </w:rPr>
        <w:t xml:space="preserve">) У  ВЕЗИ ПРИПРЕМАЊА ПОНУДЕ – </w:t>
      </w:r>
    </w:p>
    <w:p w:rsidR="00514B81" w:rsidRPr="00514B81" w:rsidRDefault="00514B81" w:rsidP="00514B81">
      <w:pPr>
        <w:jc w:val="center"/>
        <w:rPr>
          <w:rFonts w:eastAsia="Arial Unicode MS"/>
          <w:b/>
          <w:bCs/>
          <w:iCs/>
          <w:kern w:val="1"/>
          <w:lang w:val="sr-Cyrl-CS" w:eastAsia="ar-SA"/>
        </w:rPr>
      </w:pPr>
      <w:r w:rsidRPr="00514B81">
        <w:rPr>
          <w:b/>
        </w:rPr>
        <w:t xml:space="preserve">услуге </w:t>
      </w:r>
      <w:r w:rsidRPr="00514B81">
        <w:rPr>
          <w:b/>
          <w:lang w:eastAsia="en-GB"/>
        </w:rPr>
        <w:t>интернет</w:t>
      </w:r>
      <w:r w:rsidRPr="00514B81">
        <w:rPr>
          <w:b/>
          <w:lang w:val="sr-Cyrl-RS" w:eastAsia="en-GB"/>
        </w:rPr>
        <w:t>а</w:t>
      </w:r>
      <w:r w:rsidRPr="00514B81">
        <w:rPr>
          <w:b/>
          <w:lang w:eastAsia="en-GB"/>
        </w:rPr>
        <w:t xml:space="preserve"> на 278 локација у Републици Србији </w:t>
      </w:r>
    </w:p>
    <w:p w:rsidR="00AD45E1" w:rsidRPr="00514B81" w:rsidRDefault="00AD45E1" w:rsidP="00AD45E1">
      <w:pPr>
        <w:suppressAutoHyphens/>
        <w:spacing w:line="100" w:lineRule="atLeast"/>
        <w:jc w:val="center"/>
        <w:rPr>
          <w:rFonts w:eastAsia="Arial Unicode MS"/>
          <w:b/>
          <w:bCs/>
          <w:iCs/>
          <w:kern w:val="1"/>
          <w:lang w:val="sr-Cyrl-CS" w:eastAsia="ar-SA"/>
        </w:rPr>
      </w:pPr>
    </w:p>
    <w:p w:rsidR="00A6179C" w:rsidRDefault="00A6179C">
      <w:pPr>
        <w:ind w:firstLine="720"/>
        <w:jc w:val="both"/>
        <w:rPr>
          <w:sz w:val="22"/>
          <w:szCs w:val="22"/>
        </w:rPr>
      </w:pPr>
    </w:p>
    <w:p w:rsidR="00A6179C" w:rsidRPr="00A101FF" w:rsidRDefault="00A6179C" w:rsidP="00A101FF">
      <w:pPr>
        <w:jc w:val="both"/>
        <w:rPr>
          <w:szCs w:val="22"/>
        </w:rPr>
      </w:pPr>
      <w:r>
        <w:rPr>
          <w:szCs w:val="22"/>
          <w:lang w:val="sr-Cyrl-CS"/>
        </w:rPr>
        <w:t xml:space="preserve">             У отвореном поступку јавне набавке </w:t>
      </w:r>
      <w:r w:rsidR="00514B81">
        <w:t xml:space="preserve">услуге </w:t>
      </w:r>
      <w:r w:rsidR="00514B81">
        <w:rPr>
          <w:lang w:eastAsia="en-GB"/>
        </w:rPr>
        <w:t>интернет</w:t>
      </w:r>
      <w:r w:rsidR="00514B81">
        <w:rPr>
          <w:lang w:val="sr-Cyrl-RS" w:eastAsia="en-GB"/>
        </w:rPr>
        <w:t>а</w:t>
      </w:r>
      <w:r w:rsidR="00514B81">
        <w:rPr>
          <w:lang w:eastAsia="en-GB"/>
        </w:rPr>
        <w:t xml:space="preserve"> на 278 локација у Републици Србији </w:t>
      </w:r>
      <w:r>
        <w:rPr>
          <w:lang w:val="sr-Cyrl-CS"/>
        </w:rPr>
        <w:t xml:space="preserve">за потребе Министарства за рад, запошљавање, борачка и социјална питања </w:t>
      </w:r>
      <w:r>
        <w:rPr>
          <w:szCs w:val="22"/>
          <w:lang w:val="sr-Cyrl-CS"/>
        </w:rPr>
        <w:t xml:space="preserve"> ЈН бр. </w:t>
      </w:r>
      <w:r w:rsidR="00514B81">
        <w:rPr>
          <w:szCs w:val="22"/>
          <w:lang w:val="sr-Latn-RS"/>
        </w:rPr>
        <w:t>17</w:t>
      </w:r>
      <w:r>
        <w:rPr>
          <w:szCs w:val="22"/>
          <w:lang w:val="sr-Cyrl-CS"/>
        </w:rPr>
        <w:t>/201</w:t>
      </w:r>
      <w:r w:rsidR="000B6E71">
        <w:rPr>
          <w:szCs w:val="22"/>
          <w:lang w:val="sr-Cyrl-CS"/>
        </w:rPr>
        <w:t>7</w:t>
      </w:r>
      <w:r>
        <w:rPr>
          <w:szCs w:val="22"/>
          <w:lang w:val="sr-Cyrl-CS"/>
        </w:rPr>
        <w:t>, Министарству за рад, запошљавање, борачка и социјална питања, поднет je захтев за појашњење конкурсне документације.</w:t>
      </w:r>
    </w:p>
    <w:p w:rsidR="00A6179C" w:rsidRDefault="00A6179C">
      <w:pPr>
        <w:jc w:val="both"/>
        <w:rPr>
          <w:lang w:val="sr-Cyrl-CS"/>
        </w:rPr>
      </w:pPr>
      <w:r>
        <w:rPr>
          <w:color w:val="000000"/>
          <w:lang w:val="sr-Cyrl-CS"/>
        </w:rPr>
        <w:tab/>
      </w:r>
      <w:r>
        <w:t>У складу са одредбама чл. 63. ст. 3. и 4. Закона о јавним набавкама (</w:t>
      </w:r>
      <w:r>
        <w:rPr>
          <w:lang w:val="sr-Cyrl-CS"/>
        </w:rPr>
        <w:t>„</w:t>
      </w:r>
      <w:r>
        <w:t>Службени гласник РС</w:t>
      </w:r>
      <w:r>
        <w:rPr>
          <w:lang w:val="sr-Cyrl-CS"/>
        </w:rPr>
        <w:t>“</w:t>
      </w:r>
      <w:r>
        <w:t>, бр.124/12</w:t>
      </w:r>
      <w:r>
        <w:rPr>
          <w:lang w:val="sr-Cyrl-CS"/>
        </w:rPr>
        <w:t>, 14/2015 и 68/2015</w:t>
      </w:r>
      <w:r>
        <w:t>),</w:t>
      </w:r>
      <w:r>
        <w:rPr>
          <w:color w:val="FF0000"/>
        </w:rPr>
        <w:t xml:space="preserve"> </w:t>
      </w:r>
      <w:r>
        <w:t>Министарство</w:t>
      </w:r>
      <w:r w:rsidR="00A101FF">
        <w:rPr>
          <w:lang w:val="sr-Cyrl-CS"/>
        </w:rPr>
        <w:t xml:space="preserve"> за рад, запошљавање, борачка </w:t>
      </w:r>
      <w:r>
        <w:rPr>
          <w:lang w:val="sr-Cyrl-CS"/>
        </w:rPr>
        <w:t>и социјална питања</w:t>
      </w:r>
      <w:r>
        <w:t xml:space="preserve"> на постављенo питањe, доставља следећ</w:t>
      </w:r>
      <w:r>
        <w:rPr>
          <w:lang w:val="sr-Cyrl-CS"/>
        </w:rPr>
        <w:t>и</w:t>
      </w:r>
      <w:r>
        <w:t xml:space="preserve"> одговор:</w:t>
      </w:r>
    </w:p>
    <w:p w:rsidR="00A6179C" w:rsidRDefault="00A6179C">
      <w:pPr>
        <w:pStyle w:val="BodyTextIndent"/>
        <w:ind w:firstLine="0"/>
        <w:rPr>
          <w:szCs w:val="22"/>
          <w:lang w:val="sr-Cyrl-CS"/>
        </w:rPr>
      </w:pPr>
    </w:p>
    <w:p w:rsidR="00A101FF" w:rsidRPr="00A101FF" w:rsidRDefault="00A6179C" w:rsidP="00A101FF">
      <w:pPr>
        <w:jc w:val="both"/>
        <w:rPr>
          <w:lang w:val="sr-Latn-RS"/>
        </w:rPr>
      </w:pPr>
      <w:r>
        <w:rPr>
          <w:b/>
          <w:bCs/>
          <w:szCs w:val="22"/>
          <w:lang w:val="sr-Cyrl-CS"/>
        </w:rPr>
        <w:t>ПИТАЊЕ 1:</w:t>
      </w:r>
      <w:r w:rsidR="004428C6" w:rsidRPr="004428C6">
        <w:rPr>
          <w:rFonts w:ascii="Arial" w:hAnsi="Arial" w:cs="Arial"/>
          <w:sz w:val="22"/>
          <w:szCs w:val="22"/>
          <w:lang w:val="sr-Latn-RS"/>
        </w:rPr>
        <w:t xml:space="preserve"> </w:t>
      </w:r>
      <w:r w:rsidR="00A101FF" w:rsidRPr="00A101FF">
        <w:rPr>
          <w:lang w:val="sr-Latn-RS"/>
        </w:rPr>
        <w:t>У вези са изменом конкурсне документације, након усвајања Захтева за заштиту права понуђача (даље у тексту: ЗЗП):</w:t>
      </w:r>
    </w:p>
    <w:p w:rsidR="00A101FF" w:rsidRPr="00A101FF" w:rsidRDefault="00A101FF" w:rsidP="00A101FF">
      <w:pPr>
        <w:jc w:val="both"/>
        <w:rPr>
          <w:lang w:val="sr-Latn-RS"/>
        </w:rPr>
      </w:pPr>
      <w:r w:rsidRPr="00A101FF">
        <w:rPr>
          <w:lang w:val="sr-Latn-RS"/>
        </w:rPr>
        <w:t xml:space="preserve"> </w:t>
      </w:r>
    </w:p>
    <w:p w:rsidR="00A101FF" w:rsidRPr="00A101FF" w:rsidRDefault="00A101FF" w:rsidP="00A101FF">
      <w:pPr>
        <w:jc w:val="both"/>
        <w:rPr>
          <w:lang w:val="sr-Latn-RS"/>
        </w:rPr>
      </w:pPr>
      <w:r w:rsidRPr="00A101FF">
        <w:rPr>
          <w:lang w:val="sr-Latn-RS"/>
        </w:rPr>
        <w:t>Наручилац је донео одлуку којом усваја ЗЗП у целости, међутим спроведене измене конкурсне документације су искључиво формалног карактера без суштинских измена којим би се поступало у складу са усвојеним ЗЗП, те самим тим и отклониле предочене неправилности у конкурсној документацији</w:t>
      </w:r>
      <w:r>
        <w:rPr>
          <w:lang w:val="sr-Latn-RS"/>
        </w:rPr>
        <w:t>.</w:t>
      </w:r>
    </w:p>
    <w:p w:rsidR="00A101FF" w:rsidRPr="00A101FF" w:rsidRDefault="00A101FF" w:rsidP="00A101FF">
      <w:pPr>
        <w:jc w:val="both"/>
        <w:rPr>
          <w:lang w:val="sr-Latn-RS"/>
        </w:rPr>
      </w:pPr>
      <w:r w:rsidRPr="00A101FF">
        <w:rPr>
          <w:lang w:val="sr-Latn-RS"/>
        </w:rPr>
        <w:t xml:space="preserve">У тачки 1 нашег ЗЗП наводимо да “тражени број и капацитет УПС система који служе за одржавање напона до пребацивања снабдевања електричном енергијом на агрегат, прикладан је за дата центар капацитета 200 рек места, односно несразмерно је велики имајући у виду захтеваних 7 рек места”, те даље тражимо да се конкурсна документација измени “Због тога је доволјно да Наручилац у конкурсној документацији наведе захтев да дата центар испуњава стандарде за класификацију ТИЕР </w:t>
      </w:r>
      <w:r>
        <w:rPr>
          <w:lang w:val="sr-Latn-RS"/>
        </w:rPr>
        <w:t>3</w:t>
      </w:r>
      <w:r w:rsidRPr="00A101FF">
        <w:rPr>
          <w:lang w:val="sr-Latn-RS"/>
        </w:rPr>
        <w:t xml:space="preserve"> или већи, односно сувишно је да Наручилац у конкурсној документацији наводи било какве додатне захтеве”. Наручилац није изменио ни један део конкурсне документације који се тиче УПС система, у било ком облику, што је у супротности са Одлуком да се ЗЗП усваја у целости. Молимо Вас да отклоните ову неправилност у конкурсној документацији на свим местима где се наводи број и капацитет УПС система. Такође Вам указујемо још једном да број и капацитет УПС уређаја који је наведен у конкурсној документацији, као и техничко решење не представљају технничке бенефите у било ком смислу, а да истовремено таква конфигурација постоји само у једном дата центру у Републици Србији, који је у власништву Телеком Србија АД, Београд.</w:t>
      </w:r>
    </w:p>
    <w:p w:rsidR="00A101FF" w:rsidRPr="00A101FF" w:rsidRDefault="00A101FF" w:rsidP="00A101FF">
      <w:pPr>
        <w:jc w:val="both"/>
        <w:rPr>
          <w:lang w:val="sr-Latn-RS"/>
        </w:rPr>
      </w:pPr>
      <w:r w:rsidRPr="00A101FF">
        <w:rPr>
          <w:lang w:val="sr-Latn-RS"/>
        </w:rPr>
        <w:t xml:space="preserve"> </w:t>
      </w:r>
    </w:p>
    <w:p w:rsidR="00895ED0" w:rsidRPr="00A101FF" w:rsidRDefault="00A101FF" w:rsidP="00A101FF">
      <w:pPr>
        <w:jc w:val="both"/>
        <w:rPr>
          <w:lang w:val="sr-Latn-RS"/>
        </w:rPr>
      </w:pPr>
      <w:r w:rsidRPr="00A101FF">
        <w:rPr>
          <w:lang w:val="sr-Latn-RS"/>
        </w:rPr>
        <w:lastRenderedPageBreak/>
        <w:t>Такође према истој тачки ЗЗП, а везано за снагу напајања, као и снагу дизел-агрегата Наручилац је извршио само формалну измену конкурсне документације, и то само у смислу измене ознаке капацитета, тако да је уместо ознаке “МВА” унета ознака “КВА”, чиме се суштински не отклања повреда због које је захтев и поднет, а која се повреда се огледа у ограничавању конкуренције. Указујемо Вам да је у нашем Захтеву, а у вези са поменутим стајало: “Због тога је доволјно да Наручилац у конкурсној документацији наведе захтев да дата центар испуњава стандарде за класификацију ТИЕР</w:t>
      </w:r>
      <w:r>
        <w:rPr>
          <w:lang w:val="sr-Latn-RS"/>
        </w:rPr>
        <w:t xml:space="preserve"> 3</w:t>
      </w:r>
      <w:r w:rsidRPr="00A101FF">
        <w:rPr>
          <w:lang w:val="sr-Latn-RS"/>
        </w:rPr>
        <w:t xml:space="preserve"> или већи, односно сувишно је да Наручилац у конкурсној документацији наводи било какве додатне захтеве”. Као што смо раније истакли, снага агрегата се одређује према величини дата центра, и скалира се на укупно време аутономије према одговарајућим стандардима. Инсистирање на броју и снази агрегата је у супротности са ТИЕР стандардима, а на које сте се и сами раније позвали. Такође Вам указујемо да број аграгата, њихова појединачна снага коју тражите и начин повезивања не представљају технички бенефит по корисника, јер постоје друге једнако поуздане конфигурације, а истицање појединачне снаге уређаја као минималног техничког захтева је технолошки неоправдано јер се агрегати скалирају према укупном броју рек места у дата центру, ради постизања адекватне аутономије. Постоји више дата центара у Републици Србији који испуњавају услове ТИЕР </w:t>
      </w:r>
      <w:r>
        <w:rPr>
          <w:lang w:val="sr-Latn-RS"/>
        </w:rPr>
        <w:t>3</w:t>
      </w:r>
      <w:r w:rsidRPr="00A101FF">
        <w:rPr>
          <w:lang w:val="sr-Latn-RS"/>
        </w:rPr>
        <w:t xml:space="preserve"> класификације, а само један има “специфично решење” односно “снаге уређаја” које сте тражили конкурсном документацијом, иако су најмање два дата центра на вишем сертификационом нивоу од дата центра који испуњава услове снаге уређаја предвиђених конкурсном документацијом. Дакле, како би се отклонило напред наведено очигледно ограничавање конкуренције неопходно је да се конкурсна документација измени тако да се уместо навођења величине, бренда или снаге уређаја у конкурсној документацији наведу захтеви “да дата центар испуњава стандарде за класификацију ТИЕР </w:t>
      </w:r>
      <w:r>
        <w:rPr>
          <w:lang w:val="sr-Latn-RS"/>
        </w:rPr>
        <w:t>3</w:t>
      </w:r>
      <w:r w:rsidRPr="00A101FF">
        <w:rPr>
          <w:lang w:val="sr-Latn-RS"/>
        </w:rPr>
        <w:t xml:space="preserve"> или већи”.</w:t>
      </w:r>
    </w:p>
    <w:p w:rsidR="00A101FF" w:rsidRDefault="00A101FF" w:rsidP="00A101FF">
      <w:pPr>
        <w:pStyle w:val="ListParagraph"/>
        <w:suppressAutoHyphens w:val="0"/>
        <w:spacing w:line="240" w:lineRule="auto"/>
        <w:rPr>
          <w:rFonts w:ascii="Arial" w:eastAsia="Times New Roman" w:hAnsi="Arial" w:cs="Arial"/>
          <w:color w:val="auto"/>
          <w:kern w:val="0"/>
          <w:sz w:val="22"/>
          <w:szCs w:val="22"/>
          <w:lang w:val="sr-Latn-RS" w:eastAsia="en-US"/>
        </w:rPr>
      </w:pPr>
    </w:p>
    <w:p w:rsidR="00A101FF" w:rsidRDefault="00A101FF" w:rsidP="00A101FF">
      <w:pPr>
        <w:pStyle w:val="ListParagraph"/>
        <w:suppressAutoHyphens w:val="0"/>
        <w:spacing w:line="240" w:lineRule="auto"/>
        <w:rPr>
          <w:rFonts w:ascii="Arial" w:eastAsia="Times New Roman" w:hAnsi="Arial" w:cs="Arial"/>
          <w:color w:val="auto"/>
          <w:kern w:val="0"/>
          <w:sz w:val="22"/>
          <w:szCs w:val="22"/>
          <w:lang w:val="sr-Latn-RS" w:eastAsia="en-US"/>
        </w:rPr>
      </w:pPr>
    </w:p>
    <w:p w:rsidR="00A101FF" w:rsidRDefault="003339AE" w:rsidP="00A101FF">
      <w:pPr>
        <w:pStyle w:val="ListParagraph"/>
        <w:suppressAutoHyphens w:val="0"/>
        <w:spacing w:line="240" w:lineRule="auto"/>
        <w:ind w:left="0"/>
        <w:jc w:val="both"/>
        <w:rPr>
          <w:lang w:val="sr-Latn-RS"/>
        </w:rPr>
      </w:pPr>
      <w:r w:rsidRPr="003339AE">
        <w:rPr>
          <w:b/>
          <w:lang w:val="sr-Cyrl-RS"/>
        </w:rPr>
        <w:t>ОДГОВОР 1:</w:t>
      </w:r>
      <w:r w:rsidR="00A101FF">
        <w:rPr>
          <w:b/>
          <w:lang w:val="sr-Latn-RS"/>
        </w:rPr>
        <w:t xml:space="preserve"> </w:t>
      </w:r>
      <w:r w:rsidR="00A101FF" w:rsidRPr="00A101FF">
        <w:rPr>
          <w:lang w:val="sr-Latn-RS"/>
        </w:rPr>
        <w:t xml:space="preserve">Како у Републици Србији није рађена сертификација за дата центре у складу са класификацијом Тиер 3 по чак два тела за стандарде, која оба имају седишта у УСА, - </w:t>
      </w:r>
      <w:r w:rsidR="00A101FF" w:rsidRPr="00A101FF">
        <w:rPr>
          <w:i/>
          <w:iCs/>
          <w:lang w:val="sr-Latn-RS"/>
        </w:rPr>
        <w:t>Уптиме инсититут</w:t>
      </w:r>
      <w:r w:rsidR="00A101FF" w:rsidRPr="00A101FF">
        <w:rPr>
          <w:lang w:val="sr-Latn-RS"/>
        </w:rPr>
        <w:t xml:space="preserve"> и ТИА, то нема ни смисла да се инсистира на предлогу да </w:t>
      </w:r>
      <w:r w:rsidR="00A101FF" w:rsidRPr="00A101FF">
        <w:rPr>
          <w:i/>
          <w:iCs/>
          <w:lang w:val="sr-Latn-RS"/>
        </w:rPr>
        <w:t>дата центар</w:t>
      </w:r>
      <w:r w:rsidR="00A101FF" w:rsidRPr="00A101FF">
        <w:rPr>
          <w:lang w:val="sr-Latn-RS"/>
        </w:rPr>
        <w:t xml:space="preserve"> испуњава стандарде за класификацију Тиер 3 или већи. То значи да није ни могуће јасно идентификовати који од </w:t>
      </w:r>
      <w:r w:rsidR="00A101FF" w:rsidRPr="00A101FF">
        <w:rPr>
          <w:i/>
          <w:iCs/>
          <w:lang w:val="sr-Latn-RS"/>
        </w:rPr>
        <w:t>дата центара</w:t>
      </w:r>
      <w:r w:rsidR="00A101FF" w:rsidRPr="00A101FF">
        <w:rPr>
          <w:lang w:val="sr-Latn-RS"/>
        </w:rPr>
        <w:t xml:space="preserve"> у Србији испуњавају услове који су и наведени у описима ове класификације и то од стране два различита стандардизациона тела. Стога се из ових разлога одбија предлог да стоји формулација коју захтевате. Како би се обезбедила конкурентност и истовременоа већа транспарентност поступка, прихвата се предлог да се из КД обришу наведени захтевани капацитети. Мења се КД тако да се опис који се односи на тражене капацитете промени тако да гласи да је потребно да понуђач у делу који се односи на снабдевање електричном енергијом гарантује да систем за електрично напајање има ниво редундантности од 2Н</w:t>
      </w:r>
      <w:r w:rsidR="00A101FF">
        <w:rPr>
          <w:lang w:val="sr-Latn-RS"/>
        </w:rPr>
        <w:t xml:space="preserve">+1 </w:t>
      </w:r>
      <w:r w:rsidR="00A101FF" w:rsidRPr="00A101FF">
        <w:rPr>
          <w:lang w:val="sr-Latn-RS"/>
        </w:rPr>
        <w:t xml:space="preserve">(један радни систем, аутоматски резервни систем, додатни резервни систем). Оваквим нивоом редундансе се гарантује да ће ниво расположивости напајања бити у складу са потребним нивоом расположивости ИЦТ сервиса од националног значаја за Републику Србију. </w:t>
      </w:r>
    </w:p>
    <w:p w:rsidR="00A101FF" w:rsidRDefault="00A101FF" w:rsidP="00A101FF">
      <w:pPr>
        <w:pStyle w:val="ListParagraph"/>
        <w:suppressAutoHyphens w:val="0"/>
        <w:spacing w:line="240" w:lineRule="auto"/>
        <w:ind w:left="0"/>
        <w:jc w:val="both"/>
        <w:rPr>
          <w:lang w:val="sr-Latn-RS"/>
        </w:rPr>
      </w:pPr>
    </w:p>
    <w:p w:rsidR="00A101FF" w:rsidRDefault="00A101FF" w:rsidP="00A101FF">
      <w:pPr>
        <w:pStyle w:val="ListParagraph"/>
        <w:suppressAutoHyphens w:val="0"/>
        <w:spacing w:line="240" w:lineRule="auto"/>
        <w:ind w:left="0"/>
        <w:jc w:val="both"/>
        <w:rPr>
          <w:lang w:val="sr-Latn-RS"/>
        </w:rPr>
      </w:pPr>
    </w:p>
    <w:p w:rsidR="00A101FF" w:rsidRPr="00A101FF" w:rsidRDefault="00A101FF" w:rsidP="00A101FF">
      <w:pPr>
        <w:jc w:val="both"/>
      </w:pPr>
      <w:r w:rsidRPr="00A101FF">
        <w:rPr>
          <w:b/>
          <w:lang w:val="sr-Cyrl-CS"/>
        </w:rPr>
        <w:t>ПИТАЊЕ 2:</w:t>
      </w:r>
      <w:r>
        <w:rPr>
          <w:lang w:val="sr-Cyrl-CS"/>
        </w:rPr>
        <w:t xml:space="preserve"> </w:t>
      </w:r>
      <w:r w:rsidRPr="00A101FF">
        <w:rPr>
          <w:lang w:val="de-DE"/>
        </w:rPr>
        <w:t>Даље, у нашем ЗЗП, у тачки 3, а у вези ране дојаве пожара, навели смо: “Другим речима, уколико не постоји стална л</w:t>
      </w:r>
      <w:r w:rsidRPr="00A101FF">
        <w:t>ј</w:t>
      </w:r>
      <w:r w:rsidRPr="00A101FF">
        <w:rPr>
          <w:lang w:val="de-DE"/>
        </w:rPr>
        <w:t>удска посада у самом дата центру, систем ране дојаве нема апсолутно никакав посебан значај, те смо стога и предложили Наручиоцу да је сврсисходније једнако вредновати људску посаду као и овај систем, али наравно без инсистирања на специфичној робној марки истог.”</w:t>
      </w:r>
    </w:p>
    <w:p w:rsidR="00A101FF" w:rsidRDefault="00A101FF" w:rsidP="00A101FF">
      <w:pPr>
        <w:jc w:val="both"/>
      </w:pPr>
      <w:r w:rsidRPr="00A101FF">
        <w:lastRenderedPageBreak/>
        <w:t>Наручилац је, формално, усвојио ЗЗП у целости, а у измењеној документацији наведено је следеће: “Рано упозорење (ВЕСДА) – ласерска детекција дима, са детекцијом дима у свакој целини (боксу) или одговарајући”, док се људска посада нигде не спомиње у измењеној конкурсној документацији. Како је наш ЗЗП усвојен у целости, конкурсна документације би требала бити измењена и у овом делу у смислу следеће допуне постављеног захтева: “Рано упозорење (ВЕСДА) – ласерска детекција дима, са детекцијом дима у свакој целини (боксу) или одговарајући, или стално присуство људске посаде у дата центру – особља за надзор.”</w:t>
      </w:r>
    </w:p>
    <w:p w:rsidR="00A101FF" w:rsidRDefault="00A101FF" w:rsidP="00A101FF">
      <w:pPr>
        <w:jc w:val="both"/>
      </w:pPr>
    </w:p>
    <w:p w:rsidR="00A101FF" w:rsidRDefault="00A101FF" w:rsidP="00A101FF">
      <w:pPr>
        <w:pStyle w:val="ListParagraph"/>
        <w:suppressAutoHyphens w:val="0"/>
        <w:spacing w:line="240" w:lineRule="auto"/>
        <w:ind w:left="0"/>
        <w:jc w:val="both"/>
        <w:rPr>
          <w:lang w:val="sr-Latn-RS"/>
        </w:rPr>
      </w:pPr>
      <w:r w:rsidRPr="00A101FF">
        <w:rPr>
          <w:b/>
          <w:lang w:val="sr-Cyrl-CS"/>
        </w:rPr>
        <w:t>ОДГОВОР 2:</w:t>
      </w:r>
      <w:r>
        <w:rPr>
          <w:b/>
          <w:lang w:val="sr-Cyrl-CS"/>
        </w:rPr>
        <w:t xml:space="preserve"> </w:t>
      </w:r>
      <w:r w:rsidRPr="00A101FF">
        <w:rPr>
          <w:lang w:val="sr-Latn-RS"/>
        </w:rPr>
        <w:t>Сагласни смо да је потребно постојање и људске посаде уз систем за рану детекцију пожара, тако да се уз услов да дата центар мора да поседује систем за рану детекцију пожара додаје и услов да мора да има сталну људску посаду, дакле оба услова су обавезна.</w:t>
      </w:r>
    </w:p>
    <w:p w:rsidR="00A101FF" w:rsidRDefault="00A101FF" w:rsidP="00A101FF">
      <w:pPr>
        <w:jc w:val="both"/>
        <w:rPr>
          <w:b/>
          <w:lang w:val="sr-Cyrl-CS"/>
        </w:rPr>
      </w:pPr>
    </w:p>
    <w:p w:rsidR="00A101FF" w:rsidRDefault="00A101FF" w:rsidP="00A101FF">
      <w:pPr>
        <w:jc w:val="both"/>
        <w:rPr>
          <w:lang w:val="de-DE"/>
        </w:rPr>
      </w:pPr>
      <w:r>
        <w:rPr>
          <w:b/>
          <w:lang w:val="sr-Cyrl-CS"/>
        </w:rPr>
        <w:t xml:space="preserve">ПИТАЊЕ 3: </w:t>
      </w:r>
      <w:r>
        <w:t>На</w:t>
      </w:r>
      <w:r w:rsidRPr="00A101FF">
        <w:t xml:space="preserve"> </w:t>
      </w:r>
      <w:r>
        <w:t>страни</w:t>
      </w:r>
      <w:r w:rsidRPr="00A101FF">
        <w:t xml:space="preserve"> 26/56 </w:t>
      </w:r>
      <w:r>
        <w:t>конкурсне</w:t>
      </w:r>
      <w:r w:rsidRPr="00A101FF">
        <w:t xml:space="preserve"> </w:t>
      </w:r>
      <w:r>
        <w:t>документације</w:t>
      </w:r>
      <w:r w:rsidRPr="00A101FF">
        <w:t xml:space="preserve"> </w:t>
      </w:r>
      <w:r>
        <w:t>у</w:t>
      </w:r>
      <w:r w:rsidRPr="00A101FF">
        <w:t xml:space="preserve"> </w:t>
      </w:r>
      <w:r>
        <w:t>делу</w:t>
      </w:r>
      <w:r w:rsidRPr="00A101FF">
        <w:rPr>
          <w:rStyle w:val="apple-converted-space"/>
        </w:rPr>
        <w:t> </w:t>
      </w:r>
      <w:r>
        <w:rPr>
          <w:i/>
          <w:iCs/>
        </w:rPr>
        <w:t>технички</w:t>
      </w:r>
      <w:r w:rsidRPr="00A101FF">
        <w:rPr>
          <w:i/>
          <w:iCs/>
        </w:rPr>
        <w:t xml:space="preserve"> </w:t>
      </w:r>
      <w:r>
        <w:rPr>
          <w:i/>
          <w:iCs/>
        </w:rPr>
        <w:t>капацитет</w:t>
      </w:r>
      <w:r w:rsidRPr="00A101FF">
        <w:rPr>
          <w:rStyle w:val="apple-converted-space"/>
        </w:rPr>
        <w:t> </w:t>
      </w:r>
      <w:r>
        <w:t>стоји</w:t>
      </w:r>
      <w:r w:rsidRPr="00A101FF">
        <w:t xml:space="preserve"> </w:t>
      </w:r>
      <w:r>
        <w:t>да</w:t>
      </w:r>
      <w:r w:rsidRPr="00A101FF">
        <w:t xml:space="preserve"> </w:t>
      </w:r>
      <w:r>
        <w:t>је</w:t>
      </w:r>
      <w:r w:rsidRPr="00A101FF">
        <w:t xml:space="preserve"> </w:t>
      </w:r>
      <w:r>
        <w:t>понуђач</w:t>
      </w:r>
      <w:r w:rsidRPr="00A101FF">
        <w:t xml:space="preserve"> </w:t>
      </w:r>
      <w:r>
        <w:t>дужан</w:t>
      </w:r>
      <w:r w:rsidRPr="00A101FF">
        <w:t xml:space="preserve"> </w:t>
      </w:r>
      <w:r>
        <w:t>да</w:t>
      </w:r>
      <w:r w:rsidRPr="00A101FF">
        <w:t xml:space="preserve"> </w:t>
      </w:r>
      <w:r>
        <w:t>располаже</w:t>
      </w:r>
      <w:r w:rsidRPr="00A101FF">
        <w:t xml:space="preserve"> </w:t>
      </w:r>
      <w:r>
        <w:t>неопходним</w:t>
      </w:r>
      <w:r w:rsidRPr="00A101FF">
        <w:t xml:space="preserve"> </w:t>
      </w:r>
      <w:r>
        <w:t>пословним</w:t>
      </w:r>
      <w:r w:rsidRPr="00A101FF">
        <w:t xml:space="preserve"> </w:t>
      </w:r>
      <w:r>
        <w:t>капацитетом</w:t>
      </w:r>
      <w:r w:rsidRPr="00A101FF">
        <w:t xml:space="preserve"> </w:t>
      </w:r>
      <w:r>
        <w:t>и</w:t>
      </w:r>
      <w:r w:rsidRPr="00A101FF">
        <w:t xml:space="preserve"> </w:t>
      </w:r>
      <w:r>
        <w:t>да</w:t>
      </w:r>
      <w:r w:rsidRPr="00A101FF">
        <w:t xml:space="preserve"> </w:t>
      </w:r>
      <w:r>
        <w:t>поседује</w:t>
      </w:r>
      <w:r w:rsidRPr="00A101FF">
        <w:t xml:space="preserve"> </w:t>
      </w:r>
      <w:r>
        <w:t>сертификате</w:t>
      </w:r>
      <w:r w:rsidRPr="00A101FF">
        <w:t xml:space="preserve"> </w:t>
      </w:r>
      <w:r>
        <w:t>ИСО</w:t>
      </w:r>
      <w:r w:rsidRPr="00A101FF">
        <w:t xml:space="preserve"> 9001:2008; </w:t>
      </w:r>
      <w:r>
        <w:t>ИСО</w:t>
      </w:r>
      <w:r w:rsidRPr="00A101FF">
        <w:t xml:space="preserve"> 20000-1:2011 </w:t>
      </w:r>
      <w:r>
        <w:t>и</w:t>
      </w:r>
      <w:r w:rsidRPr="00A101FF">
        <w:t xml:space="preserve"> </w:t>
      </w:r>
      <w:r>
        <w:t>ИСО</w:t>
      </w:r>
      <w:r w:rsidRPr="00A101FF">
        <w:t xml:space="preserve"> 27001:2013.</w:t>
      </w:r>
      <w:r w:rsidRPr="00A101FF">
        <w:rPr>
          <w:rStyle w:val="apple-converted-space"/>
        </w:rPr>
        <w:t> </w:t>
      </w:r>
      <w:r>
        <w:rPr>
          <w:lang w:val="de-DE"/>
        </w:rPr>
        <w:t>Такође</w:t>
      </w:r>
      <w:r w:rsidRPr="00A101FF">
        <w:rPr>
          <w:lang w:val="de-DE"/>
        </w:rPr>
        <w:t xml:space="preserve"> </w:t>
      </w:r>
      <w:r>
        <w:rPr>
          <w:lang w:val="de-DE"/>
        </w:rPr>
        <w:t>је</w:t>
      </w:r>
      <w:r w:rsidRPr="00A101FF">
        <w:rPr>
          <w:lang w:val="de-DE"/>
        </w:rPr>
        <w:t xml:space="preserve"> </w:t>
      </w:r>
      <w:r>
        <w:rPr>
          <w:lang w:val="de-DE"/>
        </w:rPr>
        <w:t>наведено</w:t>
      </w:r>
      <w:r w:rsidRPr="00A101FF">
        <w:rPr>
          <w:lang w:val="de-DE"/>
        </w:rPr>
        <w:t xml:space="preserve"> </w:t>
      </w:r>
      <w:r>
        <w:rPr>
          <w:lang w:val="de-DE"/>
        </w:rPr>
        <w:t>да</w:t>
      </w:r>
      <w:r w:rsidRPr="00A101FF">
        <w:rPr>
          <w:lang w:val="de-DE"/>
        </w:rPr>
        <w:t xml:space="preserve"> </w:t>
      </w:r>
      <w:r>
        <w:rPr>
          <w:lang w:val="de-DE"/>
        </w:rPr>
        <w:t>сертификати</w:t>
      </w:r>
      <w:r w:rsidRPr="00A101FF">
        <w:rPr>
          <w:lang w:val="de-DE"/>
        </w:rPr>
        <w:t xml:space="preserve"> </w:t>
      </w:r>
      <w:r>
        <w:rPr>
          <w:lang w:val="de-DE"/>
        </w:rPr>
        <w:t>морају</w:t>
      </w:r>
      <w:r w:rsidRPr="00A101FF">
        <w:rPr>
          <w:lang w:val="de-DE"/>
        </w:rPr>
        <w:t xml:space="preserve"> </w:t>
      </w:r>
      <w:r>
        <w:rPr>
          <w:lang w:val="de-DE"/>
        </w:rPr>
        <w:t>да</w:t>
      </w:r>
      <w:r w:rsidRPr="00A101FF">
        <w:rPr>
          <w:lang w:val="de-DE"/>
        </w:rPr>
        <w:t xml:space="preserve"> </w:t>
      </w:r>
      <w:r>
        <w:rPr>
          <w:lang w:val="de-DE"/>
        </w:rPr>
        <w:t>буду</w:t>
      </w:r>
      <w:r w:rsidRPr="00A101FF">
        <w:rPr>
          <w:lang w:val="de-DE"/>
        </w:rPr>
        <w:t xml:space="preserve"> </w:t>
      </w:r>
      <w:r>
        <w:rPr>
          <w:lang w:val="de-DE"/>
        </w:rPr>
        <w:t>важећи</w:t>
      </w:r>
      <w:r w:rsidRPr="00A101FF">
        <w:rPr>
          <w:lang w:val="de-DE"/>
        </w:rPr>
        <w:t xml:space="preserve"> </w:t>
      </w:r>
      <w:r>
        <w:rPr>
          <w:lang w:val="de-DE"/>
        </w:rPr>
        <w:t>у</w:t>
      </w:r>
      <w:r w:rsidRPr="00A101FF">
        <w:rPr>
          <w:lang w:val="de-DE"/>
        </w:rPr>
        <w:t xml:space="preserve"> </w:t>
      </w:r>
      <w:r>
        <w:rPr>
          <w:lang w:val="de-DE"/>
        </w:rPr>
        <w:t>тренутку</w:t>
      </w:r>
      <w:r w:rsidRPr="00A101FF">
        <w:rPr>
          <w:lang w:val="de-DE"/>
        </w:rPr>
        <w:t xml:space="preserve"> </w:t>
      </w:r>
      <w:r>
        <w:rPr>
          <w:lang w:val="de-DE"/>
        </w:rPr>
        <w:t>отварања</w:t>
      </w:r>
      <w:r w:rsidRPr="00A101FF">
        <w:rPr>
          <w:lang w:val="de-DE"/>
        </w:rPr>
        <w:t xml:space="preserve"> </w:t>
      </w:r>
      <w:r>
        <w:rPr>
          <w:lang w:val="de-DE"/>
        </w:rPr>
        <w:t>понуда</w:t>
      </w:r>
      <w:r w:rsidRPr="00A101FF">
        <w:rPr>
          <w:lang w:val="de-DE"/>
        </w:rPr>
        <w:t xml:space="preserve">. </w:t>
      </w:r>
      <w:r>
        <w:rPr>
          <w:lang w:val="de-DE"/>
        </w:rPr>
        <w:t>У</w:t>
      </w:r>
      <w:r w:rsidRPr="00A101FF">
        <w:rPr>
          <w:lang w:val="de-DE"/>
        </w:rPr>
        <w:t xml:space="preserve"> </w:t>
      </w:r>
      <w:r>
        <w:rPr>
          <w:lang w:val="de-DE"/>
        </w:rPr>
        <w:t>том</w:t>
      </w:r>
      <w:r w:rsidRPr="00A101FF">
        <w:rPr>
          <w:lang w:val="de-DE"/>
        </w:rPr>
        <w:t xml:space="preserve"> </w:t>
      </w:r>
      <w:r>
        <w:rPr>
          <w:lang w:val="de-DE"/>
        </w:rPr>
        <w:t>истом</w:t>
      </w:r>
      <w:r w:rsidRPr="00A101FF">
        <w:rPr>
          <w:lang w:val="de-DE"/>
        </w:rPr>
        <w:t xml:space="preserve"> </w:t>
      </w:r>
      <w:r>
        <w:rPr>
          <w:lang w:val="de-DE"/>
        </w:rPr>
        <w:t>пасусу</w:t>
      </w:r>
      <w:r w:rsidRPr="00A101FF">
        <w:rPr>
          <w:lang w:val="de-DE"/>
        </w:rPr>
        <w:t xml:space="preserve"> </w:t>
      </w:r>
      <w:r>
        <w:rPr>
          <w:lang w:val="de-DE"/>
        </w:rPr>
        <w:t>је</w:t>
      </w:r>
      <w:r w:rsidRPr="00A101FF">
        <w:rPr>
          <w:lang w:val="de-DE"/>
        </w:rPr>
        <w:t xml:space="preserve"> </w:t>
      </w:r>
      <w:r>
        <w:rPr>
          <w:lang w:val="de-DE"/>
        </w:rPr>
        <w:t>наведено</w:t>
      </w:r>
      <w:r w:rsidRPr="00A101FF">
        <w:rPr>
          <w:lang w:val="de-DE"/>
        </w:rPr>
        <w:t xml:space="preserve"> </w:t>
      </w:r>
      <w:r>
        <w:rPr>
          <w:lang w:val="de-DE"/>
        </w:rPr>
        <w:t>да</w:t>
      </w:r>
      <w:r w:rsidRPr="00A101FF">
        <w:rPr>
          <w:lang w:val="de-DE"/>
        </w:rPr>
        <w:t xml:space="preserve"> </w:t>
      </w:r>
      <w:r>
        <w:rPr>
          <w:lang w:val="de-DE"/>
        </w:rPr>
        <w:t>понуђач</w:t>
      </w:r>
      <w:r w:rsidRPr="00A101FF">
        <w:rPr>
          <w:lang w:val="de-DE"/>
        </w:rPr>
        <w:t xml:space="preserve"> </w:t>
      </w:r>
      <w:r>
        <w:rPr>
          <w:lang w:val="de-DE"/>
        </w:rPr>
        <w:t>може</w:t>
      </w:r>
      <w:r w:rsidRPr="00A101FF">
        <w:rPr>
          <w:lang w:val="de-DE"/>
        </w:rPr>
        <w:t xml:space="preserve"> </w:t>
      </w:r>
      <w:r>
        <w:rPr>
          <w:lang w:val="de-DE"/>
        </w:rPr>
        <w:t>доставити</w:t>
      </w:r>
      <w:r w:rsidRPr="00A101FF">
        <w:rPr>
          <w:lang w:val="de-DE"/>
        </w:rPr>
        <w:t xml:space="preserve"> </w:t>
      </w:r>
      <w:r>
        <w:rPr>
          <w:lang w:val="de-DE"/>
        </w:rPr>
        <w:t>и</w:t>
      </w:r>
      <w:r w:rsidRPr="00A101FF">
        <w:rPr>
          <w:lang w:val="de-DE"/>
        </w:rPr>
        <w:t xml:space="preserve"> </w:t>
      </w:r>
      <w:r>
        <w:rPr>
          <w:lang w:val="de-DE"/>
        </w:rPr>
        <w:t>потврду</w:t>
      </w:r>
      <w:r w:rsidRPr="00A101FF">
        <w:rPr>
          <w:lang w:val="de-DE"/>
        </w:rPr>
        <w:t xml:space="preserve"> </w:t>
      </w:r>
      <w:r>
        <w:rPr>
          <w:lang w:val="de-DE"/>
        </w:rPr>
        <w:t>да</w:t>
      </w:r>
      <w:r w:rsidRPr="00A101FF">
        <w:rPr>
          <w:lang w:val="de-DE"/>
        </w:rPr>
        <w:t xml:space="preserve"> </w:t>
      </w:r>
      <w:r>
        <w:rPr>
          <w:lang w:val="de-DE"/>
        </w:rPr>
        <w:t>је</w:t>
      </w:r>
      <w:r w:rsidRPr="00A101FF">
        <w:rPr>
          <w:lang w:val="de-DE"/>
        </w:rPr>
        <w:t xml:space="preserve"> </w:t>
      </w:r>
      <w:r>
        <w:rPr>
          <w:lang w:val="de-DE"/>
        </w:rPr>
        <w:t>поступак</w:t>
      </w:r>
      <w:r w:rsidRPr="00A101FF">
        <w:rPr>
          <w:lang w:val="de-DE"/>
        </w:rPr>
        <w:t xml:space="preserve"> </w:t>
      </w:r>
      <w:r>
        <w:rPr>
          <w:lang w:val="de-DE"/>
        </w:rPr>
        <w:t>сертификације</w:t>
      </w:r>
      <w:r w:rsidRPr="00A101FF">
        <w:rPr>
          <w:lang w:val="de-DE"/>
        </w:rPr>
        <w:t xml:space="preserve"> </w:t>
      </w:r>
      <w:r>
        <w:rPr>
          <w:lang w:val="de-DE"/>
        </w:rPr>
        <w:t>или</w:t>
      </w:r>
      <w:r w:rsidRPr="00A101FF">
        <w:rPr>
          <w:lang w:val="de-DE"/>
        </w:rPr>
        <w:t xml:space="preserve"> </w:t>
      </w:r>
      <w:r>
        <w:rPr>
          <w:lang w:val="de-DE"/>
        </w:rPr>
        <w:t>ресертификације</w:t>
      </w:r>
      <w:r w:rsidRPr="00A101FF">
        <w:rPr>
          <w:lang w:val="de-DE"/>
        </w:rPr>
        <w:t xml:space="preserve"> </w:t>
      </w:r>
      <w:r>
        <w:rPr>
          <w:lang w:val="de-DE"/>
        </w:rPr>
        <w:t>у</w:t>
      </w:r>
      <w:r w:rsidRPr="00A101FF">
        <w:rPr>
          <w:lang w:val="de-DE"/>
        </w:rPr>
        <w:t xml:space="preserve"> </w:t>
      </w:r>
      <w:r>
        <w:rPr>
          <w:lang w:val="de-DE"/>
        </w:rPr>
        <w:t>току</w:t>
      </w:r>
      <w:r w:rsidRPr="00A101FF">
        <w:rPr>
          <w:lang w:val="de-DE"/>
        </w:rPr>
        <w:t xml:space="preserve">. </w:t>
      </w:r>
      <w:r>
        <w:rPr>
          <w:lang w:val="de-DE"/>
        </w:rPr>
        <w:t>Ове</w:t>
      </w:r>
      <w:r w:rsidRPr="00A101FF">
        <w:rPr>
          <w:lang w:val="de-DE"/>
        </w:rPr>
        <w:t xml:space="preserve"> </w:t>
      </w:r>
      <w:r>
        <w:rPr>
          <w:lang w:val="de-DE"/>
        </w:rPr>
        <w:t>две</w:t>
      </w:r>
      <w:r w:rsidRPr="00A101FF">
        <w:rPr>
          <w:lang w:val="de-DE"/>
        </w:rPr>
        <w:t xml:space="preserve"> </w:t>
      </w:r>
      <w:r>
        <w:rPr>
          <w:lang w:val="de-DE"/>
        </w:rPr>
        <w:t>ствари</w:t>
      </w:r>
      <w:r w:rsidRPr="00A101FF">
        <w:rPr>
          <w:lang w:val="de-DE"/>
        </w:rPr>
        <w:t xml:space="preserve"> </w:t>
      </w:r>
      <w:r>
        <w:rPr>
          <w:lang w:val="de-DE"/>
        </w:rPr>
        <w:t>су</w:t>
      </w:r>
      <w:r w:rsidRPr="00A101FF">
        <w:rPr>
          <w:lang w:val="de-DE"/>
        </w:rPr>
        <w:t xml:space="preserve"> </w:t>
      </w:r>
      <w:r>
        <w:rPr>
          <w:lang w:val="de-DE"/>
        </w:rPr>
        <w:t>у</w:t>
      </w:r>
      <w:r w:rsidRPr="00A101FF">
        <w:rPr>
          <w:lang w:val="de-DE"/>
        </w:rPr>
        <w:t xml:space="preserve"> </w:t>
      </w:r>
      <w:r>
        <w:rPr>
          <w:lang w:val="de-DE"/>
        </w:rPr>
        <w:t>супротности</w:t>
      </w:r>
      <w:r w:rsidRPr="00A101FF">
        <w:rPr>
          <w:lang w:val="de-DE"/>
        </w:rPr>
        <w:t xml:space="preserve"> </w:t>
      </w:r>
      <w:r>
        <w:rPr>
          <w:lang w:val="de-DE"/>
        </w:rPr>
        <w:t>једна</w:t>
      </w:r>
      <w:r w:rsidRPr="00A101FF">
        <w:rPr>
          <w:lang w:val="de-DE"/>
        </w:rPr>
        <w:t xml:space="preserve"> </w:t>
      </w:r>
      <w:r>
        <w:rPr>
          <w:lang w:val="de-DE"/>
        </w:rPr>
        <w:t>са</w:t>
      </w:r>
      <w:r w:rsidRPr="00A101FF">
        <w:rPr>
          <w:lang w:val="de-DE"/>
        </w:rPr>
        <w:t xml:space="preserve"> </w:t>
      </w:r>
      <w:r>
        <w:rPr>
          <w:lang w:val="de-DE"/>
        </w:rPr>
        <w:t>другом</w:t>
      </w:r>
      <w:r w:rsidRPr="00A101FF">
        <w:rPr>
          <w:lang w:val="de-DE"/>
        </w:rPr>
        <w:t xml:space="preserve"> </w:t>
      </w:r>
      <w:r>
        <w:rPr>
          <w:lang w:val="de-DE"/>
        </w:rPr>
        <w:t>пошто</w:t>
      </w:r>
      <w:r w:rsidRPr="00A101FF">
        <w:rPr>
          <w:lang w:val="de-DE"/>
        </w:rPr>
        <w:t xml:space="preserve"> </w:t>
      </w:r>
      <w:r>
        <w:rPr>
          <w:lang w:val="de-DE"/>
        </w:rPr>
        <w:t>не</w:t>
      </w:r>
      <w:r w:rsidRPr="00A101FF">
        <w:rPr>
          <w:lang w:val="de-DE"/>
        </w:rPr>
        <w:t xml:space="preserve"> </w:t>
      </w:r>
      <w:r>
        <w:rPr>
          <w:lang w:val="de-DE"/>
        </w:rPr>
        <w:t>може</w:t>
      </w:r>
      <w:r w:rsidRPr="00A101FF">
        <w:rPr>
          <w:lang w:val="de-DE"/>
        </w:rPr>
        <w:t xml:space="preserve"> </w:t>
      </w:r>
      <w:r>
        <w:rPr>
          <w:lang w:val="de-DE"/>
        </w:rPr>
        <w:t>компанија</w:t>
      </w:r>
      <w:r w:rsidRPr="00A101FF">
        <w:rPr>
          <w:lang w:val="de-DE"/>
        </w:rPr>
        <w:t xml:space="preserve"> </w:t>
      </w:r>
      <w:r>
        <w:rPr>
          <w:lang w:val="de-DE"/>
        </w:rPr>
        <w:t>да</w:t>
      </w:r>
      <w:r w:rsidRPr="00A101FF">
        <w:rPr>
          <w:lang w:val="de-DE"/>
        </w:rPr>
        <w:t xml:space="preserve"> </w:t>
      </w:r>
      <w:r>
        <w:rPr>
          <w:lang w:val="de-DE"/>
        </w:rPr>
        <w:t>располаже</w:t>
      </w:r>
      <w:r w:rsidRPr="00A101FF">
        <w:rPr>
          <w:lang w:val="de-DE"/>
        </w:rPr>
        <w:t xml:space="preserve"> </w:t>
      </w:r>
      <w:r>
        <w:rPr>
          <w:lang w:val="de-DE"/>
        </w:rPr>
        <w:t>сертификатом</w:t>
      </w:r>
      <w:r w:rsidRPr="00A101FF">
        <w:rPr>
          <w:lang w:val="de-DE"/>
        </w:rPr>
        <w:t xml:space="preserve"> </w:t>
      </w:r>
      <w:r>
        <w:rPr>
          <w:lang w:val="de-DE"/>
        </w:rPr>
        <w:t>ако</w:t>
      </w:r>
      <w:r w:rsidRPr="00A101FF">
        <w:rPr>
          <w:lang w:val="de-DE"/>
        </w:rPr>
        <w:t xml:space="preserve"> </w:t>
      </w:r>
      <w:r>
        <w:rPr>
          <w:lang w:val="de-DE"/>
        </w:rPr>
        <w:t>је</w:t>
      </w:r>
      <w:r w:rsidRPr="00A101FF">
        <w:rPr>
          <w:lang w:val="de-DE"/>
        </w:rPr>
        <w:t xml:space="preserve"> </w:t>
      </w:r>
      <w:r>
        <w:rPr>
          <w:lang w:val="de-DE"/>
        </w:rPr>
        <w:t>сертификација</w:t>
      </w:r>
      <w:r w:rsidRPr="00A101FF">
        <w:rPr>
          <w:lang w:val="de-DE"/>
        </w:rPr>
        <w:t xml:space="preserve"> </w:t>
      </w:r>
      <w:r>
        <w:rPr>
          <w:lang w:val="de-DE"/>
        </w:rPr>
        <w:t>у</w:t>
      </w:r>
      <w:r w:rsidRPr="00A101FF">
        <w:rPr>
          <w:lang w:val="de-DE"/>
        </w:rPr>
        <w:t xml:space="preserve"> </w:t>
      </w:r>
      <w:r>
        <w:rPr>
          <w:lang w:val="de-DE"/>
        </w:rPr>
        <w:t>току</w:t>
      </w:r>
      <w:r w:rsidRPr="00A101FF">
        <w:rPr>
          <w:lang w:val="de-DE"/>
        </w:rPr>
        <w:t xml:space="preserve"> – </w:t>
      </w:r>
      <w:r>
        <w:rPr>
          <w:lang w:val="de-DE"/>
        </w:rPr>
        <w:t>у</w:t>
      </w:r>
      <w:r w:rsidRPr="00A101FF">
        <w:rPr>
          <w:lang w:val="de-DE"/>
        </w:rPr>
        <w:t xml:space="preserve"> </w:t>
      </w:r>
      <w:r>
        <w:rPr>
          <w:lang w:val="de-DE"/>
        </w:rPr>
        <w:t>овом</w:t>
      </w:r>
      <w:r w:rsidRPr="00A101FF">
        <w:rPr>
          <w:lang w:val="de-DE"/>
        </w:rPr>
        <w:t xml:space="preserve"> </w:t>
      </w:r>
      <w:r>
        <w:rPr>
          <w:lang w:val="de-DE"/>
        </w:rPr>
        <w:t>случају</w:t>
      </w:r>
      <w:r w:rsidRPr="00A101FF">
        <w:rPr>
          <w:lang w:val="de-DE"/>
        </w:rPr>
        <w:t xml:space="preserve"> </w:t>
      </w:r>
      <w:r>
        <w:rPr>
          <w:lang w:val="de-DE"/>
        </w:rPr>
        <w:t>ради</w:t>
      </w:r>
      <w:r w:rsidRPr="00A101FF">
        <w:rPr>
          <w:lang w:val="de-DE"/>
        </w:rPr>
        <w:t xml:space="preserve"> </w:t>
      </w:r>
      <w:r>
        <w:rPr>
          <w:lang w:val="de-DE"/>
        </w:rPr>
        <w:t>се</w:t>
      </w:r>
      <w:r w:rsidRPr="00A101FF">
        <w:rPr>
          <w:lang w:val="de-DE"/>
        </w:rPr>
        <w:t xml:space="preserve"> </w:t>
      </w:r>
      <w:r>
        <w:rPr>
          <w:lang w:val="de-DE"/>
        </w:rPr>
        <w:t>о</w:t>
      </w:r>
      <w:r w:rsidRPr="00A101FF">
        <w:rPr>
          <w:lang w:val="de-DE"/>
        </w:rPr>
        <w:t xml:space="preserve"> </w:t>
      </w:r>
      <w:r>
        <w:rPr>
          <w:lang w:val="de-DE"/>
        </w:rPr>
        <w:t>компанији</w:t>
      </w:r>
      <w:r w:rsidRPr="00A101FF">
        <w:rPr>
          <w:lang w:val="de-DE"/>
        </w:rPr>
        <w:t xml:space="preserve"> </w:t>
      </w:r>
      <w:r>
        <w:rPr>
          <w:lang w:val="de-DE"/>
        </w:rPr>
        <w:t>која</w:t>
      </w:r>
      <w:r w:rsidRPr="00A101FF">
        <w:rPr>
          <w:lang w:val="de-DE"/>
        </w:rPr>
        <w:t xml:space="preserve"> </w:t>
      </w:r>
      <w:r>
        <w:rPr>
          <w:lang w:val="de-DE"/>
        </w:rPr>
        <w:t>још</w:t>
      </w:r>
      <w:r w:rsidRPr="00A101FF">
        <w:rPr>
          <w:lang w:val="de-DE"/>
        </w:rPr>
        <w:t xml:space="preserve"> </w:t>
      </w:r>
      <w:r>
        <w:rPr>
          <w:lang w:val="de-DE"/>
        </w:rPr>
        <w:t>увек</w:t>
      </w:r>
      <w:r w:rsidRPr="00A101FF">
        <w:rPr>
          <w:lang w:val="de-DE"/>
        </w:rPr>
        <w:t xml:space="preserve"> </w:t>
      </w:r>
      <w:r>
        <w:rPr>
          <w:lang w:val="de-DE"/>
        </w:rPr>
        <w:t>није</w:t>
      </w:r>
      <w:r w:rsidRPr="00A101FF">
        <w:rPr>
          <w:lang w:val="de-DE"/>
        </w:rPr>
        <w:t xml:space="preserve"> </w:t>
      </w:r>
      <w:r>
        <w:rPr>
          <w:lang w:val="de-DE"/>
        </w:rPr>
        <w:t>сертификована</w:t>
      </w:r>
      <w:r w:rsidRPr="00A101FF">
        <w:rPr>
          <w:lang w:val="de-DE"/>
        </w:rPr>
        <w:t xml:space="preserve"> </w:t>
      </w:r>
      <w:r>
        <w:rPr>
          <w:lang w:val="de-DE"/>
        </w:rPr>
        <w:t>већ</w:t>
      </w:r>
      <w:r w:rsidRPr="00A101FF">
        <w:rPr>
          <w:lang w:val="de-DE"/>
        </w:rPr>
        <w:t xml:space="preserve"> </w:t>
      </w:r>
      <w:r>
        <w:rPr>
          <w:lang w:val="de-DE"/>
        </w:rPr>
        <w:t>је</w:t>
      </w:r>
      <w:r w:rsidRPr="00A101FF">
        <w:rPr>
          <w:lang w:val="de-DE"/>
        </w:rPr>
        <w:t xml:space="preserve"> </w:t>
      </w:r>
      <w:r>
        <w:rPr>
          <w:lang w:val="de-DE"/>
        </w:rPr>
        <w:t>у</w:t>
      </w:r>
      <w:r w:rsidRPr="00A101FF">
        <w:rPr>
          <w:lang w:val="de-DE"/>
        </w:rPr>
        <w:t xml:space="preserve"> </w:t>
      </w:r>
      <w:r>
        <w:rPr>
          <w:lang w:val="de-DE"/>
        </w:rPr>
        <w:t>процесу</w:t>
      </w:r>
      <w:r w:rsidRPr="00A101FF">
        <w:rPr>
          <w:lang w:val="de-DE"/>
        </w:rPr>
        <w:t xml:space="preserve"> </w:t>
      </w:r>
      <w:r>
        <w:rPr>
          <w:lang w:val="de-DE"/>
        </w:rPr>
        <w:t>стицања</w:t>
      </w:r>
      <w:r w:rsidRPr="00A101FF">
        <w:rPr>
          <w:lang w:val="de-DE"/>
        </w:rPr>
        <w:t xml:space="preserve"> </w:t>
      </w:r>
      <w:r>
        <w:rPr>
          <w:lang w:val="de-DE"/>
        </w:rPr>
        <w:t>истог</w:t>
      </w:r>
      <w:r w:rsidRPr="00A101FF">
        <w:rPr>
          <w:lang w:val="de-DE"/>
        </w:rPr>
        <w:t xml:space="preserve">. </w:t>
      </w:r>
      <w:r>
        <w:rPr>
          <w:lang w:val="de-DE"/>
        </w:rPr>
        <w:t>Чињеница</w:t>
      </w:r>
      <w:r w:rsidRPr="00A101FF">
        <w:rPr>
          <w:lang w:val="de-DE"/>
        </w:rPr>
        <w:t xml:space="preserve"> </w:t>
      </w:r>
      <w:r>
        <w:rPr>
          <w:lang w:val="de-DE"/>
        </w:rPr>
        <w:t>да</w:t>
      </w:r>
      <w:r w:rsidRPr="00A101FF">
        <w:rPr>
          <w:lang w:val="de-DE"/>
        </w:rPr>
        <w:t xml:space="preserve"> </w:t>
      </w:r>
      <w:r>
        <w:rPr>
          <w:lang w:val="de-DE"/>
        </w:rPr>
        <w:t>је</w:t>
      </w:r>
      <w:r w:rsidRPr="00A101FF">
        <w:rPr>
          <w:lang w:val="de-DE"/>
        </w:rPr>
        <w:t xml:space="preserve"> </w:t>
      </w:r>
      <w:r>
        <w:rPr>
          <w:lang w:val="de-DE"/>
        </w:rPr>
        <w:t>сертификација</w:t>
      </w:r>
      <w:r w:rsidRPr="00A101FF">
        <w:rPr>
          <w:lang w:val="de-DE"/>
        </w:rPr>
        <w:t xml:space="preserve"> </w:t>
      </w:r>
      <w:r>
        <w:rPr>
          <w:lang w:val="de-DE"/>
        </w:rPr>
        <w:t>у</w:t>
      </w:r>
      <w:r w:rsidRPr="00A101FF">
        <w:rPr>
          <w:lang w:val="de-DE"/>
        </w:rPr>
        <w:t xml:space="preserve"> </w:t>
      </w:r>
      <w:r>
        <w:rPr>
          <w:lang w:val="de-DE"/>
        </w:rPr>
        <w:t>току</w:t>
      </w:r>
      <w:r w:rsidRPr="00A101FF">
        <w:rPr>
          <w:lang w:val="de-DE"/>
        </w:rPr>
        <w:t xml:space="preserve"> </w:t>
      </w:r>
      <w:r>
        <w:rPr>
          <w:lang w:val="de-DE"/>
        </w:rPr>
        <w:t>не</w:t>
      </w:r>
      <w:r w:rsidRPr="00A101FF">
        <w:rPr>
          <w:lang w:val="de-DE"/>
        </w:rPr>
        <w:t xml:space="preserve"> </w:t>
      </w:r>
      <w:r>
        <w:rPr>
          <w:lang w:val="de-DE"/>
        </w:rPr>
        <w:t>гарантује</w:t>
      </w:r>
      <w:r w:rsidRPr="00A101FF">
        <w:rPr>
          <w:lang w:val="de-DE"/>
        </w:rPr>
        <w:t xml:space="preserve"> </w:t>
      </w:r>
      <w:r>
        <w:rPr>
          <w:lang w:val="de-DE"/>
        </w:rPr>
        <w:t>ни</w:t>
      </w:r>
      <w:r w:rsidRPr="00A101FF">
        <w:rPr>
          <w:lang w:val="de-DE"/>
        </w:rPr>
        <w:t xml:space="preserve"> </w:t>
      </w:r>
      <w:r>
        <w:rPr>
          <w:lang w:val="de-DE"/>
        </w:rPr>
        <w:t>када</w:t>
      </w:r>
      <w:r w:rsidRPr="00A101FF">
        <w:rPr>
          <w:lang w:val="de-DE"/>
        </w:rPr>
        <w:t xml:space="preserve"> </w:t>
      </w:r>
      <w:r>
        <w:rPr>
          <w:lang w:val="de-DE"/>
        </w:rPr>
        <w:t>ни</w:t>
      </w:r>
      <w:r w:rsidRPr="00A101FF">
        <w:rPr>
          <w:lang w:val="de-DE"/>
        </w:rPr>
        <w:t xml:space="preserve"> </w:t>
      </w:r>
      <w:r>
        <w:rPr>
          <w:lang w:val="de-DE"/>
        </w:rPr>
        <w:t>да</w:t>
      </w:r>
      <w:r w:rsidRPr="00A101FF">
        <w:rPr>
          <w:lang w:val="de-DE"/>
        </w:rPr>
        <w:t xml:space="preserve"> </w:t>
      </w:r>
      <w:r>
        <w:rPr>
          <w:lang w:val="de-DE"/>
        </w:rPr>
        <w:t>ли</w:t>
      </w:r>
      <w:r w:rsidRPr="00A101FF">
        <w:rPr>
          <w:lang w:val="de-DE"/>
        </w:rPr>
        <w:t xml:space="preserve"> </w:t>
      </w:r>
      <w:r>
        <w:rPr>
          <w:lang w:val="de-DE"/>
        </w:rPr>
        <w:t>ће</w:t>
      </w:r>
      <w:r w:rsidRPr="00A101FF">
        <w:rPr>
          <w:lang w:val="de-DE"/>
        </w:rPr>
        <w:t xml:space="preserve"> </w:t>
      </w:r>
      <w:r>
        <w:rPr>
          <w:lang w:val="de-DE"/>
        </w:rPr>
        <w:t>се</w:t>
      </w:r>
      <w:r w:rsidRPr="00A101FF">
        <w:rPr>
          <w:lang w:val="de-DE"/>
        </w:rPr>
        <w:t xml:space="preserve"> </w:t>
      </w:r>
      <w:r>
        <w:rPr>
          <w:lang w:val="de-DE"/>
        </w:rPr>
        <w:t>тај</w:t>
      </w:r>
      <w:r w:rsidRPr="00A101FF">
        <w:rPr>
          <w:lang w:val="de-DE"/>
        </w:rPr>
        <w:t xml:space="preserve"> </w:t>
      </w:r>
      <w:r>
        <w:rPr>
          <w:lang w:val="de-DE"/>
        </w:rPr>
        <w:t>поступак</w:t>
      </w:r>
      <w:r w:rsidRPr="00A101FF">
        <w:rPr>
          <w:lang w:val="de-DE"/>
        </w:rPr>
        <w:t xml:space="preserve"> </w:t>
      </w:r>
      <w:r>
        <w:rPr>
          <w:lang w:val="de-DE"/>
        </w:rPr>
        <w:t>успешно</w:t>
      </w:r>
      <w:r w:rsidRPr="00A101FF">
        <w:rPr>
          <w:lang w:val="de-DE"/>
        </w:rPr>
        <w:t xml:space="preserve"> </w:t>
      </w:r>
      <w:r>
        <w:rPr>
          <w:lang w:val="de-DE"/>
        </w:rPr>
        <w:t>завршити</w:t>
      </w:r>
      <w:r w:rsidRPr="00A101FF">
        <w:rPr>
          <w:lang w:val="de-DE"/>
        </w:rPr>
        <w:t xml:space="preserve">. </w:t>
      </w:r>
      <w:r>
        <w:rPr>
          <w:lang w:val="de-DE"/>
        </w:rPr>
        <w:t>Из</w:t>
      </w:r>
      <w:r w:rsidRPr="00A101FF">
        <w:rPr>
          <w:lang w:val="de-DE"/>
        </w:rPr>
        <w:t xml:space="preserve"> </w:t>
      </w:r>
      <w:r>
        <w:rPr>
          <w:lang w:val="de-DE"/>
        </w:rPr>
        <w:t>тог</w:t>
      </w:r>
      <w:r w:rsidRPr="00A101FF">
        <w:rPr>
          <w:lang w:val="de-DE"/>
        </w:rPr>
        <w:t xml:space="preserve"> </w:t>
      </w:r>
      <w:r>
        <w:rPr>
          <w:lang w:val="de-DE"/>
        </w:rPr>
        <w:t>разлога</w:t>
      </w:r>
      <w:r w:rsidRPr="00A101FF">
        <w:rPr>
          <w:lang w:val="de-DE"/>
        </w:rPr>
        <w:t xml:space="preserve"> </w:t>
      </w:r>
      <w:r>
        <w:rPr>
          <w:lang w:val="de-DE"/>
        </w:rPr>
        <w:t>тражимо</w:t>
      </w:r>
      <w:r w:rsidRPr="00A101FF">
        <w:rPr>
          <w:lang w:val="de-DE"/>
        </w:rPr>
        <w:t xml:space="preserve"> </w:t>
      </w:r>
      <w:r>
        <w:rPr>
          <w:lang w:val="de-DE"/>
        </w:rPr>
        <w:t>да</w:t>
      </w:r>
      <w:r w:rsidRPr="00A101FF">
        <w:rPr>
          <w:lang w:val="de-DE"/>
        </w:rPr>
        <w:t xml:space="preserve"> </w:t>
      </w:r>
      <w:r>
        <w:rPr>
          <w:lang w:val="de-DE"/>
        </w:rPr>
        <w:t>се</w:t>
      </w:r>
      <w:r w:rsidRPr="00A101FF">
        <w:rPr>
          <w:lang w:val="de-DE"/>
        </w:rPr>
        <w:t xml:space="preserve"> </w:t>
      </w:r>
      <w:r>
        <w:rPr>
          <w:lang w:val="de-DE"/>
        </w:rPr>
        <w:t>избаци</w:t>
      </w:r>
      <w:r w:rsidRPr="00A101FF">
        <w:rPr>
          <w:lang w:val="de-DE"/>
        </w:rPr>
        <w:t xml:space="preserve"> </w:t>
      </w:r>
      <w:r>
        <w:rPr>
          <w:lang w:val="de-DE"/>
        </w:rPr>
        <w:t>сертификација</w:t>
      </w:r>
      <w:r w:rsidRPr="00A101FF">
        <w:rPr>
          <w:lang w:val="de-DE"/>
        </w:rPr>
        <w:t xml:space="preserve"> </w:t>
      </w:r>
      <w:r>
        <w:rPr>
          <w:lang w:val="de-DE"/>
        </w:rPr>
        <w:t>и</w:t>
      </w:r>
      <w:r w:rsidRPr="00A101FF">
        <w:rPr>
          <w:lang w:val="de-DE"/>
        </w:rPr>
        <w:t xml:space="preserve"> </w:t>
      </w:r>
      <w:r>
        <w:rPr>
          <w:lang w:val="de-DE"/>
        </w:rPr>
        <w:t>остави</w:t>
      </w:r>
      <w:r w:rsidRPr="00A101FF">
        <w:rPr>
          <w:lang w:val="de-DE"/>
        </w:rPr>
        <w:t xml:space="preserve"> </w:t>
      </w:r>
      <w:r>
        <w:rPr>
          <w:lang w:val="de-DE"/>
        </w:rPr>
        <w:t>само</w:t>
      </w:r>
      <w:r w:rsidRPr="00A101FF">
        <w:rPr>
          <w:lang w:val="de-DE"/>
        </w:rPr>
        <w:t xml:space="preserve"> </w:t>
      </w:r>
      <w:r>
        <w:rPr>
          <w:lang w:val="de-DE"/>
        </w:rPr>
        <w:t>ресертификација</w:t>
      </w:r>
      <w:r w:rsidRPr="00A101FF">
        <w:rPr>
          <w:lang w:val="de-DE"/>
        </w:rPr>
        <w:t xml:space="preserve">, </w:t>
      </w:r>
      <w:r>
        <w:rPr>
          <w:lang w:val="de-DE"/>
        </w:rPr>
        <w:t>и</w:t>
      </w:r>
      <w:r w:rsidRPr="00A101FF">
        <w:rPr>
          <w:lang w:val="de-DE"/>
        </w:rPr>
        <w:t xml:space="preserve"> </w:t>
      </w:r>
      <w:r>
        <w:rPr>
          <w:lang w:val="de-DE"/>
        </w:rPr>
        <w:t>то</w:t>
      </w:r>
      <w:r w:rsidRPr="00A101FF">
        <w:rPr>
          <w:lang w:val="de-DE"/>
        </w:rPr>
        <w:t xml:space="preserve"> </w:t>
      </w:r>
      <w:r>
        <w:rPr>
          <w:lang w:val="de-DE"/>
        </w:rPr>
        <w:t>на</w:t>
      </w:r>
      <w:r w:rsidRPr="00A101FF">
        <w:rPr>
          <w:lang w:val="de-DE"/>
        </w:rPr>
        <w:t xml:space="preserve"> </w:t>
      </w:r>
      <w:r>
        <w:rPr>
          <w:lang w:val="de-DE"/>
        </w:rPr>
        <w:t>начин</w:t>
      </w:r>
      <w:r w:rsidRPr="00A101FF">
        <w:rPr>
          <w:lang w:val="de-DE"/>
        </w:rPr>
        <w:t xml:space="preserve"> </w:t>
      </w:r>
      <w:r>
        <w:rPr>
          <w:lang w:val="de-DE"/>
        </w:rPr>
        <w:t>како</w:t>
      </w:r>
      <w:r w:rsidRPr="00A101FF">
        <w:rPr>
          <w:lang w:val="de-DE"/>
        </w:rPr>
        <w:t xml:space="preserve"> </w:t>
      </w:r>
      <w:r>
        <w:rPr>
          <w:lang w:val="de-DE"/>
        </w:rPr>
        <w:t>је</w:t>
      </w:r>
      <w:r w:rsidRPr="00A101FF">
        <w:rPr>
          <w:lang w:val="de-DE"/>
        </w:rPr>
        <w:t xml:space="preserve"> </w:t>
      </w:r>
      <w:r>
        <w:rPr>
          <w:lang w:val="de-DE"/>
        </w:rPr>
        <w:t>дефинисано</w:t>
      </w:r>
      <w:r w:rsidRPr="00A101FF">
        <w:rPr>
          <w:lang w:val="de-DE"/>
        </w:rPr>
        <w:t xml:space="preserve"> </w:t>
      </w:r>
      <w:r>
        <w:rPr>
          <w:lang w:val="de-DE"/>
        </w:rPr>
        <w:t>конкурсном</w:t>
      </w:r>
      <w:r w:rsidRPr="00A101FF">
        <w:rPr>
          <w:lang w:val="de-DE"/>
        </w:rPr>
        <w:t xml:space="preserve"> </w:t>
      </w:r>
      <w:r>
        <w:rPr>
          <w:lang w:val="de-DE"/>
        </w:rPr>
        <w:t>документацијом</w:t>
      </w:r>
      <w:r w:rsidRPr="00A101FF">
        <w:rPr>
          <w:lang w:val="de-DE"/>
        </w:rPr>
        <w:t>.</w:t>
      </w:r>
    </w:p>
    <w:p w:rsidR="00A101FF" w:rsidRDefault="00A101FF" w:rsidP="00A101FF">
      <w:pPr>
        <w:jc w:val="both"/>
        <w:rPr>
          <w:lang w:val="de-DE"/>
        </w:rPr>
      </w:pPr>
    </w:p>
    <w:p w:rsidR="00A101FF" w:rsidRDefault="00A101FF" w:rsidP="00A101FF">
      <w:pPr>
        <w:pStyle w:val="ListParagraph"/>
        <w:suppressAutoHyphens w:val="0"/>
        <w:spacing w:line="240" w:lineRule="auto"/>
        <w:ind w:left="0"/>
        <w:jc w:val="both"/>
        <w:rPr>
          <w:lang w:val="sr-Latn-RS"/>
        </w:rPr>
      </w:pPr>
      <w:r w:rsidRPr="00A101FF">
        <w:rPr>
          <w:b/>
          <w:lang w:val="sr-Cyrl-CS"/>
        </w:rPr>
        <w:t xml:space="preserve">ОДГОВОР 3: </w:t>
      </w:r>
      <w:r w:rsidRPr="00A101FF">
        <w:rPr>
          <w:lang w:val="sr-Latn-RS"/>
        </w:rPr>
        <w:t>Сагласни да се користи термин ресертификација уместо сертификација.</w:t>
      </w:r>
    </w:p>
    <w:p w:rsidR="00A101FF" w:rsidRDefault="00A101FF" w:rsidP="00A101FF">
      <w:pPr>
        <w:pStyle w:val="ListParagraph"/>
        <w:suppressAutoHyphens w:val="0"/>
        <w:spacing w:line="240" w:lineRule="auto"/>
        <w:ind w:left="0"/>
        <w:jc w:val="both"/>
        <w:rPr>
          <w:lang w:val="sr-Latn-RS"/>
        </w:rPr>
      </w:pPr>
    </w:p>
    <w:p w:rsidR="00A101FF" w:rsidRPr="00A101FF" w:rsidRDefault="00A101FF" w:rsidP="00A101FF">
      <w:pPr>
        <w:pStyle w:val="ListParagraph"/>
        <w:suppressAutoHyphens w:val="0"/>
        <w:spacing w:line="240" w:lineRule="auto"/>
        <w:ind w:left="0"/>
        <w:jc w:val="both"/>
        <w:rPr>
          <w:b/>
          <w:lang w:val="sr-Cyrl-CS"/>
        </w:rPr>
      </w:pPr>
      <w:r w:rsidRPr="00A101FF">
        <w:rPr>
          <w:b/>
          <w:lang w:val="sr-Cyrl-CS"/>
        </w:rPr>
        <w:t xml:space="preserve">ПИТАЊЕ 4: </w:t>
      </w:r>
      <w:r w:rsidRPr="00A101FF">
        <w:rPr>
          <w:rFonts w:eastAsia="Times New Roman"/>
          <w:lang w:val="sr-Latn-RS"/>
        </w:rPr>
        <w:t>Молимо за појашњење захтева из тачке 1.1.2 Технички капацитет у делу примене сертификата за област: имплементације, одржавања и пружања ИТ услуга, тј да ли се ова област оноси на неку појединачну ИТ услугу или се мисли на све телекомуникационе услуге а које су таксативно даље набројане у Политикама интегрисаног система, а у ИСО стандарду назначене као телекомуникационе услуге?</w:t>
      </w:r>
    </w:p>
    <w:p w:rsidR="00A101FF" w:rsidRDefault="00A101FF" w:rsidP="00A101FF">
      <w:pPr>
        <w:jc w:val="both"/>
        <w:rPr>
          <w:b/>
          <w:lang w:val="sr-Cyrl-CS"/>
        </w:rPr>
      </w:pPr>
    </w:p>
    <w:p w:rsidR="00A101FF" w:rsidRPr="00A101FF" w:rsidRDefault="00A101FF" w:rsidP="00A101FF">
      <w:pPr>
        <w:pStyle w:val="ListParagraph"/>
        <w:suppressAutoHyphens w:val="0"/>
        <w:spacing w:line="240" w:lineRule="auto"/>
        <w:ind w:left="0"/>
        <w:jc w:val="both"/>
        <w:rPr>
          <w:lang w:val="sr-Latn-RS"/>
        </w:rPr>
      </w:pPr>
      <w:r>
        <w:rPr>
          <w:b/>
          <w:lang w:val="sr-Cyrl-CS"/>
        </w:rPr>
        <w:t xml:space="preserve">ОДГОВОР 4: </w:t>
      </w:r>
      <w:r w:rsidRPr="00A101FF">
        <w:rPr>
          <w:lang w:val="sr-Latn-RS"/>
        </w:rPr>
        <w:t>Сертификација се односи на област важења на ИТ/ИЦТ услуге уопште, дакле без навођења конкретних области, односно ако се наводе конкретне услуге могу се навести и спискови конкретних услуга које обухватају предмет набавке.</w:t>
      </w:r>
    </w:p>
    <w:p w:rsidR="00A101FF" w:rsidRPr="00A101FF" w:rsidRDefault="00A101FF" w:rsidP="00A101FF">
      <w:pPr>
        <w:jc w:val="both"/>
        <w:rPr>
          <w:b/>
          <w:lang w:val="sr-Cyrl-CS"/>
        </w:rPr>
      </w:pPr>
    </w:p>
    <w:p w:rsidR="00A101FF" w:rsidRPr="00A101FF" w:rsidRDefault="00A101FF" w:rsidP="00A101FF">
      <w:pPr>
        <w:pStyle w:val="ListParagraph"/>
        <w:suppressAutoHyphens w:val="0"/>
        <w:spacing w:line="240" w:lineRule="auto"/>
        <w:ind w:left="0"/>
        <w:jc w:val="both"/>
        <w:rPr>
          <w:lang w:val="sr-Cyrl-CS"/>
        </w:rPr>
      </w:pPr>
    </w:p>
    <w:p w:rsidR="004428C6" w:rsidRPr="00A101FF" w:rsidRDefault="004428C6" w:rsidP="00A101FF">
      <w:pPr>
        <w:jc w:val="both"/>
        <w:rPr>
          <w:rFonts w:ascii="Arial" w:hAnsi="Arial" w:cs="Arial"/>
          <w:sz w:val="22"/>
          <w:szCs w:val="22"/>
          <w:lang w:val="sr-Latn-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A6179C" w:rsidTr="00A101FF">
        <w:trPr>
          <w:trHeight w:val="1640"/>
        </w:trPr>
        <w:tc>
          <w:tcPr>
            <w:tcW w:w="4428" w:type="dxa"/>
            <w:tcBorders>
              <w:top w:val="nil"/>
              <w:left w:val="nil"/>
              <w:bottom w:val="nil"/>
              <w:right w:val="nil"/>
            </w:tcBorders>
          </w:tcPr>
          <w:p w:rsidR="00A6179C" w:rsidRDefault="00A6179C">
            <w:pPr>
              <w:jc w:val="both"/>
              <w:rPr>
                <w:color w:val="1E3911"/>
                <w:sz w:val="22"/>
                <w:szCs w:val="22"/>
                <w:lang w:val="sr-Cyrl-CS"/>
              </w:rPr>
            </w:pPr>
          </w:p>
        </w:tc>
        <w:tc>
          <w:tcPr>
            <w:tcW w:w="4428" w:type="dxa"/>
            <w:tcBorders>
              <w:top w:val="nil"/>
              <w:left w:val="nil"/>
              <w:bottom w:val="nil"/>
              <w:right w:val="nil"/>
            </w:tcBorders>
          </w:tcPr>
          <w:p w:rsidR="00A6179C" w:rsidRDefault="00A6179C">
            <w:pPr>
              <w:jc w:val="center"/>
              <w:rPr>
                <w:b/>
                <w:bCs/>
                <w:sz w:val="22"/>
                <w:szCs w:val="22"/>
                <w:lang w:val="sr-Cyrl-CS"/>
              </w:rPr>
            </w:pPr>
          </w:p>
          <w:p w:rsidR="00A6179C" w:rsidRDefault="00A6179C">
            <w:pPr>
              <w:jc w:val="center"/>
              <w:rPr>
                <w:b/>
                <w:bCs/>
                <w:sz w:val="22"/>
                <w:szCs w:val="22"/>
                <w:lang w:val="sr-Cyrl-CS"/>
              </w:rPr>
            </w:pPr>
          </w:p>
          <w:p w:rsidR="00A6179C" w:rsidRDefault="00A6179C">
            <w:pPr>
              <w:jc w:val="center"/>
              <w:rPr>
                <w:b/>
                <w:bCs/>
                <w:sz w:val="22"/>
                <w:szCs w:val="22"/>
                <w:lang w:val="sr-Cyrl-CS"/>
              </w:rPr>
            </w:pPr>
            <w:r>
              <w:rPr>
                <w:b/>
                <w:bCs/>
                <w:sz w:val="22"/>
                <w:szCs w:val="22"/>
                <w:lang w:val="sr-Cyrl-CS"/>
              </w:rPr>
              <w:t>ЗА КОМИСИЈУ ЗА ЈАВНУ НАБАВКУ</w:t>
            </w:r>
          </w:p>
          <w:p w:rsidR="00A6179C" w:rsidRDefault="000B6E71">
            <w:pPr>
              <w:jc w:val="center"/>
              <w:rPr>
                <w:b/>
                <w:bCs/>
                <w:sz w:val="22"/>
                <w:szCs w:val="22"/>
                <w:lang w:val="sr-Cyrl-CS"/>
              </w:rPr>
            </w:pPr>
            <w:r>
              <w:rPr>
                <w:b/>
                <w:bCs/>
                <w:sz w:val="22"/>
                <w:szCs w:val="22"/>
                <w:lang w:val="sr-Cyrl-CS"/>
              </w:rPr>
              <w:t>С</w:t>
            </w:r>
            <w:r w:rsidR="00514B81">
              <w:rPr>
                <w:b/>
                <w:bCs/>
                <w:sz w:val="22"/>
                <w:szCs w:val="22"/>
                <w:lang w:val="sr-Cyrl-CS"/>
              </w:rPr>
              <w:t>таниша Грковић</w:t>
            </w:r>
            <w:r w:rsidR="00A6179C">
              <w:rPr>
                <w:b/>
                <w:bCs/>
                <w:sz w:val="22"/>
                <w:szCs w:val="22"/>
                <w:lang w:val="sr-Cyrl-CS"/>
              </w:rPr>
              <w:t>, члан Комисије</w:t>
            </w:r>
          </w:p>
          <w:p w:rsidR="00A6179C" w:rsidRDefault="00A6179C">
            <w:pPr>
              <w:jc w:val="center"/>
              <w:rPr>
                <w:color w:val="1E3911"/>
                <w:sz w:val="22"/>
                <w:szCs w:val="22"/>
                <w:lang w:val="sr-Cyrl-CS"/>
              </w:rPr>
            </w:pPr>
          </w:p>
        </w:tc>
      </w:tr>
    </w:tbl>
    <w:p w:rsidR="00A6179C" w:rsidRDefault="00A6179C">
      <w:pPr>
        <w:jc w:val="both"/>
        <w:rPr>
          <w:color w:val="1E3911"/>
          <w:sz w:val="22"/>
          <w:szCs w:val="22"/>
          <w:lang w:val="sr-Cyrl-CS"/>
        </w:rPr>
      </w:pPr>
      <w:bookmarkStart w:id="0" w:name="_GoBack"/>
      <w:bookmarkEnd w:id="0"/>
    </w:p>
    <w:sectPr w:rsidR="00A6179C" w:rsidSect="00A101FF">
      <w:pgSz w:w="12240" w:h="15840"/>
      <w:pgMar w:top="1440" w:right="1800" w:bottom="142"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8721E"/>
    <w:multiLevelType w:val="hybridMultilevel"/>
    <w:tmpl w:val="747C4A48"/>
    <w:lvl w:ilvl="0" w:tplc="FAC60C00">
      <w:start w:val="1"/>
      <w:numFmt w:val="decimal"/>
      <w:lvlText w:val="%1."/>
      <w:lvlJc w:val="left"/>
      <w:pPr>
        <w:tabs>
          <w:tab w:val="num" w:pos="720"/>
        </w:tabs>
        <w:ind w:left="72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B23261"/>
    <w:multiLevelType w:val="hybridMultilevel"/>
    <w:tmpl w:val="7D1E5ED0"/>
    <w:lvl w:ilvl="0" w:tplc="1CC41302">
      <w:start w:val="1"/>
      <w:numFmt w:val="decimal"/>
      <w:lvlText w:val="%1."/>
      <w:lvlJc w:val="left"/>
      <w:pPr>
        <w:ind w:left="720" w:hanging="360"/>
      </w:pPr>
      <w:rPr>
        <w:rFonts w:ascii="Arial" w:hAnsi="Arial" w:cs="Arial" w:hint="default"/>
        <w:color w:val="1F497D"/>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2" w15:restartNumberingAfterBreak="0">
    <w:nsid w:val="15BA37A8"/>
    <w:multiLevelType w:val="hybridMultilevel"/>
    <w:tmpl w:val="B636D07C"/>
    <w:lvl w:ilvl="0" w:tplc="FAC60C00">
      <w:start w:val="1"/>
      <w:numFmt w:val="decimal"/>
      <w:lvlText w:val="%1."/>
      <w:lvlJc w:val="left"/>
      <w:pPr>
        <w:tabs>
          <w:tab w:val="num" w:pos="720"/>
        </w:tabs>
        <w:ind w:left="72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6385F59"/>
    <w:multiLevelType w:val="hybridMultilevel"/>
    <w:tmpl w:val="22209706"/>
    <w:lvl w:ilvl="0" w:tplc="081A0017">
      <w:start w:val="1"/>
      <w:numFmt w:val="lowerLetter"/>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4" w15:restartNumberingAfterBreak="0">
    <w:nsid w:val="3C5B354C"/>
    <w:multiLevelType w:val="hybridMultilevel"/>
    <w:tmpl w:val="DEB8B4C2"/>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5" w15:restartNumberingAfterBreak="0">
    <w:nsid w:val="44AA7D0F"/>
    <w:multiLevelType w:val="hybridMultilevel"/>
    <w:tmpl w:val="93245D18"/>
    <w:lvl w:ilvl="0" w:tplc="AE94198C">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6" w15:restartNumberingAfterBreak="0">
    <w:nsid w:val="56B77C0D"/>
    <w:multiLevelType w:val="hybridMultilevel"/>
    <w:tmpl w:val="7E10C916"/>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17">
      <w:start w:val="1"/>
      <w:numFmt w:val="lowerLetter"/>
      <w:lvlText w:val="%3)"/>
      <w:lvlJc w:val="left"/>
      <w:pPr>
        <w:ind w:left="2160" w:hanging="360"/>
      </w:p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7" w15:restartNumberingAfterBreak="0">
    <w:nsid w:val="615963EC"/>
    <w:multiLevelType w:val="hybridMultilevel"/>
    <w:tmpl w:val="51A6E77E"/>
    <w:lvl w:ilvl="0" w:tplc="FAC60C00">
      <w:start w:val="1"/>
      <w:numFmt w:val="decimal"/>
      <w:lvlText w:val="%1."/>
      <w:lvlJc w:val="left"/>
      <w:pPr>
        <w:tabs>
          <w:tab w:val="num" w:pos="720"/>
        </w:tabs>
        <w:ind w:left="72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2CA1135"/>
    <w:multiLevelType w:val="hybridMultilevel"/>
    <w:tmpl w:val="A692A40C"/>
    <w:lvl w:ilvl="0" w:tplc="FAC60C00">
      <w:start w:val="1"/>
      <w:numFmt w:val="decimal"/>
      <w:lvlText w:val="%1."/>
      <w:lvlJc w:val="left"/>
      <w:pPr>
        <w:tabs>
          <w:tab w:val="num" w:pos="720"/>
        </w:tabs>
        <w:ind w:left="72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2"/>
  </w:num>
  <w:num w:numId="4">
    <w:abstractNumId w:val="7"/>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lvlOverride w:ilvl="2">
      <w:startOverride w:val="1"/>
    </w:lvlOverride>
    <w:lvlOverride w:ilvl="3"/>
    <w:lvlOverride w:ilvl="4"/>
    <w:lvlOverride w:ilvl="5"/>
    <w:lvlOverride w:ilvl="6"/>
    <w:lvlOverride w:ilvl="7"/>
    <w:lvlOverride w:ilv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E71"/>
    <w:rsid w:val="000B6E71"/>
    <w:rsid w:val="000C668C"/>
    <w:rsid w:val="001D3D97"/>
    <w:rsid w:val="0031180F"/>
    <w:rsid w:val="003339AE"/>
    <w:rsid w:val="00373947"/>
    <w:rsid w:val="004428C6"/>
    <w:rsid w:val="00514B81"/>
    <w:rsid w:val="00607649"/>
    <w:rsid w:val="00660287"/>
    <w:rsid w:val="0083143B"/>
    <w:rsid w:val="00895ED0"/>
    <w:rsid w:val="00A101FF"/>
    <w:rsid w:val="00A6179C"/>
    <w:rsid w:val="00AD45E1"/>
    <w:rsid w:val="00CE55C9"/>
    <w:rsid w:val="00D105BC"/>
    <w:rsid w:val="00EE3208"/>
    <w:rsid w:val="00F137ED"/>
    <w:rsid w:val="00F41FBD"/>
    <w:rsid w:val="00FC1462"/>
    <w:rsid w:val="00FE1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38D571"/>
  <w15:chartTrackingRefBased/>
  <w15:docId w15:val="{F5002843-837F-40F0-BE7B-81559F9F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lang w:val="en-GB"/>
    </w:rPr>
  </w:style>
  <w:style w:type="paragraph" w:styleId="Heading2">
    <w:name w:val="heading 2"/>
    <w:basedOn w:val="Normal"/>
    <w:next w:val="Normal"/>
    <w:qFormat/>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2"/>
      <w:lang w:val="sr-Cyrl-CS"/>
    </w:rPr>
  </w:style>
  <w:style w:type="paragraph" w:styleId="Heading6">
    <w:name w:val="heading 6"/>
    <w:basedOn w:val="Normal"/>
    <w:next w:val="Normal"/>
    <w:qFormat/>
    <w:pPr>
      <w:spacing w:before="240" w:after="60"/>
      <w:outlineLvl w:val="5"/>
    </w:pPr>
    <w:rPr>
      <w:rFonts w:ascii="Calibri" w:hAnsi="Calibri"/>
      <w:b/>
      <w:bCs/>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
    <w:name w:val="Body Text"/>
    <w:basedOn w:val="Normal"/>
    <w:semiHidden/>
    <w:pPr>
      <w:jc w:val="both"/>
    </w:pPr>
    <w:rPr>
      <w:b/>
      <w:lang w:val="sr-Cyrl-CS"/>
    </w:rPr>
  </w:style>
  <w:style w:type="paragraph" w:styleId="ListParagraph">
    <w:name w:val="List Paragraph"/>
    <w:basedOn w:val="Normal"/>
    <w:uiPriority w:val="34"/>
    <w:qFormat/>
    <w:pPr>
      <w:suppressAutoHyphens/>
      <w:spacing w:line="100" w:lineRule="atLeast"/>
      <w:ind w:left="720"/>
    </w:pPr>
    <w:rPr>
      <w:rFonts w:eastAsia="Arial Unicode MS"/>
      <w:color w:val="000000"/>
      <w:kern w:val="2"/>
      <w:lang w:eastAsia="ar-SA"/>
    </w:rPr>
  </w:style>
  <w:style w:type="paragraph" w:styleId="BodyTextIndent">
    <w:name w:val="Body Text Indent"/>
    <w:basedOn w:val="Normal"/>
    <w:semiHidden/>
    <w:pPr>
      <w:ind w:firstLine="720"/>
      <w:jc w:val="both"/>
    </w:pPr>
  </w:style>
  <w:style w:type="character" w:customStyle="1" w:styleId="Heading2Char">
    <w:name w:val="Heading 2 Char"/>
    <w:semiHidden/>
    <w:rPr>
      <w:rFonts w:ascii="Cambria" w:eastAsia="Times New Roman" w:hAnsi="Cambria" w:cs="Times New Roman"/>
      <w:b/>
      <w:bCs/>
      <w:i/>
      <w:iCs/>
      <w:sz w:val="28"/>
      <w:szCs w:val="28"/>
    </w:rPr>
  </w:style>
  <w:style w:type="character" w:customStyle="1" w:styleId="Heading1Char">
    <w:name w:val="Heading 1 Char"/>
    <w:rPr>
      <w:rFonts w:ascii="Arial" w:hAnsi="Arial" w:cs="Arial"/>
      <w:b/>
      <w:bCs/>
      <w:kern w:val="32"/>
      <w:sz w:val="32"/>
      <w:szCs w:val="32"/>
      <w:lang w:val="en-GB"/>
    </w:rPr>
  </w:style>
  <w:style w:type="paragraph" w:styleId="NoSpacing">
    <w:name w:val="No Spacing"/>
    <w:qFormat/>
    <w:rPr>
      <w:rFonts w:eastAsia="Calibri"/>
      <w:sz w:val="24"/>
      <w:szCs w:val="24"/>
    </w:rPr>
  </w:style>
  <w:style w:type="character" w:customStyle="1" w:styleId="Heading6Char">
    <w:name w:val="Heading 6 Char"/>
    <w:semiHidden/>
    <w:rPr>
      <w:rFonts w:ascii="Calibri" w:eastAsia="Times New Roman" w:hAnsi="Calibri" w:cs="Times New Roman"/>
      <w:b/>
      <w:bCs/>
      <w:sz w:val="22"/>
      <w:szCs w:val="22"/>
    </w:rPr>
  </w:style>
  <w:style w:type="paragraph" w:styleId="PlainText">
    <w:name w:val="Plain Text"/>
    <w:basedOn w:val="Normal"/>
    <w:semiHidden/>
    <w:unhideWhenUsed/>
    <w:rPr>
      <w:rFonts w:ascii="Calibri" w:eastAsia="Calibri" w:hAnsi="Calibri"/>
      <w:sz w:val="22"/>
      <w:szCs w:val="21"/>
    </w:rPr>
  </w:style>
  <w:style w:type="character" w:styleId="Strong">
    <w:name w:val="Strong"/>
    <w:qFormat/>
    <w:rPr>
      <w:b/>
      <w:bCs/>
    </w:rPr>
  </w:style>
  <w:style w:type="character" w:customStyle="1" w:styleId="PlainTextChar">
    <w:name w:val="Plain Text Char"/>
    <w:semiHidden/>
    <w:rPr>
      <w:rFonts w:ascii="Calibri" w:eastAsia="Calibri" w:hAnsi="Calibri"/>
      <w:sz w:val="22"/>
      <w:szCs w:val="21"/>
    </w:rPr>
  </w:style>
  <w:style w:type="character" w:customStyle="1" w:styleId="apple-converted-space">
    <w:name w:val="apple-converted-space"/>
    <w:rsid w:val="00A10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732042">
      <w:bodyDiv w:val="1"/>
      <w:marLeft w:val="0"/>
      <w:marRight w:val="0"/>
      <w:marTop w:val="0"/>
      <w:marBottom w:val="0"/>
      <w:divBdr>
        <w:top w:val="none" w:sz="0" w:space="0" w:color="auto"/>
        <w:left w:val="none" w:sz="0" w:space="0" w:color="auto"/>
        <w:bottom w:val="none" w:sz="0" w:space="0" w:color="auto"/>
        <w:right w:val="none" w:sz="0" w:space="0" w:color="auto"/>
      </w:divBdr>
    </w:div>
    <w:div w:id="743065584">
      <w:bodyDiv w:val="1"/>
      <w:marLeft w:val="0"/>
      <w:marRight w:val="0"/>
      <w:marTop w:val="0"/>
      <w:marBottom w:val="0"/>
      <w:divBdr>
        <w:top w:val="none" w:sz="0" w:space="0" w:color="auto"/>
        <w:left w:val="none" w:sz="0" w:space="0" w:color="auto"/>
        <w:bottom w:val="none" w:sz="0" w:space="0" w:color="auto"/>
        <w:right w:val="none" w:sz="0" w:space="0" w:color="auto"/>
      </w:divBdr>
    </w:div>
    <w:div w:id="930430424">
      <w:bodyDiv w:val="1"/>
      <w:marLeft w:val="0"/>
      <w:marRight w:val="0"/>
      <w:marTop w:val="0"/>
      <w:marBottom w:val="0"/>
      <w:divBdr>
        <w:top w:val="none" w:sz="0" w:space="0" w:color="auto"/>
        <w:left w:val="none" w:sz="0" w:space="0" w:color="auto"/>
        <w:bottom w:val="none" w:sz="0" w:space="0" w:color="auto"/>
        <w:right w:val="none" w:sz="0" w:space="0" w:color="auto"/>
      </w:divBdr>
    </w:div>
    <w:div w:id="1395813897">
      <w:bodyDiv w:val="1"/>
      <w:marLeft w:val="0"/>
      <w:marRight w:val="0"/>
      <w:marTop w:val="0"/>
      <w:marBottom w:val="0"/>
      <w:divBdr>
        <w:top w:val="none" w:sz="0" w:space="0" w:color="auto"/>
        <w:left w:val="none" w:sz="0" w:space="0" w:color="auto"/>
        <w:bottom w:val="none" w:sz="0" w:space="0" w:color="auto"/>
        <w:right w:val="none" w:sz="0" w:space="0" w:color="auto"/>
      </w:divBdr>
    </w:div>
    <w:div w:id="1539506188">
      <w:bodyDiv w:val="1"/>
      <w:marLeft w:val="0"/>
      <w:marRight w:val="0"/>
      <w:marTop w:val="0"/>
      <w:marBottom w:val="0"/>
      <w:divBdr>
        <w:top w:val="none" w:sz="0" w:space="0" w:color="auto"/>
        <w:left w:val="none" w:sz="0" w:space="0" w:color="auto"/>
        <w:bottom w:val="none" w:sz="0" w:space="0" w:color="auto"/>
        <w:right w:val="none" w:sz="0" w:space="0" w:color="auto"/>
      </w:divBdr>
    </w:div>
    <w:div w:id="1542596679">
      <w:bodyDiv w:val="1"/>
      <w:marLeft w:val="0"/>
      <w:marRight w:val="0"/>
      <w:marTop w:val="0"/>
      <w:marBottom w:val="0"/>
      <w:divBdr>
        <w:top w:val="none" w:sz="0" w:space="0" w:color="auto"/>
        <w:left w:val="none" w:sz="0" w:space="0" w:color="auto"/>
        <w:bottom w:val="none" w:sz="0" w:space="0" w:color="auto"/>
        <w:right w:val="none" w:sz="0" w:space="0" w:color="auto"/>
      </w:divBdr>
    </w:div>
    <w:div w:id="1948199060">
      <w:bodyDiv w:val="1"/>
      <w:marLeft w:val="0"/>
      <w:marRight w:val="0"/>
      <w:marTop w:val="0"/>
      <w:marBottom w:val="0"/>
      <w:divBdr>
        <w:top w:val="none" w:sz="0" w:space="0" w:color="auto"/>
        <w:left w:val="none" w:sz="0" w:space="0" w:color="auto"/>
        <w:bottom w:val="none" w:sz="0" w:space="0" w:color="auto"/>
        <w:right w:val="none" w:sz="0" w:space="0" w:color="auto"/>
      </w:divBdr>
    </w:div>
    <w:div w:id="210175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1286</Words>
  <Characters>7334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На основу члана 60</vt:lpstr>
    </vt:vector>
  </TitlesOfParts>
  <Company>MinRSP</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члана 60</dc:title>
  <dc:subject/>
  <dc:creator>gordana.simic</dc:creator>
  <cp:keywords/>
  <dc:description/>
  <cp:lastModifiedBy>Mirjana Jeremic</cp:lastModifiedBy>
  <cp:revision>2</cp:revision>
  <cp:lastPrinted>2015-04-03T10:09:00Z</cp:lastPrinted>
  <dcterms:created xsi:type="dcterms:W3CDTF">2017-06-19T13:24:00Z</dcterms:created>
  <dcterms:modified xsi:type="dcterms:W3CDTF">2017-06-19T13:24:00Z</dcterms:modified>
</cp:coreProperties>
</file>