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8F70C3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0180" cy="1028700"/>
                  <wp:effectExtent l="19050" t="0" r="762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</w:rPr>
              <w:t>МИНИСТАРСТВО ЗА РАД,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AD45E1" w:rsidRDefault="00102EAA" w:rsidP="0016742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            </w:t>
            </w:r>
            <w:r w:rsidR="00A6179C" w:rsidRPr="00AD45E1">
              <w:rPr>
                <w:bCs/>
                <w:sz w:val="22"/>
                <w:szCs w:val="22"/>
                <w:lang w:val="sr-Cyrl-CS"/>
              </w:rPr>
              <w:t>Број:</w:t>
            </w:r>
            <w:r w:rsidR="00A6179C" w:rsidRPr="00AD45E1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1D50E7" w:rsidRPr="00AD45E1">
              <w:rPr>
                <w:rFonts w:eastAsia="Arial Unicode MS"/>
                <w:iCs/>
                <w:kern w:val="1"/>
                <w:lang w:eastAsia="ar-SA"/>
              </w:rPr>
              <w:t>404-02-</w:t>
            </w:r>
            <w:r w:rsidR="001D50E7">
              <w:rPr>
                <w:rFonts w:eastAsia="Arial Unicode MS"/>
                <w:iCs/>
                <w:kern w:val="1"/>
                <w:lang w:eastAsia="ar-SA"/>
              </w:rPr>
              <w:t>64</w:t>
            </w:r>
            <w:r w:rsidR="001D50E7" w:rsidRPr="00AD45E1">
              <w:rPr>
                <w:rFonts w:eastAsia="Arial Unicode MS"/>
                <w:iCs/>
                <w:kern w:val="1"/>
                <w:lang w:eastAsia="ar-SA"/>
              </w:rPr>
              <w:t>/</w:t>
            </w:r>
            <w:r w:rsidR="001D50E7">
              <w:rPr>
                <w:rFonts w:eastAsia="Arial Unicode MS"/>
                <w:iCs/>
                <w:kern w:val="1"/>
                <w:lang w:eastAsia="ar-SA"/>
              </w:rPr>
              <w:t>6-</w:t>
            </w:r>
            <w:r w:rsidR="00801E0B">
              <w:rPr>
                <w:rFonts w:eastAsia="Arial Unicode MS"/>
                <w:iCs/>
                <w:kern w:val="1"/>
                <w:lang w:eastAsia="ar-SA"/>
              </w:rPr>
              <w:t>11</w:t>
            </w:r>
            <w:r w:rsidR="001D50E7" w:rsidRPr="00AD45E1">
              <w:rPr>
                <w:rFonts w:eastAsia="Arial Unicode MS"/>
                <w:iCs/>
                <w:kern w:val="1"/>
                <w:lang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Датум: </w:t>
            </w:r>
            <w:r w:rsidR="000C668C">
              <w:rPr>
                <w:sz w:val="22"/>
                <w:szCs w:val="22"/>
                <w:lang w:val="sr-Cyrl-CS"/>
              </w:rPr>
              <w:t>2</w:t>
            </w:r>
            <w:r w:rsidR="00801E0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0B6E71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proofErr w:type="gramStart"/>
            <w:r w:rsidR="0016742E"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  <w:lang w:val="sr-Cyrl-CS"/>
              </w:rPr>
              <w:t xml:space="preserve"> 201</w:t>
            </w:r>
            <w:r w:rsidR="000B6E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године</w:t>
            </w:r>
          </w:p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514B81" w:rsidRPr="00514B81" w:rsidRDefault="001D50E7" w:rsidP="00514B81">
      <w:pPr>
        <w:jc w:val="center"/>
        <w:rPr>
          <w:rFonts w:eastAsia="Arial Unicode MS"/>
          <w:b/>
          <w:bCs/>
          <w:iCs/>
          <w:kern w:val="1"/>
          <w:lang w:val="sr-Cyrl-CS" w:eastAsia="ar-SA"/>
        </w:rPr>
      </w:pPr>
      <w:r>
        <w:rPr>
          <w:b/>
          <w:sz w:val="22"/>
          <w:szCs w:val="22"/>
        </w:rPr>
        <w:t xml:space="preserve">ПОЈАШЊЕЊЕ </w:t>
      </w:r>
      <w:r w:rsidR="0016742E">
        <w:rPr>
          <w:b/>
          <w:sz w:val="22"/>
          <w:szCs w:val="22"/>
        </w:rPr>
        <w:t>(</w:t>
      </w:r>
      <w:r w:rsidR="00801E0B">
        <w:rPr>
          <w:b/>
          <w:sz w:val="22"/>
          <w:szCs w:val="22"/>
        </w:rPr>
        <w:t>11</w:t>
      </w:r>
      <w:r w:rsidR="0016742E">
        <w:rPr>
          <w:b/>
          <w:sz w:val="22"/>
          <w:szCs w:val="22"/>
        </w:rPr>
        <w:t>)</w:t>
      </w:r>
      <w:r w:rsidR="00A6179C" w:rsidRPr="009738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 ВЕЗИ ПРИПРЕМАЊА </w:t>
      </w:r>
      <w:r w:rsidR="00A6179C">
        <w:rPr>
          <w:b/>
          <w:sz w:val="22"/>
          <w:szCs w:val="22"/>
        </w:rPr>
        <w:t xml:space="preserve">ПОНУДЕ – </w:t>
      </w:r>
      <w:proofErr w:type="spellStart"/>
      <w:r w:rsidR="00514B81" w:rsidRPr="00514B81">
        <w:rPr>
          <w:b/>
        </w:rPr>
        <w:t>услуге</w:t>
      </w:r>
      <w:proofErr w:type="spellEnd"/>
      <w:r w:rsidR="00514B81" w:rsidRPr="00514B81">
        <w:rPr>
          <w:b/>
        </w:rPr>
        <w:t xml:space="preserve"> </w:t>
      </w:r>
      <w:proofErr w:type="spellStart"/>
      <w:r w:rsidR="00514B81" w:rsidRPr="00514B81">
        <w:rPr>
          <w:b/>
          <w:lang w:eastAsia="en-GB"/>
        </w:rPr>
        <w:t>интернета</w:t>
      </w:r>
      <w:proofErr w:type="spellEnd"/>
      <w:r w:rsidR="00514B81" w:rsidRPr="00514B81">
        <w:rPr>
          <w:b/>
          <w:lang w:eastAsia="en-GB"/>
        </w:rPr>
        <w:t xml:space="preserve"> </w:t>
      </w:r>
      <w:proofErr w:type="spellStart"/>
      <w:r w:rsidR="00514B81" w:rsidRPr="00514B81">
        <w:rPr>
          <w:b/>
          <w:lang w:eastAsia="en-GB"/>
        </w:rPr>
        <w:t>на</w:t>
      </w:r>
      <w:proofErr w:type="spellEnd"/>
      <w:r w:rsidR="00514B81" w:rsidRPr="00514B81">
        <w:rPr>
          <w:b/>
          <w:lang w:eastAsia="en-GB"/>
        </w:rPr>
        <w:t xml:space="preserve"> 278 </w:t>
      </w:r>
      <w:proofErr w:type="spellStart"/>
      <w:r w:rsidR="00514B81" w:rsidRPr="00514B81">
        <w:rPr>
          <w:b/>
          <w:lang w:eastAsia="en-GB"/>
        </w:rPr>
        <w:t>локација</w:t>
      </w:r>
      <w:proofErr w:type="spellEnd"/>
      <w:r w:rsidR="00514B81" w:rsidRPr="00514B81">
        <w:rPr>
          <w:b/>
          <w:lang w:eastAsia="en-GB"/>
        </w:rPr>
        <w:t xml:space="preserve"> у </w:t>
      </w:r>
      <w:proofErr w:type="spellStart"/>
      <w:r w:rsidR="00514B81" w:rsidRPr="00514B81">
        <w:rPr>
          <w:b/>
          <w:lang w:eastAsia="en-GB"/>
        </w:rPr>
        <w:t>Републици</w:t>
      </w:r>
      <w:proofErr w:type="spellEnd"/>
      <w:r w:rsidR="00514B81" w:rsidRPr="00514B81">
        <w:rPr>
          <w:b/>
          <w:lang w:eastAsia="en-GB"/>
        </w:rPr>
        <w:t xml:space="preserve"> </w:t>
      </w:r>
      <w:proofErr w:type="spellStart"/>
      <w:r w:rsidR="00514B81" w:rsidRPr="00514B81">
        <w:rPr>
          <w:b/>
          <w:lang w:eastAsia="en-GB"/>
        </w:rPr>
        <w:t>Србији</w:t>
      </w:r>
      <w:proofErr w:type="spellEnd"/>
      <w:r w:rsidR="00514B81" w:rsidRPr="00514B81">
        <w:rPr>
          <w:b/>
          <w:lang w:eastAsia="en-GB"/>
        </w:rPr>
        <w:t xml:space="preserve"> </w:t>
      </w:r>
    </w:p>
    <w:p w:rsidR="00AD45E1" w:rsidRPr="00514B81" w:rsidRDefault="00AD45E1" w:rsidP="00AD45E1">
      <w:pPr>
        <w:suppressAutoHyphens/>
        <w:spacing w:line="100" w:lineRule="atLeast"/>
        <w:jc w:val="center"/>
        <w:rPr>
          <w:rFonts w:eastAsia="Arial Unicode MS"/>
          <w:b/>
          <w:bCs/>
          <w:iCs/>
          <w:kern w:val="1"/>
          <w:lang w:val="sr-Cyrl-CS" w:eastAsia="ar-SA"/>
        </w:rPr>
      </w:pPr>
    </w:p>
    <w:p w:rsidR="00A6179C" w:rsidRDefault="00A6179C">
      <w:pPr>
        <w:jc w:val="center"/>
        <w:rPr>
          <w:szCs w:val="22"/>
        </w:rPr>
      </w:pPr>
    </w:p>
    <w:p w:rsidR="00A6179C" w:rsidRDefault="00A6179C">
      <w:pPr>
        <w:ind w:firstLine="720"/>
        <w:jc w:val="both"/>
        <w:rPr>
          <w:sz w:val="22"/>
          <w:szCs w:val="22"/>
        </w:rPr>
      </w:pPr>
    </w:p>
    <w:p w:rsidR="00A6179C" w:rsidRPr="007C0876" w:rsidRDefault="00A6179C" w:rsidP="007C0876">
      <w:pPr>
        <w:jc w:val="both"/>
        <w:rPr>
          <w:szCs w:val="22"/>
        </w:rPr>
      </w:pPr>
      <w:r>
        <w:rPr>
          <w:szCs w:val="22"/>
          <w:lang w:val="sr-Cyrl-CS"/>
        </w:rPr>
        <w:t xml:space="preserve">             У отвореном поступку јавне набавке </w:t>
      </w:r>
      <w:proofErr w:type="spellStart"/>
      <w:r w:rsidR="00514B81">
        <w:t>услуге</w:t>
      </w:r>
      <w:proofErr w:type="spellEnd"/>
      <w:r w:rsidR="00514B81">
        <w:t xml:space="preserve"> </w:t>
      </w:r>
      <w:proofErr w:type="spellStart"/>
      <w:r w:rsidR="00514B81">
        <w:rPr>
          <w:lang w:eastAsia="en-GB"/>
        </w:rPr>
        <w:t>интернета</w:t>
      </w:r>
      <w:proofErr w:type="spellEnd"/>
      <w:r w:rsidR="00514B81">
        <w:rPr>
          <w:lang w:eastAsia="en-GB"/>
        </w:rPr>
        <w:t xml:space="preserve"> </w:t>
      </w:r>
      <w:proofErr w:type="spellStart"/>
      <w:r w:rsidR="00514B81">
        <w:rPr>
          <w:lang w:eastAsia="en-GB"/>
        </w:rPr>
        <w:t>на</w:t>
      </w:r>
      <w:proofErr w:type="spellEnd"/>
      <w:r w:rsidR="00514B81">
        <w:rPr>
          <w:lang w:eastAsia="en-GB"/>
        </w:rPr>
        <w:t xml:space="preserve"> 278 </w:t>
      </w:r>
      <w:proofErr w:type="spellStart"/>
      <w:r w:rsidR="00514B81">
        <w:rPr>
          <w:lang w:eastAsia="en-GB"/>
        </w:rPr>
        <w:t>локација</w:t>
      </w:r>
      <w:proofErr w:type="spellEnd"/>
      <w:r w:rsidR="00514B81">
        <w:rPr>
          <w:lang w:eastAsia="en-GB"/>
        </w:rPr>
        <w:t xml:space="preserve"> у </w:t>
      </w:r>
      <w:proofErr w:type="spellStart"/>
      <w:r w:rsidR="00514B81">
        <w:rPr>
          <w:lang w:eastAsia="en-GB"/>
        </w:rPr>
        <w:t>Републици</w:t>
      </w:r>
      <w:proofErr w:type="spellEnd"/>
      <w:r w:rsidR="00514B81">
        <w:rPr>
          <w:lang w:eastAsia="en-GB"/>
        </w:rPr>
        <w:t xml:space="preserve"> </w:t>
      </w:r>
      <w:proofErr w:type="spellStart"/>
      <w:r w:rsidR="00514B81">
        <w:rPr>
          <w:lang w:eastAsia="en-GB"/>
        </w:rPr>
        <w:t>Србији</w:t>
      </w:r>
      <w:proofErr w:type="spellEnd"/>
      <w:r w:rsidR="00514B81">
        <w:rPr>
          <w:lang w:eastAsia="en-GB"/>
        </w:rPr>
        <w:t xml:space="preserve"> </w:t>
      </w:r>
      <w:r>
        <w:rPr>
          <w:lang w:val="sr-Cyrl-CS"/>
        </w:rPr>
        <w:t xml:space="preserve">за потребе Министарства за рад, запошљавање, борачка и социјална питања </w:t>
      </w:r>
      <w:r>
        <w:rPr>
          <w:szCs w:val="22"/>
          <w:lang w:val="sr-Cyrl-CS"/>
        </w:rPr>
        <w:t xml:space="preserve"> ЈН бр. </w:t>
      </w:r>
      <w:r w:rsidR="00514B81">
        <w:rPr>
          <w:szCs w:val="22"/>
        </w:rPr>
        <w:t>17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 xml:space="preserve">, Министарству за рад, запошљавање, борачка и социјална питања, поднет </w:t>
      </w:r>
      <w:proofErr w:type="spellStart"/>
      <w:r>
        <w:rPr>
          <w:szCs w:val="22"/>
          <w:lang w:val="sr-Cyrl-CS"/>
        </w:rPr>
        <w:t>je</w:t>
      </w:r>
      <w:proofErr w:type="spellEnd"/>
      <w:r>
        <w:rPr>
          <w:szCs w:val="22"/>
          <w:lang w:val="sr-Cyrl-CS"/>
        </w:rPr>
        <w:t xml:space="preserve"> захтев за појашњење конкурсне документације.</w:t>
      </w:r>
    </w:p>
    <w:p w:rsidR="00A6179C" w:rsidRDefault="00A6179C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proofErr w:type="gramStart"/>
      <w:r>
        <w:t>ст</w:t>
      </w:r>
      <w:proofErr w:type="spellEnd"/>
      <w:proofErr w:type="gramEnd"/>
      <w:r>
        <w:t xml:space="preserve">. 3. </w:t>
      </w:r>
      <w:proofErr w:type="gramStart"/>
      <w:r>
        <w:t>и</w:t>
      </w:r>
      <w:proofErr w:type="gram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CS"/>
        </w:rPr>
        <w:t>“</w:t>
      </w:r>
      <w:r>
        <w:t>, бр.124/12</w:t>
      </w:r>
      <w:r>
        <w:rPr>
          <w:lang w:val="sr-Cyrl-CS"/>
        </w:rPr>
        <w:t>, 14/2015 и 68/2015</w:t>
      </w:r>
      <w:r>
        <w:t>),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 w:rsidR="001D50E7">
        <w:rPr>
          <w:lang w:val="sr-Cyrl-CS"/>
        </w:rPr>
        <w:t xml:space="preserve"> за рад, запошљавање, борачка</w:t>
      </w:r>
      <w:r w:rsidR="001D50E7">
        <w:t xml:space="preserve"> </w:t>
      </w:r>
      <w:r>
        <w:rPr>
          <w:lang w:val="sr-Cyrl-CS"/>
        </w:rPr>
        <w:t>и социјална питања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постављенo</w:t>
      </w:r>
      <w:proofErr w:type="spellEnd"/>
      <w:r>
        <w:t xml:space="preserve"> </w:t>
      </w:r>
      <w:proofErr w:type="spellStart"/>
      <w:r>
        <w:t>питањe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следећ</w:t>
      </w:r>
      <w:proofErr w:type="spellEnd"/>
      <w:r>
        <w:rPr>
          <w:lang w:val="sr-Cyrl-CS"/>
        </w:rPr>
        <w:t>и</w:t>
      </w:r>
      <w:r>
        <w:t xml:space="preserve"> </w:t>
      </w:r>
      <w:proofErr w:type="spellStart"/>
      <w:r>
        <w:t>одговор</w:t>
      </w:r>
      <w:proofErr w:type="spellEnd"/>
      <w:r>
        <w:t>:</w:t>
      </w:r>
    </w:p>
    <w:p w:rsidR="00A6179C" w:rsidRDefault="00A6179C">
      <w:pPr>
        <w:pStyle w:val="BodyTextIndent"/>
        <w:ind w:firstLine="0"/>
        <w:rPr>
          <w:szCs w:val="22"/>
          <w:lang w:val="sr-Cyrl-CS"/>
        </w:rPr>
      </w:pPr>
    </w:p>
    <w:p w:rsidR="0016742E" w:rsidRDefault="00A6179C" w:rsidP="0016742E">
      <w:pPr>
        <w:rPr>
          <w:rFonts w:ascii="Arial" w:hAnsi="Arial" w:cs="Arial"/>
          <w:sz w:val="20"/>
          <w:szCs w:val="20"/>
        </w:rPr>
      </w:pPr>
      <w:r>
        <w:rPr>
          <w:b/>
          <w:bCs/>
          <w:szCs w:val="22"/>
          <w:lang w:val="sr-Cyrl-CS"/>
        </w:rPr>
        <w:t>ПИТАЊЕ 1</w:t>
      </w:r>
      <w:r w:rsidR="00E20BAB">
        <w:rPr>
          <w:b/>
          <w:bCs/>
          <w:szCs w:val="22"/>
          <w:lang w:val="sr-Cyrl-CS"/>
        </w:rPr>
        <w:t>:</w:t>
      </w:r>
      <w:r w:rsidR="003368BC" w:rsidRPr="003368BC">
        <w:rPr>
          <w:b/>
          <w:bCs/>
          <w:szCs w:val="22"/>
          <w:lang w:val="sr-Cyrl-CS"/>
        </w:rPr>
        <w:tab/>
      </w:r>
    </w:p>
    <w:p w:rsidR="0016742E" w:rsidRDefault="0016742E" w:rsidP="0016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4221" w:rsidRDefault="00801E0B" w:rsidP="00801E0B">
      <w:pPr>
        <w:jc w:val="both"/>
        <w:rPr>
          <w:bCs/>
          <w:szCs w:val="22"/>
          <w:lang w:val="sr-Cyrl-CS"/>
        </w:rPr>
      </w:pPr>
      <w:r w:rsidRPr="00801E0B">
        <w:rPr>
          <w:bCs/>
          <w:szCs w:val="22"/>
          <w:lang w:val="sr-Cyrl-CS"/>
        </w:rPr>
        <w:t>Потребно је да наручилац усклади рок важења менице за озбиљност понуде у обрасцу м</w:t>
      </w:r>
      <w:r>
        <w:rPr>
          <w:bCs/>
          <w:szCs w:val="22"/>
          <w:lang w:val="sr-Cyrl-CS"/>
        </w:rPr>
        <w:t>еничног овлашћења – Образац XIII</w:t>
      </w:r>
      <w:r w:rsidRPr="00801E0B">
        <w:rPr>
          <w:bCs/>
          <w:szCs w:val="22"/>
          <w:lang w:val="sr-Cyrl-CS"/>
        </w:rPr>
        <w:t>, са захтевом члана 14. Правилника о обавезним елементима конкурсне документације у поступцима јавних набавки и начину доказивања испуњености услова.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122BF4" w:rsidRDefault="00122BF4" w:rsidP="00801E0B">
      <w:pPr>
        <w:jc w:val="both"/>
        <w:rPr>
          <w:b/>
          <w:bCs/>
          <w:szCs w:val="22"/>
          <w:lang w:val="sr-Cyrl-CS"/>
        </w:rPr>
      </w:pPr>
      <w:r w:rsidRPr="00122BF4">
        <w:rPr>
          <w:b/>
          <w:bCs/>
          <w:szCs w:val="22"/>
          <w:lang w:val="sr-Cyrl-CS"/>
        </w:rPr>
        <w:t>ОДГОВОР 1: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>
        <w:rPr>
          <w:bCs/>
          <w:szCs w:val="22"/>
          <w:lang w:val="sr-Cyrl-CS"/>
        </w:rPr>
        <w:t>Сагласно члану</w:t>
      </w:r>
      <w:r w:rsidRPr="00801E0B">
        <w:rPr>
          <w:bCs/>
          <w:szCs w:val="22"/>
          <w:lang w:val="sr-Cyrl-CS"/>
        </w:rPr>
        <w:t xml:space="preserve"> 14. Правилника о обавезним елементима конкурсне документације у поступцима јавних набавки и начину доказивања испуњености услова</w:t>
      </w:r>
      <w:r>
        <w:rPr>
          <w:bCs/>
          <w:szCs w:val="22"/>
          <w:lang w:val="sr-Cyrl-CS"/>
        </w:rPr>
        <w:t>, који предвиђа да с</w:t>
      </w:r>
      <w:r w:rsidRPr="00122BF4">
        <w:rPr>
          <w:bCs/>
          <w:szCs w:val="22"/>
          <w:lang w:val="sr-Cyrl-CS"/>
        </w:rPr>
        <w:t>редство обезбеђења траје најмање онолико колико траје рок за испуњење обавезе понуђача која је предмет обезбеђења</w:t>
      </w:r>
      <w:r>
        <w:rPr>
          <w:bCs/>
          <w:szCs w:val="22"/>
          <w:lang w:val="sr-Cyrl-CS"/>
        </w:rPr>
        <w:t>, Наручилац је предвидео у Конкурсној документацији да Понуђач сам упише рок важења, а све у складу са наведеним чланом Правилника.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ПИТАЊЕ 2: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 w:rsidRPr="00122BF4">
        <w:rPr>
          <w:bCs/>
          <w:szCs w:val="22"/>
          <w:lang w:val="sr-Cyrl-CS"/>
        </w:rPr>
        <w:t>Потребно је да наручилац да у тачки 11. конкурсне документације, где се дефинише издавање менице за добро извршење посла (стр. 33-34/56), као и у обрасцу меничног овлашћења за д</w:t>
      </w:r>
      <w:r>
        <w:rPr>
          <w:bCs/>
          <w:szCs w:val="22"/>
          <w:lang w:val="sr-Cyrl-CS"/>
        </w:rPr>
        <w:t>обро извршење посла (Образац X</w:t>
      </w:r>
      <w:r>
        <w:rPr>
          <w:bCs/>
          <w:szCs w:val="22"/>
          <w:lang w:val="sr-Latn-RS"/>
        </w:rPr>
        <w:t>IV</w:t>
      </w:r>
      <w:r w:rsidRPr="00122BF4">
        <w:rPr>
          <w:bCs/>
          <w:szCs w:val="22"/>
          <w:lang w:val="sr-Cyrl-CS"/>
        </w:rPr>
        <w:t xml:space="preserve">), уместо „укупне вредности понуде“ мора да наведе „уговорена вредност“ с обзиром да Наручилац не сме да </w:t>
      </w:r>
      <w:r w:rsidRPr="00122BF4">
        <w:rPr>
          <w:bCs/>
          <w:szCs w:val="22"/>
          <w:lang w:val="sr-Cyrl-CS"/>
        </w:rPr>
        <w:lastRenderedPageBreak/>
        <w:t>тражи издавање средства финансијског обезбеђења за добро извршење посла, у износу већем од 10% од вредности уговора (без ПДВ-а), као што налаже члан 13. став 2. Правилника о обавезним елементима конкурсне документације у поступцима јавних набавки и начину доказивања испуњености услова.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ОДГОВОР 2: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>
        <w:rPr>
          <w:bCs/>
          <w:szCs w:val="22"/>
          <w:lang w:val="sr-Cyrl-CS"/>
        </w:rPr>
        <w:t>У питању је техничка грешка приликом сачињавања Конкурсне документације. Мисли се на „уговорену вредност“.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ПИТАЊЕ 3: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 w:rsidRPr="00122BF4">
        <w:rPr>
          <w:bCs/>
          <w:szCs w:val="22"/>
          <w:lang w:val="sr-Cyrl-CS"/>
        </w:rPr>
        <w:t>Како је понуђач већ прибавио референце, молимо наручи</w:t>
      </w:r>
      <w:r>
        <w:rPr>
          <w:bCs/>
          <w:szCs w:val="22"/>
          <w:lang w:val="sr-Cyrl-CS"/>
        </w:rPr>
        <w:t xml:space="preserve">оца за потврду да понуђачи могу </w:t>
      </w:r>
      <w:r w:rsidRPr="00122BF4">
        <w:rPr>
          <w:bCs/>
          <w:szCs w:val="22"/>
          <w:lang w:val="sr-Cyrl-CS"/>
        </w:rPr>
        <w:t>доставити Образац референтне потврде из првобитне конкурсне документације, обзиром да је новом измењена само нумерација стране на којој се иста налази.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ОДГОВОР 3: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>
        <w:rPr>
          <w:bCs/>
          <w:szCs w:val="22"/>
          <w:lang w:val="sr-Cyrl-CS"/>
        </w:rPr>
        <w:t>Образац референтне потврде понуђачи могу доставити из првобитне Конкурсне документације, имајући у виду да се сам Образац није мењао, већ само нумерација стране на којој се налази.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ПИТАЊЕ 4: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 w:rsidRPr="00122BF4">
        <w:rPr>
          <w:bCs/>
          <w:szCs w:val="22"/>
          <w:lang w:val="sr-Cyrl-CS"/>
        </w:rPr>
        <w:t xml:space="preserve">Да ли се за ставку - цена услуге интернета - </w:t>
      </w:r>
      <w:proofErr w:type="spellStart"/>
      <w:r w:rsidRPr="00122BF4">
        <w:rPr>
          <w:bCs/>
          <w:szCs w:val="22"/>
          <w:lang w:val="sr-Cyrl-CS"/>
        </w:rPr>
        <w:t>пондерише</w:t>
      </w:r>
      <w:proofErr w:type="spellEnd"/>
      <w:r w:rsidRPr="00122BF4">
        <w:rPr>
          <w:bCs/>
          <w:szCs w:val="22"/>
          <w:lang w:val="sr-Cyrl-CS"/>
        </w:rPr>
        <w:t xml:space="preserve"> цена са ПДВ-ом или цена без ПДВ-а?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ОДГОВОР 4: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proofErr w:type="spellStart"/>
      <w:r>
        <w:rPr>
          <w:bCs/>
          <w:szCs w:val="22"/>
          <w:lang w:val="sr-Cyrl-CS"/>
        </w:rPr>
        <w:t>Пондерише</w:t>
      </w:r>
      <w:proofErr w:type="spellEnd"/>
      <w:r>
        <w:rPr>
          <w:bCs/>
          <w:szCs w:val="22"/>
          <w:lang w:val="sr-Cyrl-CS"/>
        </w:rPr>
        <w:t xml:space="preserve"> се цена без ПДВ-а.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ПИТАЊЕ 5: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 w:rsidRPr="00122BF4">
        <w:rPr>
          <w:bCs/>
          <w:szCs w:val="22"/>
          <w:lang w:val="sr-Cyrl-CS"/>
        </w:rPr>
        <w:t>У табели на страни 42 конкурсне документације, два пута је наведено исто: „месечна цена услуге без ПДВ-а“. Претпоставка је да се ради о техничкој грешки која је направљена и да би требало да стоји: „месечна цена услуге без ПДВ-а“, а у следећем реду у табели „месечна цена услуге са ПДВ-ом“. У складу са наведеним, сугеришемо наручиоцу корекцију.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ОДГОВОР 5: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517110" w:rsidRDefault="00122BF4" w:rsidP="00801E0B">
      <w:pPr>
        <w:jc w:val="both"/>
        <w:rPr>
          <w:bCs/>
          <w:szCs w:val="22"/>
          <w:lang w:val="sr-Cyrl-RS"/>
        </w:rPr>
      </w:pPr>
      <w:r>
        <w:rPr>
          <w:bCs/>
          <w:szCs w:val="22"/>
          <w:lang w:val="sr-Cyrl-CS"/>
        </w:rPr>
        <w:t>У питању је техничка грешка.</w:t>
      </w:r>
      <w:r w:rsidR="00517110">
        <w:rPr>
          <w:bCs/>
          <w:szCs w:val="22"/>
          <w:lang w:val="sr-Latn-RS"/>
        </w:rPr>
        <w:t xml:space="preserve"> </w:t>
      </w:r>
      <w:r w:rsidR="00517110">
        <w:rPr>
          <w:bCs/>
          <w:szCs w:val="22"/>
          <w:lang w:val="sr-Cyrl-RS"/>
        </w:rPr>
        <w:t>Треба да стоји „месечна цена без ПДВ-а“, а у следећем реду у табели „месечна цена са ПДВ-ом“.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r w:rsidRPr="00E207D6">
        <w:rPr>
          <w:b/>
          <w:bCs/>
          <w:szCs w:val="22"/>
          <w:lang w:val="sr-Cyrl-CS"/>
        </w:rPr>
        <w:t>ПИТАЊЕ 6: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122BF4" w:rsidP="00801E0B">
      <w:pPr>
        <w:jc w:val="both"/>
        <w:rPr>
          <w:bCs/>
          <w:szCs w:val="22"/>
          <w:lang w:val="sr-Cyrl-CS"/>
        </w:rPr>
      </w:pPr>
      <w:r w:rsidRPr="00122BF4">
        <w:rPr>
          <w:bCs/>
          <w:szCs w:val="22"/>
          <w:lang w:val="sr-Cyrl-CS"/>
        </w:rPr>
        <w:t xml:space="preserve">Сугеришемо наручиоцу да у делу конкурсне документације у елементима критеријума прецизира тачне проценте за доделу </w:t>
      </w:r>
      <w:proofErr w:type="spellStart"/>
      <w:r w:rsidRPr="00122BF4">
        <w:rPr>
          <w:bCs/>
          <w:szCs w:val="22"/>
          <w:lang w:val="sr-Cyrl-CS"/>
        </w:rPr>
        <w:t>пондера</w:t>
      </w:r>
      <w:proofErr w:type="spellEnd"/>
      <w:r w:rsidRPr="00122BF4">
        <w:rPr>
          <w:bCs/>
          <w:szCs w:val="22"/>
          <w:lang w:val="sr-Cyrl-CS"/>
        </w:rPr>
        <w:t xml:space="preserve"> за бодовање </w:t>
      </w:r>
      <w:r w:rsidRPr="00122BF4">
        <w:rPr>
          <w:bCs/>
          <w:szCs w:val="22"/>
          <w:lang w:val="sr-Cyrl-CS"/>
        </w:rPr>
        <w:lastRenderedPageBreak/>
        <w:t xml:space="preserve">функционалности, тако да: понуђач који понуди реализацију 51-80% преко бакарног или оптичког </w:t>
      </w:r>
      <w:proofErr w:type="spellStart"/>
      <w:r w:rsidRPr="00122BF4">
        <w:rPr>
          <w:bCs/>
          <w:szCs w:val="22"/>
          <w:lang w:val="sr-Cyrl-CS"/>
        </w:rPr>
        <w:t>привода</w:t>
      </w:r>
      <w:proofErr w:type="spellEnd"/>
      <w:r w:rsidRPr="00122BF4">
        <w:rPr>
          <w:bCs/>
          <w:szCs w:val="22"/>
          <w:lang w:val="sr-Cyrl-CS"/>
        </w:rPr>
        <w:t xml:space="preserve"> добија 20 </w:t>
      </w:r>
      <w:proofErr w:type="spellStart"/>
      <w:r w:rsidRPr="00122BF4">
        <w:rPr>
          <w:bCs/>
          <w:szCs w:val="22"/>
          <w:lang w:val="sr-Cyrl-CS"/>
        </w:rPr>
        <w:t>пондера</w:t>
      </w:r>
      <w:proofErr w:type="spellEnd"/>
      <w:r w:rsidRPr="00122BF4">
        <w:rPr>
          <w:bCs/>
          <w:szCs w:val="22"/>
          <w:lang w:val="sr-Cyrl-CS"/>
        </w:rPr>
        <w:t xml:space="preserve">, а понуђач који понуди реализацију 81% и више добија 30 </w:t>
      </w:r>
      <w:proofErr w:type="spellStart"/>
      <w:r w:rsidRPr="00122BF4">
        <w:rPr>
          <w:bCs/>
          <w:szCs w:val="22"/>
          <w:lang w:val="sr-Cyrl-CS"/>
        </w:rPr>
        <w:t>пондера</w:t>
      </w:r>
      <w:proofErr w:type="spellEnd"/>
      <w:r w:rsidRPr="00122BF4">
        <w:rPr>
          <w:bCs/>
          <w:szCs w:val="22"/>
          <w:lang w:val="sr-Cyrl-CS"/>
        </w:rPr>
        <w:t>.</w:t>
      </w:r>
    </w:p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Pr="00E207D6" w:rsidRDefault="00122BF4" w:rsidP="00801E0B">
      <w:pPr>
        <w:jc w:val="both"/>
        <w:rPr>
          <w:b/>
          <w:bCs/>
          <w:szCs w:val="22"/>
          <w:lang w:val="sr-Cyrl-CS"/>
        </w:rPr>
      </w:pPr>
      <w:bookmarkStart w:id="0" w:name="_GoBack"/>
      <w:r w:rsidRPr="00E207D6">
        <w:rPr>
          <w:b/>
          <w:bCs/>
          <w:szCs w:val="22"/>
          <w:lang w:val="sr-Cyrl-CS"/>
        </w:rPr>
        <w:t>ОДГОВОР 6:</w:t>
      </w:r>
    </w:p>
    <w:bookmarkEnd w:id="0"/>
    <w:p w:rsidR="00122BF4" w:rsidRDefault="00122BF4" w:rsidP="00801E0B">
      <w:pPr>
        <w:jc w:val="both"/>
        <w:rPr>
          <w:bCs/>
          <w:szCs w:val="22"/>
          <w:lang w:val="sr-Cyrl-CS"/>
        </w:rPr>
      </w:pPr>
    </w:p>
    <w:p w:rsidR="00122BF4" w:rsidRDefault="00517110" w:rsidP="00801E0B">
      <w:pPr>
        <w:jc w:val="both"/>
        <w:rPr>
          <w:bCs/>
          <w:szCs w:val="22"/>
          <w:lang w:val="sr-Cyrl-CS"/>
        </w:rPr>
      </w:pPr>
      <w:r>
        <w:rPr>
          <w:bCs/>
          <w:szCs w:val="22"/>
          <w:lang w:val="sr-Cyrl-CS"/>
        </w:rPr>
        <w:t>Конкурсном документацијом је довољно прецизно дефинисано, па нпр. р</w:t>
      </w:r>
      <w:r w:rsidR="00122BF4">
        <w:rPr>
          <w:bCs/>
          <w:szCs w:val="22"/>
          <w:lang w:val="sr-Cyrl-CS"/>
        </w:rPr>
        <w:t>еализација до 50 % обухвата и 50,00 %</w:t>
      </w:r>
      <w:r w:rsidR="009726E9">
        <w:rPr>
          <w:bCs/>
          <w:szCs w:val="22"/>
          <w:lang w:val="sr-Cyrl-CS"/>
        </w:rPr>
        <w:t xml:space="preserve">, што имплицира да понуђач са таквом понудом добија 10 </w:t>
      </w:r>
      <w:proofErr w:type="spellStart"/>
      <w:r w:rsidR="009726E9">
        <w:rPr>
          <w:bCs/>
          <w:szCs w:val="22"/>
          <w:lang w:val="sr-Cyrl-CS"/>
        </w:rPr>
        <w:t>пондера</w:t>
      </w:r>
      <w:proofErr w:type="spellEnd"/>
      <w:r w:rsidR="009726E9">
        <w:rPr>
          <w:bCs/>
          <w:szCs w:val="22"/>
          <w:lang w:val="sr-Cyrl-CS"/>
        </w:rPr>
        <w:t>.</w:t>
      </w:r>
    </w:p>
    <w:p w:rsidR="00122BF4" w:rsidRPr="008F70C3" w:rsidRDefault="00122BF4" w:rsidP="00801E0B">
      <w:pPr>
        <w:jc w:val="both"/>
        <w:rPr>
          <w:bCs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6742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6742E" w:rsidRDefault="001674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16742E" w:rsidRDefault="001674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16742E" w:rsidRDefault="001674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16742E" w:rsidRDefault="001674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16742E" w:rsidRDefault="0016742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Станиша </w:t>
            </w:r>
            <w:proofErr w:type="spellStart"/>
            <w:r>
              <w:rPr>
                <w:b/>
                <w:bCs/>
                <w:sz w:val="22"/>
                <w:szCs w:val="22"/>
                <w:lang w:val="sr-Cyrl-CS"/>
              </w:rPr>
              <w:t>Грковић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>, члан Комисије</w:t>
            </w:r>
          </w:p>
          <w:p w:rsidR="0016742E" w:rsidRDefault="0016742E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>
      <w:pPr>
        <w:jc w:val="both"/>
        <w:rPr>
          <w:color w:val="1E3911"/>
          <w:sz w:val="22"/>
          <w:szCs w:val="22"/>
          <w:lang w:val="sr-Cyrl-CS"/>
        </w:rPr>
      </w:pPr>
    </w:p>
    <w:p w:rsidR="00A6179C" w:rsidRDefault="00A6179C">
      <w:pPr>
        <w:rPr>
          <w:b/>
          <w:bCs/>
          <w:sz w:val="22"/>
          <w:szCs w:val="22"/>
          <w:lang w:val="sr-Cyrl-CS"/>
        </w:rPr>
      </w:pPr>
    </w:p>
    <w:sectPr w:rsidR="00A6179C">
      <w:pgSz w:w="12240" w:h="15840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23261"/>
    <w:multiLevelType w:val="hybridMultilevel"/>
    <w:tmpl w:val="7D1E5ED0"/>
    <w:lvl w:ilvl="0" w:tplc="1CC41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85F59"/>
    <w:multiLevelType w:val="hybridMultilevel"/>
    <w:tmpl w:val="2220970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36503D6"/>
    <w:multiLevelType w:val="hybridMultilevel"/>
    <w:tmpl w:val="BEE60A92"/>
    <w:lvl w:ilvl="0" w:tplc="919C87F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7C0D"/>
    <w:multiLevelType w:val="hybridMultilevel"/>
    <w:tmpl w:val="7E10C9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17">
      <w:start w:val="1"/>
      <w:numFmt w:val="lowerLetter"/>
      <w:lvlText w:val="%3)"/>
      <w:lvlJc w:val="left"/>
      <w:pPr>
        <w:ind w:left="2160" w:hanging="360"/>
      </w:p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7499B"/>
    <w:rsid w:val="000B6E71"/>
    <w:rsid w:val="000C668C"/>
    <w:rsid w:val="00102EAA"/>
    <w:rsid w:val="00122BF4"/>
    <w:rsid w:val="0016742E"/>
    <w:rsid w:val="001837FC"/>
    <w:rsid w:val="001D1128"/>
    <w:rsid w:val="001D3D97"/>
    <w:rsid w:val="001D50E7"/>
    <w:rsid w:val="00250DD4"/>
    <w:rsid w:val="003339AE"/>
    <w:rsid w:val="003368BC"/>
    <w:rsid w:val="00340F2B"/>
    <w:rsid w:val="00373947"/>
    <w:rsid w:val="003E3E8B"/>
    <w:rsid w:val="004428C6"/>
    <w:rsid w:val="004B7FB7"/>
    <w:rsid w:val="00514B81"/>
    <w:rsid w:val="00517110"/>
    <w:rsid w:val="005229DC"/>
    <w:rsid w:val="00574F41"/>
    <w:rsid w:val="00607649"/>
    <w:rsid w:val="00660287"/>
    <w:rsid w:val="006F2D95"/>
    <w:rsid w:val="007C0876"/>
    <w:rsid w:val="007C7388"/>
    <w:rsid w:val="008009BD"/>
    <w:rsid w:val="00801E0B"/>
    <w:rsid w:val="0083143B"/>
    <w:rsid w:val="00873752"/>
    <w:rsid w:val="008B714B"/>
    <w:rsid w:val="008C032B"/>
    <w:rsid w:val="008D615A"/>
    <w:rsid w:val="008F70C3"/>
    <w:rsid w:val="00924B6C"/>
    <w:rsid w:val="009726E9"/>
    <w:rsid w:val="009738B7"/>
    <w:rsid w:val="009E2224"/>
    <w:rsid w:val="009F110E"/>
    <w:rsid w:val="00A22E20"/>
    <w:rsid w:val="00A6179C"/>
    <w:rsid w:val="00A940D3"/>
    <w:rsid w:val="00AD45E1"/>
    <w:rsid w:val="00B04221"/>
    <w:rsid w:val="00B52623"/>
    <w:rsid w:val="00B81AB5"/>
    <w:rsid w:val="00BA0AFA"/>
    <w:rsid w:val="00C16C63"/>
    <w:rsid w:val="00CA71E9"/>
    <w:rsid w:val="00CE55C9"/>
    <w:rsid w:val="00D105BC"/>
    <w:rsid w:val="00D82BE4"/>
    <w:rsid w:val="00DE02A2"/>
    <w:rsid w:val="00DF6D3B"/>
    <w:rsid w:val="00E207D6"/>
    <w:rsid w:val="00E20BAB"/>
    <w:rsid w:val="00F41FBD"/>
    <w:rsid w:val="00F93C23"/>
    <w:rsid w:val="00FC1462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F8D414-BF33-4BE7-A776-A064DC96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uiPriority w:val="34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5</cp:revision>
  <cp:lastPrinted>2015-04-03T10:09:00Z</cp:lastPrinted>
  <dcterms:created xsi:type="dcterms:W3CDTF">2017-09-27T09:05:00Z</dcterms:created>
  <dcterms:modified xsi:type="dcterms:W3CDTF">2017-09-28T06:25:00Z</dcterms:modified>
</cp:coreProperties>
</file>