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AEE" w:rsidRDefault="00B94AEE">
      <w:pPr>
        <w:shd w:val="clear" w:color="auto" w:fill="FFFFFF"/>
        <w:spacing w:after="105"/>
        <w:jc w:val="center"/>
        <w:outlineLvl w:val="0"/>
        <w:rPr>
          <w:b/>
          <w:bCs/>
          <w:kern w:val="36"/>
          <w:lang w:val="sr-Cyrl-CS"/>
        </w:rPr>
      </w:pPr>
    </w:p>
    <w:p w:rsidR="00845DA6" w:rsidRDefault="00845DA6">
      <w:pPr>
        <w:shd w:val="clear" w:color="auto" w:fill="FFFFFF"/>
        <w:spacing w:before="100" w:beforeAutospacing="1" w:after="168" w:line="270" w:lineRule="atLeast"/>
        <w:ind w:firstLine="720"/>
        <w:jc w:val="both"/>
        <w:rPr>
          <w:color w:val="6C6E70"/>
          <w:lang w:val="ru-RU"/>
        </w:rPr>
      </w:pPr>
      <w:r>
        <w:rPr>
          <w:lang w:val="ru-RU"/>
        </w:rPr>
        <w:t>На основу члана 55. став 1. тачка 2. и члана 60. став 1. тачка 1. Закона о јавним набавкама („Службени гласник РС“, број 124/12</w:t>
      </w:r>
      <w:r>
        <w:t>,</w:t>
      </w:r>
      <w:r>
        <w:rPr>
          <w:lang w:val="ru-RU"/>
        </w:rPr>
        <w:t xml:space="preserve"> 14/15</w:t>
      </w:r>
      <w:r>
        <w:t xml:space="preserve"> </w:t>
      </w:r>
      <w:r>
        <w:rPr>
          <w:lang w:val="sr-Cyrl-CS"/>
        </w:rPr>
        <w:t>и 68/15</w:t>
      </w:r>
      <w:r>
        <w:rPr>
          <w:lang w:val="ru-RU"/>
        </w:rPr>
        <w:t xml:space="preserve">), </w:t>
      </w:r>
      <w:r>
        <w:rPr>
          <w:lang w:val="sr-Cyrl-CS"/>
        </w:rPr>
        <w:t xml:space="preserve"> Министарство за рад, запошљавање, борачка и социјална питања</w:t>
      </w:r>
    </w:p>
    <w:p w:rsidR="00845DA6" w:rsidRDefault="00845DA6">
      <w:pPr>
        <w:shd w:val="clear" w:color="auto" w:fill="FFFFFF"/>
        <w:spacing w:before="100" w:beforeAutospacing="1" w:after="168" w:line="270" w:lineRule="atLeast"/>
        <w:jc w:val="center"/>
        <w:rPr>
          <w:lang w:val="ru-RU"/>
        </w:rPr>
      </w:pPr>
      <w:r>
        <w:rPr>
          <w:lang w:val="ru-RU"/>
        </w:rPr>
        <w:t>објављује</w:t>
      </w:r>
    </w:p>
    <w:p w:rsidR="00845DA6" w:rsidRPr="00AF07DE" w:rsidRDefault="00845DA6">
      <w:pPr>
        <w:shd w:val="clear" w:color="auto" w:fill="FFFFFF"/>
        <w:spacing w:before="100" w:beforeAutospacing="1" w:after="168" w:line="270" w:lineRule="atLeast"/>
        <w:jc w:val="center"/>
        <w:rPr>
          <w:lang w:val="ru-RU"/>
        </w:rPr>
      </w:pPr>
      <w:r>
        <w:rPr>
          <w:b/>
          <w:bCs/>
          <w:lang w:val="ru-RU"/>
        </w:rPr>
        <w:t>ПОЗИВ ЗА ПОДНОШЕЊЕ ПОНУДА (</w:t>
      </w:r>
      <w:r w:rsidR="00B94AEE">
        <w:rPr>
          <w:b/>
          <w:bCs/>
          <w:lang w:val="ru-RU"/>
        </w:rPr>
        <w:t>ЈН 35</w:t>
      </w:r>
      <w:r w:rsidRPr="00AF07DE">
        <w:rPr>
          <w:b/>
          <w:bCs/>
        </w:rPr>
        <w:t>/</w:t>
      </w:r>
      <w:r w:rsidRPr="00AF07DE">
        <w:rPr>
          <w:b/>
          <w:bCs/>
          <w:lang w:val="sr-Cyrl-CS"/>
        </w:rPr>
        <w:t>201</w:t>
      </w:r>
      <w:r w:rsidR="00A77942" w:rsidRPr="00AF07DE">
        <w:rPr>
          <w:b/>
          <w:bCs/>
          <w:lang w:val="sr-Cyrl-CS"/>
        </w:rPr>
        <w:t>7</w:t>
      </w:r>
      <w:r w:rsidRPr="00AF07DE">
        <w:rPr>
          <w:b/>
          <w:bCs/>
          <w:lang w:val="ru-RU"/>
        </w:rPr>
        <w:t>)</w:t>
      </w:r>
    </w:p>
    <w:p w:rsidR="00845DA6" w:rsidRDefault="00845DA6">
      <w:pPr>
        <w:pStyle w:val="NoSpacing"/>
        <w:rPr>
          <w:u w:val="single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Назив наручиоца</w:t>
      </w:r>
      <w:r>
        <w:rPr>
          <w:rFonts w:ascii="Times New Roman" w:hAnsi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РЕПУБЛИКА СРБИЈА,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МИНИСТАРСТВО ЗА РАД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,   ЗАПОШЉАВАЊЕ, БОРАЧКА  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И СОЦИЈАЛНА   ПИТАЊА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br/>
        <w:t>Адреса наручиоца</w:t>
      </w:r>
      <w:r>
        <w:rPr>
          <w:rFonts w:ascii="Times New Roman" w:hAnsi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color w:val="243757"/>
          <w:sz w:val="24"/>
          <w:szCs w:val="24"/>
          <w:lang w:val="sr-Latn-CS"/>
        </w:rPr>
        <w:t>Немањина 22-26</w:t>
      </w:r>
      <w:r>
        <w:rPr>
          <w:rFonts w:ascii="Times New Roman" w:hAnsi="Times New Roman"/>
          <w:sz w:val="24"/>
          <w:szCs w:val="24"/>
          <w:lang w:val="ru-RU"/>
        </w:rPr>
        <w:t xml:space="preserve">, Београд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br/>
        <w:t>Интернет страница наручиоца</w:t>
      </w:r>
      <w:r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</w:rPr>
        <w:t> </w:t>
      </w:r>
      <w:hyperlink r:id="rId7" w:history="1">
        <w:r>
          <w:rPr>
            <w:rStyle w:val="Hyperlink"/>
            <w:lang w:val="sr-Latn-CS"/>
          </w:rPr>
          <w:t>www.minrzs.gov.rs</w:t>
        </w:r>
      </w:hyperlink>
    </w:p>
    <w:p w:rsidR="00845DA6" w:rsidRPr="00B94AEE" w:rsidRDefault="00B94AEE" w:rsidP="00B94AEE">
      <w:pPr>
        <w:pStyle w:val="NoSpacing"/>
        <w:rPr>
          <w:rFonts w:ascii="Times New Roman" w:eastAsia="Arial Unicode MS" w:hAnsi="Times New Roman"/>
          <w:kern w:val="2"/>
          <w:sz w:val="24"/>
          <w:szCs w:val="24"/>
          <w:lang w:eastAsia="ar-SA"/>
        </w:rPr>
      </w:pPr>
      <w:r w:rsidRPr="00B94AEE">
        <w:rPr>
          <w:rFonts w:ascii="Times New Roman" w:hAnsi="Times New Roman"/>
          <w:sz w:val="24"/>
          <w:szCs w:val="24"/>
          <w:lang w:val="ru-RU"/>
        </w:rPr>
        <w:t xml:space="preserve">Врста </w:t>
      </w:r>
      <w:r w:rsidR="00845DA6" w:rsidRPr="00B94AEE">
        <w:rPr>
          <w:rFonts w:ascii="Times New Roman" w:hAnsi="Times New Roman"/>
          <w:sz w:val="24"/>
          <w:szCs w:val="24"/>
          <w:lang w:val="ru-RU"/>
        </w:rPr>
        <w:t xml:space="preserve">наручиоца: </w:t>
      </w:r>
      <w:r w:rsidR="00845DA6" w:rsidRPr="00B94AEE">
        <w:rPr>
          <w:rFonts w:ascii="Times New Roman" w:hAnsi="Times New Roman"/>
          <w:sz w:val="24"/>
          <w:szCs w:val="24"/>
          <w:lang w:val="sr-Cyrl-CS"/>
        </w:rPr>
        <w:t>Орган државне управе</w:t>
      </w:r>
      <w:r w:rsidR="00845DA6" w:rsidRPr="00B94AEE">
        <w:rPr>
          <w:rFonts w:ascii="Times New Roman" w:hAnsi="Times New Roman"/>
          <w:sz w:val="24"/>
          <w:szCs w:val="24"/>
          <w:lang w:val="ru-RU"/>
        </w:rPr>
        <w:br/>
        <w:t>Врста поступка јавне набавке: Отворени поступак</w:t>
      </w:r>
      <w:r w:rsidR="00845DA6" w:rsidRPr="00B94AEE">
        <w:rPr>
          <w:rFonts w:ascii="Times New Roman" w:hAnsi="Times New Roman"/>
          <w:sz w:val="24"/>
          <w:szCs w:val="24"/>
          <w:lang w:val="ru-RU"/>
        </w:rPr>
        <w:br/>
        <w:t>Врста предмета набавке: Услуг</w:t>
      </w:r>
      <w:r w:rsidR="00845DA6" w:rsidRPr="00B94AEE">
        <w:rPr>
          <w:rFonts w:ascii="Times New Roman" w:hAnsi="Times New Roman"/>
          <w:sz w:val="24"/>
          <w:szCs w:val="24"/>
          <w:lang w:val="sr-Cyrl-CS"/>
        </w:rPr>
        <w:t>е</w:t>
      </w:r>
      <w:r w:rsidR="00845DA6">
        <w:rPr>
          <w:lang w:val="ru-RU"/>
        </w:rPr>
        <w:br/>
      </w:r>
      <w:r w:rsidR="00845DA6" w:rsidRPr="00B94AEE">
        <w:rPr>
          <w:rFonts w:ascii="Times New Roman" w:hAnsi="Times New Roman"/>
          <w:sz w:val="24"/>
          <w:szCs w:val="24"/>
          <w:lang w:val="ru-RU"/>
        </w:rPr>
        <w:t>Опис предмета набавке</w:t>
      </w:r>
      <w:r w:rsidR="00845DA6" w:rsidRPr="00B94AEE">
        <w:rPr>
          <w:rFonts w:ascii="Times New Roman" w:hAnsi="Times New Roman"/>
          <w:color w:val="6C6E70"/>
          <w:sz w:val="24"/>
          <w:szCs w:val="24"/>
          <w:lang w:val="ru-RU"/>
        </w:rPr>
        <w:t>:</w:t>
      </w:r>
      <w:r w:rsidR="00845DA6" w:rsidRPr="00B94AE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94AEE">
        <w:rPr>
          <w:rFonts w:ascii="Times New Roman" w:hAnsi="Times New Roman"/>
          <w:sz w:val="24"/>
          <w:szCs w:val="24"/>
          <w:lang w:val="ru-RU"/>
        </w:rPr>
        <w:t>услуг</w:t>
      </w:r>
      <w:r w:rsidRPr="00B94AEE">
        <w:rPr>
          <w:rFonts w:ascii="Times New Roman" w:hAnsi="Times New Roman"/>
          <w:sz w:val="24"/>
          <w:szCs w:val="24"/>
          <w:lang w:val="sr-Cyrl-CS"/>
        </w:rPr>
        <w:t>е продукције филмова за потребе Министарства за рад, запошљавање, борачка и социјална питања, по партијама</w:t>
      </w:r>
      <w:r w:rsidR="00845DA6" w:rsidRPr="00B94AEE">
        <w:rPr>
          <w:rFonts w:ascii="Times New Roman" w:hAnsi="Times New Roman"/>
          <w:color w:val="000000"/>
          <w:sz w:val="24"/>
          <w:szCs w:val="24"/>
          <w:lang w:val="ru-RU"/>
        </w:rPr>
        <w:t>, обликован</w:t>
      </w:r>
      <w:r w:rsidRPr="00B94AEE">
        <w:rPr>
          <w:rFonts w:ascii="Times New Roman" w:hAnsi="Times New Roman"/>
          <w:color w:val="000000"/>
          <w:sz w:val="24"/>
          <w:szCs w:val="24"/>
          <w:lang w:val="sr-Cyrl-RS"/>
        </w:rPr>
        <w:t>а</w:t>
      </w:r>
      <w:r w:rsidR="00845DA6" w:rsidRPr="00B94AE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484027" w:rsidRPr="00B94AEE">
        <w:rPr>
          <w:rFonts w:ascii="Times New Roman" w:hAnsi="Times New Roman"/>
          <w:color w:val="000000"/>
          <w:sz w:val="24"/>
          <w:szCs w:val="24"/>
          <w:lang w:val="ru-RU"/>
        </w:rPr>
        <w:t xml:space="preserve">у три </w:t>
      </w:r>
      <w:r w:rsidR="00845DA6" w:rsidRPr="00B94AEE">
        <w:rPr>
          <w:rFonts w:ascii="Times New Roman" w:hAnsi="Times New Roman"/>
          <w:color w:val="000000"/>
          <w:sz w:val="24"/>
          <w:szCs w:val="24"/>
          <w:lang w:val="ru-RU"/>
        </w:rPr>
        <w:t>партиј</w:t>
      </w:r>
      <w:r w:rsidR="0089607E" w:rsidRPr="00B94AEE">
        <w:rPr>
          <w:rFonts w:ascii="Times New Roman" w:hAnsi="Times New Roman"/>
          <w:color w:val="000000"/>
          <w:sz w:val="24"/>
          <w:szCs w:val="24"/>
          <w:lang w:val="ru-RU"/>
        </w:rPr>
        <w:t>е</w:t>
      </w:r>
    </w:p>
    <w:p w:rsidR="00845DA6" w:rsidRPr="009F3AC8" w:rsidRDefault="00845DA6">
      <w:pPr>
        <w:jc w:val="both"/>
        <w:rPr>
          <w:bCs/>
          <w:lang w:val="sr-Cyrl-RS"/>
        </w:rPr>
      </w:pPr>
      <w:r>
        <w:rPr>
          <w:lang w:val="ru-RU"/>
        </w:rPr>
        <w:t xml:space="preserve">Ознака ОРН </w:t>
      </w:r>
      <w:r w:rsidR="00B94AEE">
        <w:rPr>
          <w:lang w:val="sr-Cyrl-CS"/>
        </w:rPr>
        <w:t xml:space="preserve">92110000 – Услуге  продукције филма и видео трака и сродне услуге  </w:t>
      </w:r>
    </w:p>
    <w:p w:rsidR="00484027" w:rsidRDefault="00C94C6A" w:rsidP="00484027">
      <w:pPr>
        <w:jc w:val="both"/>
        <w:rPr>
          <w:rFonts w:eastAsia="Arial Unicode MS"/>
          <w:kern w:val="2"/>
          <w:lang w:val="sr-Cyrl-RS" w:eastAsia="ar-SA"/>
        </w:rPr>
      </w:pPr>
      <w:r>
        <w:rPr>
          <w:lang w:val="sr-Cyrl-RS"/>
        </w:rPr>
        <w:t>У</w:t>
      </w:r>
      <w:r w:rsidRPr="004E1C85">
        <w:rPr>
          <w:lang w:val="sr-Cyrl-RS"/>
        </w:rPr>
        <w:t xml:space="preserve">купна процењена вредност </w:t>
      </w:r>
      <w:r>
        <w:rPr>
          <w:lang w:val="sr-Cyrl-RS"/>
        </w:rPr>
        <w:t>отвореног поступка јавне набавке</w:t>
      </w:r>
      <w:r w:rsidR="00954DA2">
        <w:rPr>
          <w:lang w:val="sr-Cyrl-RS"/>
        </w:rPr>
        <w:t xml:space="preserve"> </w:t>
      </w:r>
      <w:r w:rsidR="005B55A3">
        <w:rPr>
          <w:lang w:val="sr-Cyrl-RS"/>
        </w:rPr>
        <w:t>5</w:t>
      </w:r>
      <w:r w:rsidR="000B73BB">
        <w:rPr>
          <w:rFonts w:eastAsia="Arial Unicode MS"/>
          <w:kern w:val="2"/>
          <w:lang w:val="sr-Cyrl-RS" w:eastAsia="ar-SA"/>
        </w:rPr>
        <w:t>.</w:t>
      </w:r>
      <w:r w:rsidR="005B55A3">
        <w:rPr>
          <w:rFonts w:eastAsia="Arial Unicode MS"/>
          <w:kern w:val="2"/>
          <w:lang w:val="sr-Cyrl-RS" w:eastAsia="ar-SA"/>
        </w:rPr>
        <w:t>0</w:t>
      </w:r>
      <w:r w:rsidR="000B73BB">
        <w:rPr>
          <w:rFonts w:eastAsia="Arial Unicode MS"/>
          <w:kern w:val="2"/>
          <w:lang w:val="sr-Cyrl-RS" w:eastAsia="ar-SA"/>
        </w:rPr>
        <w:t>00.000,00</w:t>
      </w:r>
      <w:r w:rsidR="004F5709" w:rsidRPr="00017B60">
        <w:rPr>
          <w:rFonts w:eastAsia="Arial Unicode MS"/>
          <w:kern w:val="2"/>
          <w:lang w:val="sr-Cyrl-RS" w:eastAsia="ar-SA"/>
        </w:rPr>
        <w:t xml:space="preserve"> динара</w:t>
      </w:r>
      <w:r>
        <w:rPr>
          <w:lang w:val="sr-Cyrl-RS"/>
        </w:rPr>
        <w:t xml:space="preserve"> </w:t>
      </w:r>
      <w:r w:rsidRPr="004E1C85">
        <w:rPr>
          <w:lang w:val="sr-Cyrl-RS"/>
        </w:rPr>
        <w:t xml:space="preserve"> без ПДВ-</w:t>
      </w:r>
      <w:r w:rsidR="00484027">
        <w:rPr>
          <w:lang w:val="sr-Cyrl-RS"/>
        </w:rPr>
        <w:t>а,</w:t>
      </w:r>
      <w:r w:rsidR="00484027" w:rsidRPr="00484027">
        <w:rPr>
          <w:rFonts w:eastAsia="Arial Unicode MS"/>
          <w:kern w:val="2"/>
          <w:lang w:val="sr-Cyrl-RS" w:eastAsia="ar-SA"/>
        </w:rPr>
        <w:t xml:space="preserve"> </w:t>
      </w:r>
      <w:r w:rsidR="00030F78">
        <w:rPr>
          <w:rFonts w:eastAsia="Arial Unicode MS"/>
          <w:kern w:val="2"/>
          <w:lang w:val="sr-Cyrl-RS" w:eastAsia="ar-SA"/>
        </w:rPr>
        <w:t>распоређена</w:t>
      </w:r>
      <w:r w:rsidR="00484027">
        <w:rPr>
          <w:rFonts w:eastAsia="Arial Unicode MS"/>
          <w:kern w:val="2"/>
          <w:lang w:val="sr-Cyrl-RS" w:eastAsia="ar-SA"/>
        </w:rPr>
        <w:t xml:space="preserve"> по партијама:</w:t>
      </w:r>
    </w:p>
    <w:p w:rsidR="00484027" w:rsidRDefault="00484027" w:rsidP="00484027">
      <w:pPr>
        <w:jc w:val="both"/>
        <w:rPr>
          <w:rFonts w:eastAsia="Arial Unicode MS"/>
          <w:kern w:val="2"/>
          <w:lang w:val="sr-Cyrl-RS" w:eastAsia="ar-SA"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2588"/>
        <w:gridCol w:w="2833"/>
        <w:gridCol w:w="2908"/>
      </w:tblGrid>
      <w:tr w:rsidR="00484027" w:rsidTr="00BD077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27" w:rsidRDefault="00484027" w:rsidP="00BD0776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Бр. партије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27" w:rsidRDefault="00484027" w:rsidP="00BD0776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Опис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27" w:rsidRDefault="00484027" w:rsidP="00BD0776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Општи речник набавке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27" w:rsidRDefault="00484027" w:rsidP="00BD0776">
            <w:pPr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Процењена вредност у динарима без ПДВ-а</w:t>
            </w:r>
          </w:p>
        </w:tc>
      </w:tr>
      <w:tr w:rsidR="000B73BB" w:rsidTr="00BD077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BB" w:rsidRPr="008F3D02" w:rsidRDefault="000B73BB" w:rsidP="000B73BB">
            <w:pPr>
              <w:jc w:val="center"/>
              <w:rPr>
                <w:b/>
                <w:iCs/>
                <w:lang w:val="ru-RU"/>
              </w:rPr>
            </w:pPr>
            <w:bookmarkStart w:id="0" w:name="_GoBack"/>
            <w:bookmarkEnd w:id="0"/>
            <w:r w:rsidRPr="008F3D02">
              <w:rPr>
                <w:b/>
                <w:iCs/>
                <w:lang w:val="ru-RU"/>
              </w:rPr>
              <w:t xml:space="preserve">Партија </w:t>
            </w:r>
            <w:r>
              <w:rPr>
                <w:b/>
                <w:iCs/>
                <w:lang w:val="sr-Latn-RS"/>
              </w:rPr>
              <w:t>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BB" w:rsidRPr="00F11E2F" w:rsidRDefault="000B73BB" w:rsidP="000B73BB">
            <w:pPr>
              <w:rPr>
                <w:sz w:val="22"/>
                <w:szCs w:val="22"/>
                <w:lang w:val="ru-RU"/>
              </w:rPr>
            </w:pPr>
            <w:proofErr w:type="spellStart"/>
            <w:r w:rsidRPr="00D8505E">
              <w:rPr>
                <w:b/>
              </w:rPr>
              <w:t>услуге</w:t>
            </w:r>
            <w:proofErr w:type="spellEnd"/>
            <w:r w:rsidRPr="00D8505E">
              <w:rPr>
                <w:b/>
              </w:rPr>
              <w:t xml:space="preserve"> </w:t>
            </w:r>
            <w:proofErr w:type="spellStart"/>
            <w:r w:rsidRPr="00D8505E">
              <w:rPr>
                <w:b/>
              </w:rPr>
              <w:t>продукције</w:t>
            </w:r>
            <w:proofErr w:type="spellEnd"/>
            <w:r w:rsidRPr="00D8505E">
              <w:rPr>
                <w:b/>
              </w:rPr>
              <w:t xml:space="preserve"> </w:t>
            </w:r>
            <w:proofErr w:type="spellStart"/>
            <w:r w:rsidRPr="00D8505E">
              <w:rPr>
                <w:b/>
              </w:rPr>
              <w:t>филма</w:t>
            </w:r>
            <w:proofErr w:type="spellEnd"/>
            <w:r w:rsidRPr="00D8505E">
              <w:rPr>
                <w:b/>
                <w:lang w:val="sr-Cyrl-RS"/>
              </w:rPr>
              <w:t xml:space="preserve"> на тему </w:t>
            </w:r>
            <w:r>
              <w:rPr>
                <w:sz w:val="22"/>
                <w:szCs w:val="22"/>
                <w:lang w:val="ru-RU"/>
              </w:rPr>
              <w:t>Усташки логори на територији Војводине-Срема за време Другог светског рата</w:t>
            </w:r>
          </w:p>
          <w:p w:rsidR="000B73BB" w:rsidRPr="008F3D02" w:rsidRDefault="000B73BB" w:rsidP="000B73BB">
            <w:pPr>
              <w:jc w:val="center"/>
              <w:rPr>
                <w:lang w:val="sr-Cyrl-R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BB" w:rsidRDefault="000B73BB" w:rsidP="000B73BB">
            <w:pPr>
              <w:jc w:val="center"/>
              <w:rPr>
                <w:b/>
                <w:bCs/>
                <w:lang w:val="sr-Cyrl-CS"/>
              </w:rPr>
            </w:pPr>
            <w:r w:rsidRPr="00354421">
              <w:rPr>
                <w:sz w:val="22"/>
                <w:szCs w:val="22"/>
                <w:lang w:val="sr-Cyrl-CS"/>
              </w:rPr>
              <w:t>92110000</w:t>
            </w:r>
            <w:r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Услуге  продукције филма и видео трака и сродне услуге 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BB" w:rsidRPr="008F3D02" w:rsidRDefault="000B73BB" w:rsidP="000B73B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2.50</w:t>
            </w:r>
            <w:r w:rsidRPr="008F3D02">
              <w:rPr>
                <w:lang w:val="sr-Cyrl-RS"/>
              </w:rPr>
              <w:t>0.000,00</w:t>
            </w:r>
          </w:p>
          <w:p w:rsidR="000B73BB" w:rsidRPr="008F3D02" w:rsidRDefault="000B73BB" w:rsidP="000B73BB">
            <w:pPr>
              <w:jc w:val="center"/>
              <w:rPr>
                <w:lang w:val="sr-Cyrl-RS"/>
              </w:rPr>
            </w:pPr>
          </w:p>
        </w:tc>
      </w:tr>
      <w:tr w:rsidR="000B73BB" w:rsidTr="0068785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BB" w:rsidRPr="008F3D02" w:rsidRDefault="000B73BB" w:rsidP="000B73BB">
            <w:pPr>
              <w:jc w:val="center"/>
              <w:rPr>
                <w:b/>
                <w:iCs/>
                <w:lang w:val="ru-RU"/>
              </w:rPr>
            </w:pPr>
            <w:r w:rsidRPr="008F3D02">
              <w:rPr>
                <w:b/>
                <w:iCs/>
                <w:lang w:val="ru-RU"/>
              </w:rPr>
              <w:t xml:space="preserve">Партија </w:t>
            </w:r>
            <w:r>
              <w:rPr>
                <w:b/>
                <w:iCs/>
                <w:lang w:val="sr-Latn-RS"/>
              </w:rPr>
              <w:t>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B" w:rsidRPr="00F11E2F" w:rsidRDefault="000B73BB" w:rsidP="000B73BB">
            <w:pPr>
              <w:rPr>
                <w:sz w:val="22"/>
                <w:szCs w:val="22"/>
                <w:lang w:val="ru-RU"/>
              </w:rPr>
            </w:pPr>
            <w:proofErr w:type="spellStart"/>
            <w:r w:rsidRPr="00D8505E">
              <w:rPr>
                <w:b/>
              </w:rPr>
              <w:t>услуге</w:t>
            </w:r>
            <w:proofErr w:type="spellEnd"/>
            <w:r w:rsidRPr="00D8505E">
              <w:rPr>
                <w:b/>
              </w:rPr>
              <w:t xml:space="preserve"> </w:t>
            </w:r>
            <w:proofErr w:type="spellStart"/>
            <w:r w:rsidRPr="00D8505E">
              <w:rPr>
                <w:b/>
              </w:rPr>
              <w:t>продукције</w:t>
            </w:r>
            <w:proofErr w:type="spellEnd"/>
            <w:r w:rsidRPr="00D8505E">
              <w:rPr>
                <w:b/>
              </w:rPr>
              <w:t xml:space="preserve"> </w:t>
            </w:r>
            <w:proofErr w:type="spellStart"/>
            <w:r w:rsidRPr="00D8505E">
              <w:rPr>
                <w:b/>
              </w:rPr>
              <w:t>филма</w:t>
            </w:r>
            <w:proofErr w:type="spellEnd"/>
            <w:r w:rsidRPr="00D8505E">
              <w:rPr>
                <w:b/>
                <w:lang w:val="sr-Cyrl-RS"/>
              </w:rPr>
              <w:t xml:space="preserve"> на тему </w:t>
            </w:r>
            <w:r>
              <w:rPr>
                <w:sz w:val="22"/>
                <w:szCs w:val="22"/>
                <w:lang w:val="ru-RU"/>
              </w:rPr>
              <w:t>Злочини Вермахта на територији Србије за време Другог светског рата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BB" w:rsidRDefault="000B73BB" w:rsidP="000B73BB">
            <w:pPr>
              <w:jc w:val="center"/>
              <w:rPr>
                <w:b/>
                <w:bCs/>
                <w:lang w:val="sr-Cyrl-CS"/>
              </w:rPr>
            </w:pPr>
            <w:r w:rsidRPr="00354421">
              <w:rPr>
                <w:sz w:val="22"/>
                <w:szCs w:val="22"/>
                <w:lang w:val="sr-Cyrl-CS"/>
              </w:rPr>
              <w:t>92110000</w:t>
            </w:r>
            <w:r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Услуге  продукције филма и видео трака и сродне услуге 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BB" w:rsidRPr="008F3D02" w:rsidRDefault="000B73BB" w:rsidP="000B73B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2.5</w:t>
            </w:r>
            <w:r w:rsidRPr="008F3D02">
              <w:rPr>
                <w:lang w:val="sr-Cyrl-RS"/>
              </w:rPr>
              <w:t>00.000,00</w:t>
            </w:r>
          </w:p>
          <w:p w:rsidR="000B73BB" w:rsidRPr="008F3D02" w:rsidRDefault="000B73BB" w:rsidP="000B73BB">
            <w:pPr>
              <w:jc w:val="center"/>
              <w:rPr>
                <w:lang w:val="sr-Cyrl-RS"/>
              </w:rPr>
            </w:pPr>
          </w:p>
        </w:tc>
      </w:tr>
    </w:tbl>
    <w:p w:rsidR="00484027" w:rsidRDefault="00484027" w:rsidP="00484027">
      <w:pPr>
        <w:ind w:firstLine="720"/>
        <w:jc w:val="both"/>
        <w:rPr>
          <w:b/>
          <w:bCs/>
          <w:lang w:val="ru-RU"/>
        </w:rPr>
      </w:pPr>
    </w:p>
    <w:p w:rsidR="00030F78" w:rsidRDefault="00030F78">
      <w:pPr>
        <w:jc w:val="both"/>
        <w:rPr>
          <w:b/>
          <w:lang w:val="sr-Cyrl-CS"/>
        </w:rPr>
      </w:pPr>
    </w:p>
    <w:p w:rsidR="00845DA6" w:rsidRDefault="00845DA6">
      <w:pPr>
        <w:jc w:val="both"/>
        <w:rPr>
          <w:lang w:val="sr-Cyrl-CS"/>
        </w:rPr>
      </w:pPr>
      <w:r>
        <w:rPr>
          <w:b/>
          <w:lang w:val="sr-Cyrl-CS"/>
        </w:rPr>
        <w:t>Критеријуми, елементи критеријума за доделу уговора</w:t>
      </w:r>
      <w:r>
        <w:rPr>
          <w:lang w:val="sr-Cyrl-CS"/>
        </w:rPr>
        <w:t xml:space="preserve">: </w:t>
      </w:r>
    </w:p>
    <w:p w:rsidR="00030F78" w:rsidRDefault="00030F78" w:rsidP="00767528">
      <w:pPr>
        <w:suppressAutoHyphens/>
        <w:spacing w:line="100" w:lineRule="atLeast"/>
        <w:jc w:val="both"/>
        <w:rPr>
          <w:lang w:val="ru-RU"/>
        </w:rPr>
      </w:pPr>
    </w:p>
    <w:p w:rsidR="00767528" w:rsidRPr="00030F78" w:rsidRDefault="0014741F" w:rsidP="00767528">
      <w:pPr>
        <w:suppressAutoHyphens/>
        <w:spacing w:line="100" w:lineRule="atLeast"/>
        <w:jc w:val="both"/>
        <w:rPr>
          <w:b/>
          <w:bCs/>
        </w:rPr>
      </w:pPr>
      <w:r>
        <w:rPr>
          <w:lang w:val="ru-RU"/>
        </w:rPr>
        <w:t xml:space="preserve">Избор најповољније понуде ће се извршити применом критеријума </w:t>
      </w:r>
      <w:r w:rsidR="00767528" w:rsidRPr="00E352A1">
        <w:rPr>
          <w:b/>
          <w:bCs/>
        </w:rPr>
        <w:t>„</w:t>
      </w:r>
      <w:r w:rsidR="00767528" w:rsidRPr="00E352A1">
        <w:rPr>
          <w:b/>
          <w:bCs/>
          <w:lang w:val="sr-Cyrl-CS"/>
        </w:rPr>
        <w:t>Економски најповољнија понуда</w:t>
      </w:r>
      <w:r w:rsidR="00767528" w:rsidRPr="00E352A1">
        <w:rPr>
          <w:b/>
          <w:bCs/>
        </w:rPr>
        <w:t xml:space="preserve">“. </w:t>
      </w:r>
    </w:p>
    <w:p w:rsidR="00767528" w:rsidRDefault="00030F78" w:rsidP="00767528">
      <w:pPr>
        <w:autoSpaceDE w:val="0"/>
        <w:autoSpaceDN w:val="0"/>
        <w:adjustRightInd w:val="0"/>
        <w:jc w:val="both"/>
      </w:pPr>
      <w:proofErr w:type="spellStart"/>
      <w:r>
        <w:t>Избор</w:t>
      </w:r>
      <w:proofErr w:type="spellEnd"/>
      <w:r>
        <w:t xml:space="preserve"> </w:t>
      </w:r>
      <w:proofErr w:type="spellStart"/>
      <w:r w:rsidR="00767528" w:rsidRPr="00E352A1">
        <w:t>између</w:t>
      </w:r>
      <w:proofErr w:type="spellEnd"/>
      <w:r w:rsidR="00767528" w:rsidRPr="00E352A1">
        <w:t xml:space="preserve"> </w:t>
      </w:r>
      <w:proofErr w:type="spellStart"/>
      <w:r w:rsidR="00767528" w:rsidRPr="00E352A1">
        <w:t>достављених</w:t>
      </w:r>
      <w:proofErr w:type="spellEnd"/>
      <w:r w:rsidR="00767528" w:rsidRPr="00E352A1">
        <w:t xml:space="preserve"> </w:t>
      </w:r>
      <w:proofErr w:type="spellStart"/>
      <w:r w:rsidR="00767528" w:rsidRPr="00E352A1">
        <w:t>понуда</w:t>
      </w:r>
      <w:proofErr w:type="spellEnd"/>
      <w:r w:rsidR="00767528" w:rsidRPr="00E352A1">
        <w:t xml:space="preserve"> </w:t>
      </w:r>
      <w:proofErr w:type="spellStart"/>
      <w:r w:rsidR="00767528" w:rsidRPr="00E352A1">
        <w:t>применом</w:t>
      </w:r>
      <w:proofErr w:type="spellEnd"/>
      <w:r w:rsidR="00767528" w:rsidRPr="00E352A1">
        <w:t xml:space="preserve"> </w:t>
      </w:r>
      <w:proofErr w:type="spellStart"/>
      <w:r w:rsidR="00767528" w:rsidRPr="00E352A1">
        <w:t>критеријума</w:t>
      </w:r>
      <w:proofErr w:type="spellEnd"/>
      <w:r w:rsidR="00767528" w:rsidRPr="00E352A1">
        <w:rPr>
          <w:lang w:val="sr-Cyrl-CS"/>
        </w:rPr>
        <w:t xml:space="preserve"> </w:t>
      </w:r>
      <w:r w:rsidR="00767528" w:rsidRPr="00E352A1">
        <w:rPr>
          <w:b/>
          <w:bCs/>
        </w:rPr>
        <w:t>„</w:t>
      </w:r>
      <w:proofErr w:type="spellStart"/>
      <w:r w:rsidR="00767528" w:rsidRPr="00E352A1">
        <w:rPr>
          <w:b/>
          <w:bCs/>
        </w:rPr>
        <w:t>економски</w:t>
      </w:r>
      <w:proofErr w:type="spellEnd"/>
      <w:r w:rsidR="00767528" w:rsidRPr="00E352A1">
        <w:rPr>
          <w:b/>
          <w:bCs/>
        </w:rPr>
        <w:t xml:space="preserve"> </w:t>
      </w:r>
      <w:proofErr w:type="spellStart"/>
      <w:r w:rsidR="00767528" w:rsidRPr="00E352A1">
        <w:rPr>
          <w:b/>
          <w:bCs/>
        </w:rPr>
        <w:t>најповољнија</w:t>
      </w:r>
      <w:proofErr w:type="spellEnd"/>
      <w:r w:rsidR="00767528" w:rsidRPr="00E352A1">
        <w:rPr>
          <w:b/>
          <w:bCs/>
        </w:rPr>
        <w:t xml:space="preserve"> </w:t>
      </w:r>
      <w:proofErr w:type="spellStart"/>
      <w:r w:rsidR="00767528" w:rsidRPr="00E352A1">
        <w:rPr>
          <w:b/>
          <w:bCs/>
        </w:rPr>
        <w:t>понуда</w:t>
      </w:r>
      <w:proofErr w:type="spellEnd"/>
      <w:r w:rsidR="00767528" w:rsidRPr="00E352A1">
        <w:rPr>
          <w:b/>
          <w:bCs/>
        </w:rPr>
        <w:t xml:space="preserve">“, </w:t>
      </w:r>
      <w:proofErr w:type="spellStart"/>
      <w:r w:rsidR="00767528" w:rsidRPr="00E352A1">
        <w:t>вршиће</w:t>
      </w:r>
      <w:proofErr w:type="spellEnd"/>
      <w:r w:rsidR="00767528" w:rsidRPr="00E352A1">
        <w:t xml:space="preserve"> </w:t>
      </w:r>
      <w:proofErr w:type="spellStart"/>
      <w:r w:rsidR="00767528" w:rsidRPr="00E352A1">
        <w:t>се</w:t>
      </w:r>
      <w:proofErr w:type="spellEnd"/>
      <w:r w:rsidR="00767528" w:rsidRPr="00E352A1">
        <w:t xml:space="preserve"> </w:t>
      </w:r>
      <w:proofErr w:type="spellStart"/>
      <w:r w:rsidR="00767528" w:rsidRPr="00E352A1">
        <w:t>рангирањем</w:t>
      </w:r>
      <w:proofErr w:type="spellEnd"/>
      <w:r w:rsidR="00767528" w:rsidRPr="00E352A1">
        <w:t xml:space="preserve"> </w:t>
      </w:r>
      <w:proofErr w:type="spellStart"/>
      <w:r w:rsidR="00767528" w:rsidRPr="00E352A1">
        <w:t>понуда</w:t>
      </w:r>
      <w:proofErr w:type="spellEnd"/>
      <w:r w:rsidR="00767528" w:rsidRPr="00E352A1">
        <w:t xml:space="preserve"> </w:t>
      </w:r>
      <w:proofErr w:type="spellStart"/>
      <w:r w:rsidR="00767528" w:rsidRPr="00E352A1">
        <w:t>на</w:t>
      </w:r>
      <w:proofErr w:type="spellEnd"/>
      <w:r w:rsidR="00767528" w:rsidRPr="00E352A1">
        <w:t xml:space="preserve"> </w:t>
      </w:r>
      <w:proofErr w:type="spellStart"/>
      <w:r w:rsidR="00767528" w:rsidRPr="00E352A1">
        <w:t>основу</w:t>
      </w:r>
      <w:proofErr w:type="spellEnd"/>
      <w:r w:rsidR="00767528" w:rsidRPr="00E352A1">
        <w:rPr>
          <w:lang w:val="sr-Cyrl-CS"/>
        </w:rPr>
        <w:t xml:space="preserve"> </w:t>
      </w:r>
      <w:proofErr w:type="spellStart"/>
      <w:r w:rsidR="00767528" w:rsidRPr="00E352A1">
        <w:t>следећих</w:t>
      </w:r>
      <w:proofErr w:type="spellEnd"/>
      <w:r w:rsidR="00767528" w:rsidRPr="00E352A1">
        <w:t xml:space="preserve"> </w:t>
      </w:r>
      <w:proofErr w:type="spellStart"/>
      <w:r w:rsidR="00767528" w:rsidRPr="00E352A1">
        <w:t>елемената</w:t>
      </w:r>
      <w:proofErr w:type="spellEnd"/>
      <w:r w:rsidR="00767528" w:rsidRPr="00E352A1">
        <w:t xml:space="preserve"> </w:t>
      </w:r>
      <w:proofErr w:type="spellStart"/>
      <w:r w:rsidR="00767528" w:rsidRPr="00E352A1">
        <w:t>критеријума</w:t>
      </w:r>
      <w:proofErr w:type="spellEnd"/>
      <w:r w:rsidR="00767528" w:rsidRPr="00E352A1">
        <w:t xml:space="preserve"> и </w:t>
      </w:r>
      <w:proofErr w:type="spellStart"/>
      <w:r w:rsidR="00767528" w:rsidRPr="00E352A1">
        <w:t>пондера</w:t>
      </w:r>
      <w:proofErr w:type="spellEnd"/>
      <w:r w:rsidR="00767528" w:rsidRPr="00E352A1">
        <w:t xml:space="preserve"> </w:t>
      </w:r>
      <w:proofErr w:type="spellStart"/>
      <w:r w:rsidR="00767528" w:rsidRPr="00E352A1">
        <w:t>одређених</w:t>
      </w:r>
      <w:proofErr w:type="spellEnd"/>
      <w:r w:rsidR="00767528" w:rsidRPr="00E352A1">
        <w:t xml:space="preserve"> </w:t>
      </w:r>
      <w:proofErr w:type="spellStart"/>
      <w:r w:rsidR="00767528" w:rsidRPr="00E352A1">
        <w:t>за</w:t>
      </w:r>
      <w:proofErr w:type="spellEnd"/>
      <w:r w:rsidR="00767528" w:rsidRPr="00E352A1">
        <w:t xml:space="preserve"> </w:t>
      </w:r>
      <w:proofErr w:type="spellStart"/>
      <w:r w:rsidR="00767528" w:rsidRPr="00E352A1">
        <w:t>те</w:t>
      </w:r>
      <w:proofErr w:type="spellEnd"/>
      <w:r w:rsidR="00767528" w:rsidRPr="00E352A1">
        <w:t xml:space="preserve"> </w:t>
      </w:r>
      <w:proofErr w:type="spellStart"/>
      <w:r w:rsidR="00767528" w:rsidRPr="00E352A1">
        <w:t>критеријуме</w:t>
      </w:r>
      <w:proofErr w:type="spellEnd"/>
      <w:r w:rsidR="00767528" w:rsidRPr="00E352A1">
        <w:t>:</w:t>
      </w:r>
    </w:p>
    <w:p w:rsidR="00767528" w:rsidRPr="00E352A1" w:rsidRDefault="00767528" w:rsidP="00767528">
      <w:pPr>
        <w:autoSpaceDE w:val="0"/>
        <w:autoSpaceDN w:val="0"/>
        <w:adjustRightInd w:val="0"/>
        <w:jc w:val="both"/>
        <w:rPr>
          <w:color w:val="00000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5213"/>
        <w:gridCol w:w="2841"/>
      </w:tblGrid>
      <w:tr w:rsidR="00767528" w:rsidRPr="00E352A1" w:rsidTr="00363E0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28" w:rsidRPr="00E352A1" w:rsidRDefault="00767528" w:rsidP="00363E0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352A1">
              <w:rPr>
                <w:color w:val="000000"/>
              </w:rPr>
              <w:lastRenderedPageBreak/>
              <w:t>1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28" w:rsidRPr="00E352A1" w:rsidRDefault="00767528" w:rsidP="00363E0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E352A1">
              <w:t>Цена</w:t>
            </w:r>
            <w:proofErr w:type="spellEnd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28" w:rsidRPr="00E352A1" w:rsidRDefault="00767528" w:rsidP="00363E02">
            <w:pPr>
              <w:autoSpaceDE w:val="0"/>
              <w:autoSpaceDN w:val="0"/>
              <w:adjustRightInd w:val="0"/>
              <w:jc w:val="both"/>
            </w:pPr>
            <w:r w:rsidRPr="00E352A1">
              <w:rPr>
                <w:b/>
                <w:bCs/>
                <w:lang w:val="sr-Cyrl-CS"/>
              </w:rPr>
              <w:t>3</w:t>
            </w:r>
            <w:r w:rsidRPr="00E352A1">
              <w:rPr>
                <w:b/>
                <w:bCs/>
              </w:rPr>
              <w:t xml:space="preserve">0 </w:t>
            </w:r>
            <w:proofErr w:type="spellStart"/>
            <w:r w:rsidRPr="00E352A1">
              <w:rPr>
                <w:b/>
                <w:bCs/>
              </w:rPr>
              <w:t>пондера</w:t>
            </w:r>
            <w:proofErr w:type="spellEnd"/>
          </w:p>
        </w:tc>
      </w:tr>
      <w:tr w:rsidR="00767528" w:rsidRPr="00E352A1" w:rsidTr="00363E0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28" w:rsidRPr="00E352A1" w:rsidRDefault="00767528" w:rsidP="00363E0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352A1">
              <w:rPr>
                <w:color w:val="000000"/>
              </w:rPr>
              <w:t>2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28" w:rsidRPr="00E352A1" w:rsidRDefault="00767528" w:rsidP="00363E02">
            <w:p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  <w:r w:rsidRPr="00E352A1">
              <w:rPr>
                <w:lang w:val="sr-Cyrl-CS"/>
              </w:rPr>
              <w:t>Референце еминентних сарадника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28" w:rsidRPr="00E352A1" w:rsidRDefault="00767528" w:rsidP="00363E02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  <w:lang w:val="sr-Cyrl-CS"/>
              </w:rPr>
              <w:t>3</w:t>
            </w:r>
            <w:r w:rsidRPr="00E352A1">
              <w:rPr>
                <w:b/>
                <w:bCs/>
                <w:lang w:val="sr-Cyrl-CS"/>
              </w:rPr>
              <w:t xml:space="preserve">0 </w:t>
            </w:r>
            <w:proofErr w:type="spellStart"/>
            <w:r w:rsidRPr="00E352A1">
              <w:rPr>
                <w:b/>
                <w:bCs/>
              </w:rPr>
              <w:t>пондера</w:t>
            </w:r>
            <w:proofErr w:type="spellEnd"/>
          </w:p>
        </w:tc>
      </w:tr>
      <w:tr w:rsidR="00767528" w:rsidRPr="00E352A1" w:rsidTr="00363E0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28" w:rsidRPr="00E352A1" w:rsidRDefault="00767528" w:rsidP="00363E0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sr-Cyrl-CS"/>
              </w:rPr>
            </w:pPr>
            <w:r w:rsidRPr="00E352A1">
              <w:rPr>
                <w:color w:val="000000"/>
                <w:lang w:val="sr-Cyrl-CS"/>
              </w:rPr>
              <w:t>3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28" w:rsidRPr="00E352A1" w:rsidRDefault="00767528" w:rsidP="00363E0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sr-Cyrl-CS"/>
              </w:rPr>
            </w:pPr>
            <w:r w:rsidRPr="00E352A1">
              <w:rPr>
                <w:color w:val="000000"/>
                <w:lang w:val="sr-Cyrl-CS"/>
              </w:rPr>
              <w:t>Оцена синопсиса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28" w:rsidRPr="00E352A1" w:rsidRDefault="00767528" w:rsidP="00363E0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RS"/>
              </w:rPr>
              <w:t>4</w:t>
            </w:r>
            <w:r w:rsidRPr="00E352A1">
              <w:rPr>
                <w:b/>
                <w:bCs/>
                <w:color w:val="000000"/>
              </w:rPr>
              <w:t>0</w:t>
            </w:r>
            <w:r w:rsidRPr="00E352A1">
              <w:rPr>
                <w:b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E352A1">
              <w:rPr>
                <w:b/>
                <w:bCs/>
              </w:rPr>
              <w:t>пондера</w:t>
            </w:r>
            <w:proofErr w:type="spellEnd"/>
          </w:p>
        </w:tc>
      </w:tr>
      <w:tr w:rsidR="00767528" w:rsidRPr="00E352A1" w:rsidTr="00363E0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28" w:rsidRPr="00E352A1" w:rsidRDefault="00767528" w:rsidP="00363E0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28" w:rsidRPr="00E352A1" w:rsidRDefault="00767528" w:rsidP="00363E0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sr-Cyrl-CS"/>
              </w:rPr>
            </w:pPr>
            <w:r w:rsidRPr="00E352A1">
              <w:rPr>
                <w:color w:val="000000"/>
                <w:lang w:val="sr-Cyrl-CS"/>
              </w:rPr>
              <w:t>УКУПНО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28" w:rsidRPr="00E352A1" w:rsidRDefault="00767528" w:rsidP="00363E0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sr-Cyrl-CS"/>
              </w:rPr>
            </w:pPr>
            <w:r w:rsidRPr="00E352A1">
              <w:rPr>
                <w:b/>
                <w:bCs/>
                <w:color w:val="000000"/>
                <w:lang w:val="sr-Cyrl-CS"/>
              </w:rPr>
              <w:t>100</w:t>
            </w:r>
            <w:r w:rsidRPr="00E352A1">
              <w:rPr>
                <w:color w:val="000000"/>
                <w:lang w:val="sr-Cyrl-CS"/>
              </w:rPr>
              <w:t xml:space="preserve"> </w:t>
            </w:r>
            <w:proofErr w:type="spellStart"/>
            <w:r w:rsidRPr="00E352A1">
              <w:rPr>
                <w:b/>
                <w:bCs/>
              </w:rPr>
              <w:t>пондера</w:t>
            </w:r>
            <w:proofErr w:type="spellEnd"/>
          </w:p>
        </w:tc>
      </w:tr>
    </w:tbl>
    <w:p w:rsidR="00767528" w:rsidRPr="00E352A1" w:rsidRDefault="00767528" w:rsidP="00767528">
      <w:pPr>
        <w:autoSpaceDE w:val="0"/>
        <w:autoSpaceDN w:val="0"/>
        <w:adjustRightInd w:val="0"/>
        <w:jc w:val="both"/>
        <w:rPr>
          <w:color w:val="000000"/>
          <w:lang w:val="sr-Cyrl-CS"/>
        </w:rPr>
      </w:pPr>
    </w:p>
    <w:p w:rsidR="00767528" w:rsidRPr="00E352A1" w:rsidRDefault="00767528" w:rsidP="00767528">
      <w:pPr>
        <w:keepNext/>
        <w:numPr>
          <w:ilvl w:val="3"/>
          <w:numId w:val="2"/>
        </w:numPr>
        <w:suppressAutoHyphens/>
        <w:spacing w:line="100" w:lineRule="atLeast"/>
        <w:jc w:val="both"/>
        <w:outlineLvl w:val="3"/>
        <w:rPr>
          <w:rFonts w:ascii="Book Antiqua" w:eastAsia="Arial Unicode MS" w:hAnsi="Book Antiqua" w:cs="Arial Unicode MS"/>
          <w:b/>
          <w:bCs/>
          <w:i/>
          <w:iCs/>
          <w:kern w:val="2"/>
          <w:sz w:val="28"/>
          <w:u w:val="single"/>
          <w:lang w:val="sr-Cyrl-CS" w:eastAsia="ar-SA"/>
        </w:rPr>
      </w:pPr>
      <w:r w:rsidRPr="00E352A1">
        <w:rPr>
          <w:rFonts w:ascii="Book Antiqua" w:eastAsia="Arial Unicode MS" w:hAnsi="Book Antiqua" w:cs="Arial Unicode MS"/>
          <w:b/>
          <w:bCs/>
          <w:i/>
          <w:iCs/>
          <w:color w:val="000000"/>
          <w:kern w:val="2"/>
          <w:sz w:val="28"/>
          <w:u w:val="single"/>
          <w:lang w:eastAsia="ar-SA"/>
        </w:rPr>
        <w:t>МЕТОДЕ ОЦЕЊИВАЊА</w:t>
      </w:r>
    </w:p>
    <w:p w:rsidR="00767528" w:rsidRPr="00E352A1" w:rsidRDefault="00767528" w:rsidP="00767528">
      <w:pPr>
        <w:jc w:val="both"/>
      </w:pPr>
    </w:p>
    <w:p w:rsidR="00767528" w:rsidRPr="00E352A1" w:rsidRDefault="00767528" w:rsidP="00767528">
      <w:pPr>
        <w:autoSpaceDE w:val="0"/>
        <w:autoSpaceDN w:val="0"/>
        <w:adjustRightInd w:val="0"/>
        <w:jc w:val="both"/>
        <w:rPr>
          <w:b/>
          <w:bCs/>
          <w:i/>
          <w:iCs/>
          <w:sz w:val="22"/>
        </w:rPr>
      </w:pPr>
      <w:r w:rsidRPr="00E352A1">
        <w:rPr>
          <w:b/>
          <w:bCs/>
          <w:i/>
          <w:iCs/>
          <w:sz w:val="22"/>
        </w:rPr>
        <w:t>I ЦЕНА УСЛУГЕ</w:t>
      </w:r>
      <w:r w:rsidRPr="00E352A1">
        <w:rPr>
          <w:i/>
          <w:iCs/>
          <w:sz w:val="22"/>
        </w:rPr>
        <w:t xml:space="preserve">: </w:t>
      </w:r>
      <w:r w:rsidRPr="00E352A1">
        <w:rPr>
          <w:b/>
          <w:bCs/>
          <w:i/>
          <w:iCs/>
          <w:sz w:val="22"/>
        </w:rPr>
        <w:t>МАКСИМАЛНО 30 ПОНДЕРА</w:t>
      </w:r>
    </w:p>
    <w:p w:rsidR="00767528" w:rsidRPr="00E352A1" w:rsidRDefault="00767528" w:rsidP="00767528">
      <w:pPr>
        <w:autoSpaceDE w:val="0"/>
        <w:autoSpaceDN w:val="0"/>
        <w:adjustRightInd w:val="0"/>
        <w:jc w:val="both"/>
        <w:rPr>
          <w:lang w:val="ru-RU"/>
        </w:rPr>
      </w:pPr>
      <w:r w:rsidRPr="00E352A1">
        <w:rPr>
          <w:lang w:val="ru-RU"/>
        </w:rPr>
        <w:t xml:space="preserve">За најнижу цену додељује се </w:t>
      </w:r>
      <w:r w:rsidRPr="00E352A1">
        <w:rPr>
          <w:lang w:val="sr-Cyrl-CS"/>
        </w:rPr>
        <w:t>3</w:t>
      </w:r>
      <w:r w:rsidRPr="00E352A1">
        <w:rPr>
          <w:lang w:val="ru-RU"/>
        </w:rPr>
        <w:t>0 пондера. Сваки следећи пондер израчунава се по формули:</w:t>
      </w:r>
    </w:p>
    <w:p w:rsidR="00767528" w:rsidRPr="00E352A1" w:rsidRDefault="00767528" w:rsidP="00767528">
      <w:pPr>
        <w:keepNext/>
        <w:shd w:val="clear" w:color="auto" w:fill="FFFFFF"/>
        <w:suppressAutoHyphens/>
        <w:spacing w:line="100" w:lineRule="atLeast"/>
        <w:jc w:val="both"/>
        <w:outlineLvl w:val="2"/>
        <w:rPr>
          <w:rFonts w:eastAsia="Arial Unicode MS"/>
          <w:bCs/>
          <w:color w:val="000000"/>
          <w:kern w:val="2"/>
          <w:u w:val="single"/>
          <w:lang w:val="ru-RU" w:eastAsia="ar-SA"/>
        </w:rPr>
      </w:pPr>
      <w:r w:rsidRPr="00E352A1">
        <w:rPr>
          <w:rFonts w:eastAsia="Arial Unicode MS"/>
          <w:bCs/>
          <w:color w:val="000000"/>
          <w:kern w:val="2"/>
          <w:u w:val="single"/>
          <w:lang w:val="ru-RU" w:eastAsia="ar-SA"/>
        </w:rPr>
        <w:t>Најповољнија цена х максималан број пондера</w:t>
      </w:r>
    </w:p>
    <w:p w:rsidR="00767528" w:rsidRPr="00E352A1" w:rsidRDefault="00767528" w:rsidP="00767528">
      <w:pPr>
        <w:autoSpaceDE w:val="0"/>
        <w:autoSpaceDN w:val="0"/>
        <w:adjustRightInd w:val="0"/>
        <w:ind w:left="720" w:firstLine="720"/>
        <w:jc w:val="both"/>
        <w:rPr>
          <w:i/>
          <w:iCs/>
          <w:lang w:val="ru-RU"/>
        </w:rPr>
      </w:pPr>
      <w:r w:rsidRPr="00E352A1">
        <w:rPr>
          <w:i/>
          <w:iCs/>
          <w:lang w:val="ru-RU"/>
        </w:rPr>
        <w:t>Понуђена цена</w:t>
      </w:r>
    </w:p>
    <w:p w:rsidR="00767528" w:rsidRPr="00E352A1" w:rsidRDefault="00767528" w:rsidP="00767528">
      <w:pPr>
        <w:autoSpaceDE w:val="0"/>
        <w:autoSpaceDN w:val="0"/>
        <w:adjustRightInd w:val="0"/>
        <w:jc w:val="both"/>
        <w:rPr>
          <w:i/>
          <w:iCs/>
          <w:lang w:val="ru-RU"/>
        </w:rPr>
      </w:pPr>
    </w:p>
    <w:p w:rsidR="00767528" w:rsidRPr="00E352A1" w:rsidRDefault="00767528" w:rsidP="00767528">
      <w:pPr>
        <w:autoSpaceDE w:val="0"/>
        <w:autoSpaceDN w:val="0"/>
        <w:adjustRightInd w:val="0"/>
        <w:jc w:val="both"/>
        <w:rPr>
          <w:lang w:val="sr-Cyrl-CS"/>
        </w:rPr>
      </w:pPr>
      <w:r w:rsidRPr="00E352A1">
        <w:rPr>
          <w:b/>
          <w:bCs/>
          <w:i/>
          <w:iCs/>
          <w:sz w:val="22"/>
        </w:rPr>
        <w:t xml:space="preserve">II </w:t>
      </w:r>
      <w:r w:rsidRPr="00E352A1">
        <w:rPr>
          <w:b/>
          <w:bCs/>
          <w:iCs/>
          <w:sz w:val="22"/>
          <w:lang w:val="sr-Cyrl-CS"/>
        </w:rPr>
        <w:t>ЕМИНЕНТНИ САРАДНИЦИ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69"/>
      </w:tblGrid>
      <w:tr w:rsidR="00767528" w:rsidRPr="00E352A1" w:rsidTr="00363E0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28" w:rsidRPr="00E352A1" w:rsidRDefault="00767528" w:rsidP="00363E0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352A1">
              <w:rPr>
                <w:b/>
                <w:bCs/>
                <w:lang w:val="sr-Cyrl-CS"/>
              </w:rPr>
              <w:t>ОЦЕНА РЕФЕРЕНЦА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28" w:rsidRPr="00E352A1" w:rsidRDefault="00767528" w:rsidP="00363E0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67528" w:rsidRPr="00E352A1" w:rsidRDefault="00767528" w:rsidP="00363E0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767528" w:rsidRPr="00E352A1" w:rsidTr="00363E0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28" w:rsidRPr="00E352A1" w:rsidRDefault="00767528" w:rsidP="00363E02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E352A1">
              <w:rPr>
                <w:b/>
                <w:bCs/>
                <w:lang w:val="sr-Cyrl-CS"/>
              </w:rPr>
              <w:t>домаће и стране награде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28" w:rsidRPr="00E352A1" w:rsidRDefault="00767528" w:rsidP="00363E02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3</w:t>
            </w:r>
            <w:r w:rsidRPr="00E352A1">
              <w:rPr>
                <w:b/>
                <w:bCs/>
                <w:lang w:val="sr-Cyrl-CS"/>
              </w:rPr>
              <w:t>0  пондера</w:t>
            </w:r>
          </w:p>
        </w:tc>
      </w:tr>
      <w:tr w:rsidR="00767528" w:rsidRPr="00E352A1" w:rsidTr="00363E0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28" w:rsidRPr="00E352A1" w:rsidRDefault="00767528" w:rsidP="00363E02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sr-Cyrl-CS"/>
              </w:rPr>
            </w:pPr>
            <w:r w:rsidRPr="00E352A1">
              <w:rPr>
                <w:b/>
                <w:bCs/>
                <w:lang w:val="sr-Cyrl-CS"/>
              </w:rPr>
              <w:t xml:space="preserve">домаће </w:t>
            </w:r>
            <w:r w:rsidRPr="00E352A1">
              <w:rPr>
                <w:b/>
                <w:bCs/>
                <w:lang w:val="sr-Cyrl-RS"/>
              </w:rPr>
              <w:t>или стране</w:t>
            </w:r>
            <w:r w:rsidRPr="00E352A1">
              <w:rPr>
                <w:b/>
                <w:bCs/>
                <w:lang w:val="sr-Cyrl-CS"/>
              </w:rPr>
              <w:t xml:space="preserve"> награде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28" w:rsidRPr="00E352A1" w:rsidRDefault="00767528" w:rsidP="00363E02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E352A1">
              <w:rPr>
                <w:b/>
                <w:bCs/>
                <w:lang w:val="sr-Cyrl-CS"/>
              </w:rPr>
              <w:t>20  пондера</w:t>
            </w:r>
          </w:p>
        </w:tc>
      </w:tr>
      <w:tr w:rsidR="00767528" w:rsidRPr="00E352A1" w:rsidTr="00363E0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28" w:rsidRPr="00E352A1" w:rsidRDefault="00767528" w:rsidP="00363E02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sr-Cyrl-CS"/>
              </w:rPr>
            </w:pPr>
            <w:r w:rsidRPr="00E352A1">
              <w:rPr>
                <w:b/>
                <w:bCs/>
                <w:lang w:val="sr-Cyrl-CS"/>
              </w:rPr>
              <w:t>ненаграђиван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28" w:rsidRPr="00E352A1" w:rsidRDefault="00767528" w:rsidP="00363E02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E352A1">
              <w:rPr>
                <w:b/>
                <w:bCs/>
                <w:lang w:val="sr-Cyrl-CS"/>
              </w:rPr>
              <w:t>10  пондера</w:t>
            </w:r>
          </w:p>
        </w:tc>
      </w:tr>
    </w:tbl>
    <w:p w:rsidR="00767528" w:rsidRPr="00E352A1" w:rsidRDefault="00767528" w:rsidP="00767528">
      <w:pPr>
        <w:autoSpaceDE w:val="0"/>
        <w:autoSpaceDN w:val="0"/>
        <w:adjustRightInd w:val="0"/>
        <w:jc w:val="both"/>
        <w:rPr>
          <w:b/>
          <w:bCs/>
        </w:rPr>
      </w:pPr>
    </w:p>
    <w:p w:rsidR="00767528" w:rsidRPr="00E352A1" w:rsidRDefault="00767528" w:rsidP="00767528">
      <w:pPr>
        <w:autoSpaceDE w:val="0"/>
        <w:autoSpaceDN w:val="0"/>
        <w:adjustRightInd w:val="0"/>
        <w:jc w:val="both"/>
        <w:rPr>
          <w:i/>
          <w:iCs/>
          <w:lang w:val="ru-RU"/>
        </w:rPr>
      </w:pPr>
    </w:p>
    <w:p w:rsidR="00767528" w:rsidRPr="00E352A1" w:rsidRDefault="00767528" w:rsidP="00767528">
      <w:pPr>
        <w:autoSpaceDE w:val="0"/>
        <w:autoSpaceDN w:val="0"/>
        <w:adjustRightInd w:val="0"/>
        <w:jc w:val="both"/>
        <w:rPr>
          <w:b/>
          <w:bCs/>
          <w:lang w:val="ru-RU"/>
        </w:rPr>
      </w:pPr>
      <w:r w:rsidRPr="00E352A1">
        <w:rPr>
          <w:b/>
          <w:bCs/>
          <w:i/>
          <w:iCs/>
          <w:sz w:val="22"/>
        </w:rPr>
        <w:t>III</w:t>
      </w:r>
      <w:r w:rsidRPr="00E352A1">
        <w:rPr>
          <w:b/>
          <w:bCs/>
          <w:i/>
          <w:iCs/>
          <w:sz w:val="22"/>
          <w:lang w:val="ru-RU"/>
        </w:rPr>
        <w:t xml:space="preserve"> </w:t>
      </w:r>
      <w:r w:rsidRPr="00E352A1">
        <w:rPr>
          <w:b/>
          <w:bCs/>
          <w:i/>
          <w:iCs/>
          <w:sz w:val="22"/>
          <w:lang w:val="sr-Cyrl-CS"/>
        </w:rPr>
        <w:t xml:space="preserve">ОЦЕНА </w:t>
      </w:r>
      <w:r w:rsidRPr="00E352A1">
        <w:rPr>
          <w:b/>
          <w:bCs/>
          <w:i/>
          <w:iCs/>
          <w:sz w:val="22"/>
          <w:lang w:val="sr-Cyrl-RS"/>
        </w:rPr>
        <w:t>СИНОПСИС</w:t>
      </w:r>
      <w:r w:rsidRPr="00E352A1">
        <w:rPr>
          <w:b/>
          <w:bCs/>
          <w:i/>
          <w:iCs/>
          <w:sz w:val="22"/>
          <w:lang w:val="ru-RU"/>
        </w:rPr>
        <w:t>: МАКСИМАЛН</w:t>
      </w:r>
      <w:r>
        <w:rPr>
          <w:b/>
          <w:bCs/>
          <w:i/>
          <w:iCs/>
          <w:sz w:val="22"/>
          <w:lang w:val="ru-RU"/>
        </w:rPr>
        <w:t>О 4</w:t>
      </w:r>
      <w:r w:rsidRPr="00E352A1">
        <w:rPr>
          <w:b/>
          <w:bCs/>
          <w:i/>
          <w:iCs/>
          <w:sz w:val="22"/>
          <w:lang w:val="sr-Cyrl-CS"/>
        </w:rPr>
        <w:t>0</w:t>
      </w:r>
      <w:r w:rsidRPr="00E352A1">
        <w:rPr>
          <w:b/>
          <w:bCs/>
          <w:i/>
          <w:iCs/>
          <w:sz w:val="22"/>
          <w:lang w:val="ru-RU"/>
        </w:rPr>
        <w:t xml:space="preserve"> ПОНДЕРА</w:t>
      </w:r>
    </w:p>
    <w:p w:rsidR="00767528" w:rsidRPr="00E352A1" w:rsidRDefault="00767528" w:rsidP="00767528">
      <w:pPr>
        <w:autoSpaceDE w:val="0"/>
        <w:autoSpaceDN w:val="0"/>
        <w:adjustRightInd w:val="0"/>
        <w:jc w:val="both"/>
        <w:rPr>
          <w:lang w:val="sr-Cyrl-CS"/>
        </w:rPr>
      </w:pPr>
      <w:r w:rsidRPr="00E352A1">
        <w:rPr>
          <w:lang w:val="ru-RU"/>
        </w:rPr>
        <w:t>Овај подкритеријум ће се оцењивати на основу</w:t>
      </w:r>
      <w:r w:rsidRPr="00E352A1">
        <w:rPr>
          <w:lang w:val="sr-Cyrl-CS"/>
        </w:rPr>
        <w:t xml:space="preserve"> приложеног синопсиса који ће бодовати комисија сачињена од 5 чланова. Сваки члан комисије моћи ће за сваки синопсис да додели бодове у распону од 0-10. Број освојених пондера зависиће од добијеног збира бодова свих чланова комисије, и то: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5"/>
        <w:gridCol w:w="1115"/>
      </w:tblGrid>
      <w:tr w:rsidR="00767528" w:rsidRPr="00E352A1" w:rsidTr="00363E02"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28" w:rsidRPr="00E352A1" w:rsidRDefault="00767528" w:rsidP="00363E02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E352A1">
              <w:rPr>
                <w:lang w:val="sr-Cyrl-CS"/>
              </w:rPr>
              <w:t>Бодови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28" w:rsidRPr="00E352A1" w:rsidRDefault="00767528" w:rsidP="00363E02">
            <w:pPr>
              <w:autoSpaceDE w:val="0"/>
              <w:autoSpaceDN w:val="0"/>
              <w:adjustRightInd w:val="0"/>
              <w:jc w:val="right"/>
              <w:rPr>
                <w:lang w:val="sr-Cyrl-CS"/>
              </w:rPr>
            </w:pPr>
            <w:r w:rsidRPr="00E352A1">
              <w:rPr>
                <w:lang w:val="sr-Cyrl-CS"/>
              </w:rPr>
              <w:t>Пондери</w:t>
            </w:r>
          </w:p>
        </w:tc>
      </w:tr>
      <w:tr w:rsidR="00767528" w:rsidRPr="00E352A1" w:rsidTr="00363E02"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28" w:rsidRPr="00E352A1" w:rsidRDefault="00767528" w:rsidP="00363E02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E352A1">
              <w:rPr>
                <w:lang w:val="sr-Cyrl-CS"/>
              </w:rPr>
              <w:t>50-40 у потпуности задовољава услове конкурсне документације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28" w:rsidRPr="00E352A1" w:rsidRDefault="00767528" w:rsidP="00363E02">
            <w:pPr>
              <w:autoSpaceDE w:val="0"/>
              <w:autoSpaceDN w:val="0"/>
              <w:adjustRightInd w:val="0"/>
              <w:jc w:val="right"/>
              <w:rPr>
                <w:lang w:val="sr-Cyrl-CS"/>
              </w:rPr>
            </w:pPr>
            <w:r>
              <w:rPr>
                <w:lang w:val="sr-Cyrl-CS"/>
              </w:rPr>
              <w:t>4</w:t>
            </w:r>
            <w:r w:rsidRPr="00E352A1">
              <w:rPr>
                <w:lang w:val="sr-Cyrl-CS"/>
              </w:rPr>
              <w:t>0</w:t>
            </w:r>
          </w:p>
        </w:tc>
      </w:tr>
      <w:tr w:rsidR="00767528" w:rsidRPr="00E352A1" w:rsidTr="00363E02"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28" w:rsidRPr="00E352A1" w:rsidRDefault="001A5CCA" w:rsidP="001A5CCA">
            <w:pPr>
              <w:autoSpaceDE w:val="0"/>
              <w:autoSpaceDN w:val="0"/>
              <w:adjustRightInd w:val="0"/>
              <w:rPr>
                <w:lang w:val="sr-Cyrl-CS"/>
              </w:rPr>
            </w:pPr>
            <w:r>
              <w:rPr>
                <w:lang w:val="sr-Cyrl-CS"/>
              </w:rPr>
              <w:t xml:space="preserve">     </w:t>
            </w:r>
            <w:r w:rsidR="00767528" w:rsidRPr="00E352A1">
              <w:rPr>
                <w:lang w:val="sr-Cyrl-CS"/>
              </w:rPr>
              <w:t>39-25 задовољава услове конкурсне документације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28" w:rsidRPr="00E352A1" w:rsidRDefault="00767528" w:rsidP="00363E02">
            <w:pPr>
              <w:autoSpaceDE w:val="0"/>
              <w:autoSpaceDN w:val="0"/>
              <w:adjustRightInd w:val="0"/>
              <w:jc w:val="right"/>
              <w:rPr>
                <w:lang w:val="sr-Cyrl-CS"/>
              </w:rPr>
            </w:pPr>
            <w:r w:rsidRPr="00E352A1">
              <w:rPr>
                <w:lang w:val="sr-Cyrl-CS"/>
              </w:rPr>
              <w:t>20</w:t>
            </w:r>
          </w:p>
        </w:tc>
      </w:tr>
      <w:tr w:rsidR="00767528" w:rsidRPr="00E352A1" w:rsidTr="00363E02"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28" w:rsidRPr="00E352A1" w:rsidRDefault="001A5CCA" w:rsidP="001A5CCA">
            <w:pPr>
              <w:autoSpaceDE w:val="0"/>
              <w:autoSpaceDN w:val="0"/>
              <w:adjustRightInd w:val="0"/>
              <w:rPr>
                <w:lang w:val="sr-Cyrl-CS"/>
              </w:rPr>
            </w:pPr>
            <w:r>
              <w:rPr>
                <w:lang w:val="sr-Cyrl-CS"/>
              </w:rPr>
              <w:t xml:space="preserve">     </w:t>
            </w:r>
            <w:r w:rsidR="00767528" w:rsidRPr="00E352A1">
              <w:rPr>
                <w:lang w:val="sr-Cyrl-CS"/>
              </w:rPr>
              <w:t>24-10 делимично задовољава услове конкурсне документација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28" w:rsidRPr="00E352A1" w:rsidRDefault="00767528" w:rsidP="00363E02">
            <w:pPr>
              <w:autoSpaceDE w:val="0"/>
              <w:autoSpaceDN w:val="0"/>
              <w:adjustRightInd w:val="0"/>
              <w:jc w:val="right"/>
              <w:rPr>
                <w:lang w:val="sr-Cyrl-CS"/>
              </w:rPr>
            </w:pPr>
            <w:r w:rsidRPr="00E352A1">
              <w:rPr>
                <w:lang w:val="sr-Cyrl-CS"/>
              </w:rPr>
              <w:t>10</w:t>
            </w:r>
          </w:p>
        </w:tc>
      </w:tr>
    </w:tbl>
    <w:p w:rsidR="00767528" w:rsidRPr="00E352A1" w:rsidRDefault="00767528" w:rsidP="00767528">
      <w:pPr>
        <w:autoSpaceDE w:val="0"/>
        <w:autoSpaceDN w:val="0"/>
        <w:adjustRightInd w:val="0"/>
        <w:jc w:val="both"/>
        <w:rPr>
          <w:lang w:val="sr-Cyrl-CS"/>
        </w:rPr>
      </w:pPr>
      <w:r w:rsidRPr="00E352A1">
        <w:rPr>
          <w:lang w:val="sr-Cyrl-CS"/>
        </w:rPr>
        <w:t>Синопсис који има мање од 10 бодова добиће нула пондера.</w:t>
      </w:r>
    </w:p>
    <w:p w:rsidR="00767528" w:rsidRPr="00E352A1" w:rsidRDefault="00767528" w:rsidP="00767528">
      <w:pPr>
        <w:autoSpaceDE w:val="0"/>
        <w:autoSpaceDN w:val="0"/>
        <w:adjustRightInd w:val="0"/>
        <w:jc w:val="both"/>
        <w:rPr>
          <w:lang w:val="sr-Cyrl-CS"/>
        </w:rPr>
      </w:pPr>
    </w:p>
    <w:p w:rsidR="00767528" w:rsidRPr="00E352A1" w:rsidRDefault="00767528" w:rsidP="00767528">
      <w:pPr>
        <w:autoSpaceDE w:val="0"/>
        <w:autoSpaceDN w:val="0"/>
        <w:adjustRightInd w:val="0"/>
        <w:jc w:val="both"/>
        <w:rPr>
          <w:b/>
          <w:bCs/>
          <w:lang w:val="sr-Cyrl-CS"/>
        </w:rPr>
      </w:pPr>
      <w:r w:rsidRPr="00E352A1">
        <w:rPr>
          <w:b/>
          <w:bCs/>
          <w:lang w:val="sr-Cyrl-CS"/>
        </w:rPr>
        <w:t xml:space="preserve">Збиром поена из табела </w:t>
      </w:r>
      <w:r w:rsidRPr="00E352A1">
        <w:rPr>
          <w:b/>
          <w:bCs/>
          <w:lang w:val="sr-Latn-CS"/>
        </w:rPr>
        <w:t>I</w:t>
      </w:r>
      <w:r w:rsidRPr="00E352A1">
        <w:rPr>
          <w:b/>
          <w:bCs/>
          <w:lang w:val="sr-Cyrl-CS"/>
        </w:rPr>
        <w:t xml:space="preserve"> ,</w:t>
      </w:r>
      <w:r w:rsidRPr="00E352A1">
        <w:rPr>
          <w:b/>
          <w:bCs/>
          <w:lang w:val="sr-Latn-CS"/>
        </w:rPr>
        <w:t xml:space="preserve"> II</w:t>
      </w:r>
      <w:r w:rsidRPr="00E352A1">
        <w:rPr>
          <w:b/>
          <w:bCs/>
          <w:lang w:val="sr-Cyrl-RS"/>
        </w:rPr>
        <w:t xml:space="preserve"> и </w:t>
      </w:r>
      <w:r w:rsidRPr="00E352A1">
        <w:rPr>
          <w:b/>
          <w:bCs/>
        </w:rPr>
        <w:t>III</w:t>
      </w:r>
      <w:r w:rsidRPr="00E352A1">
        <w:rPr>
          <w:b/>
          <w:bCs/>
          <w:lang w:val="sr-Cyrl-CS"/>
        </w:rPr>
        <w:t xml:space="preserve"> добиће се економски најповољнија понуда</w:t>
      </w:r>
      <w:r w:rsidR="00A873EC">
        <w:rPr>
          <w:b/>
          <w:bCs/>
          <w:lang w:val="sr-Cyrl-CS"/>
        </w:rPr>
        <w:t>.</w:t>
      </w:r>
    </w:p>
    <w:p w:rsidR="00767528" w:rsidRPr="00E352A1" w:rsidRDefault="00767528" w:rsidP="00767528">
      <w:pPr>
        <w:suppressAutoHyphens/>
        <w:spacing w:line="100" w:lineRule="atLeast"/>
        <w:jc w:val="both"/>
        <w:rPr>
          <w:rFonts w:eastAsia="Arial Unicode MS"/>
          <w:b/>
          <w:bCs/>
          <w:i/>
          <w:iCs/>
          <w:kern w:val="2"/>
          <w:lang w:val="sr-Cyrl-CS" w:eastAsia="ar-SA"/>
        </w:rPr>
      </w:pPr>
    </w:p>
    <w:p w:rsidR="00767528" w:rsidRPr="00E352A1" w:rsidRDefault="00767528" w:rsidP="00767528">
      <w:pPr>
        <w:suppressAutoHyphens/>
        <w:spacing w:line="100" w:lineRule="atLeast"/>
        <w:jc w:val="both"/>
        <w:rPr>
          <w:rFonts w:eastAsia="Arial Unicode MS"/>
          <w:b/>
          <w:bCs/>
          <w:color w:val="000000"/>
          <w:kern w:val="2"/>
          <w:lang w:eastAsia="ar-SA"/>
        </w:rPr>
      </w:pPr>
      <w:r w:rsidRPr="00E352A1">
        <w:rPr>
          <w:b/>
          <w:bCs/>
        </w:rPr>
        <w:t>1</w:t>
      </w:r>
      <w:r w:rsidRPr="00E352A1">
        <w:rPr>
          <w:b/>
          <w:bCs/>
          <w:lang w:val="sr-Cyrl-CS"/>
        </w:rPr>
        <w:t>7</w:t>
      </w:r>
      <w:r w:rsidRPr="00E352A1">
        <w:rPr>
          <w:b/>
          <w:bCs/>
        </w:rPr>
        <w:t xml:space="preserve">. ЕЛЕМЕНТИ КРИТЕРИЈУМА НА ОСНОВУ КОЈИХ ЋЕ НАРУЧИЛАЦ ИЗВРШИТИ ДОДЕЛУ УГОВОРА У СИТУАЦИЈИ КАДА ПОСТОЈЕ ДВЕ ИЛИ ВИШЕ ПОНУДА СА </w:t>
      </w:r>
      <w:r w:rsidRPr="00E352A1">
        <w:rPr>
          <w:b/>
          <w:bCs/>
          <w:lang w:val="sr-Cyrl-CS"/>
        </w:rPr>
        <w:t xml:space="preserve">ИСТИМ БРОЈЕМ ПОНДЕРА </w:t>
      </w:r>
    </w:p>
    <w:p w:rsidR="00767528" w:rsidRPr="00E352A1" w:rsidRDefault="00767528" w:rsidP="00767528">
      <w:pPr>
        <w:suppressAutoHyphens/>
        <w:spacing w:line="100" w:lineRule="atLeast"/>
        <w:jc w:val="both"/>
        <w:rPr>
          <w:rFonts w:eastAsia="Arial Unicode MS"/>
          <w:b/>
          <w:bCs/>
          <w:color w:val="000000"/>
          <w:kern w:val="2"/>
          <w:lang w:eastAsia="ar-SA"/>
        </w:rPr>
      </w:pPr>
    </w:p>
    <w:p w:rsidR="00767528" w:rsidRPr="00E352A1" w:rsidRDefault="00767528" w:rsidP="00767528">
      <w:pPr>
        <w:suppressAutoHyphens/>
        <w:spacing w:line="100" w:lineRule="atLeast"/>
        <w:jc w:val="both"/>
        <w:rPr>
          <w:iCs/>
          <w:lang w:val="sr-Cyrl-CS"/>
        </w:rPr>
      </w:pPr>
      <w:proofErr w:type="spellStart"/>
      <w:r w:rsidRPr="00E352A1">
        <w:rPr>
          <w:iCs/>
        </w:rPr>
        <w:t>Уколико</w:t>
      </w:r>
      <w:proofErr w:type="spellEnd"/>
      <w:r w:rsidRPr="00E352A1">
        <w:rPr>
          <w:iCs/>
        </w:rPr>
        <w:t xml:space="preserve"> </w:t>
      </w:r>
      <w:proofErr w:type="spellStart"/>
      <w:r w:rsidRPr="00E352A1">
        <w:rPr>
          <w:iCs/>
        </w:rPr>
        <w:t>две</w:t>
      </w:r>
      <w:proofErr w:type="spellEnd"/>
      <w:r w:rsidRPr="00E352A1">
        <w:rPr>
          <w:iCs/>
        </w:rPr>
        <w:t xml:space="preserve"> </w:t>
      </w:r>
      <w:proofErr w:type="spellStart"/>
      <w:r w:rsidRPr="00E352A1">
        <w:rPr>
          <w:iCs/>
        </w:rPr>
        <w:t>или</w:t>
      </w:r>
      <w:proofErr w:type="spellEnd"/>
      <w:r w:rsidRPr="00E352A1">
        <w:rPr>
          <w:iCs/>
        </w:rPr>
        <w:t xml:space="preserve"> </w:t>
      </w:r>
      <w:proofErr w:type="spellStart"/>
      <w:r w:rsidRPr="00E352A1">
        <w:rPr>
          <w:iCs/>
        </w:rPr>
        <w:t>више</w:t>
      </w:r>
      <w:proofErr w:type="spellEnd"/>
      <w:r w:rsidRPr="00E352A1">
        <w:rPr>
          <w:iCs/>
        </w:rPr>
        <w:t xml:space="preserve"> </w:t>
      </w:r>
      <w:proofErr w:type="spellStart"/>
      <w:r w:rsidRPr="00E352A1">
        <w:rPr>
          <w:iCs/>
        </w:rPr>
        <w:t>понуда</w:t>
      </w:r>
      <w:proofErr w:type="spellEnd"/>
      <w:r w:rsidRPr="00E352A1">
        <w:rPr>
          <w:iCs/>
        </w:rPr>
        <w:t xml:space="preserve"> </w:t>
      </w:r>
      <w:proofErr w:type="spellStart"/>
      <w:r w:rsidRPr="00E352A1">
        <w:rPr>
          <w:iCs/>
        </w:rPr>
        <w:t>имају</w:t>
      </w:r>
      <w:proofErr w:type="spellEnd"/>
      <w:r w:rsidRPr="00E352A1">
        <w:rPr>
          <w:iCs/>
        </w:rPr>
        <w:t xml:space="preserve"> </w:t>
      </w:r>
      <w:proofErr w:type="spellStart"/>
      <w:r w:rsidRPr="00E352A1">
        <w:rPr>
          <w:iCs/>
        </w:rPr>
        <w:t>ист</w:t>
      </w:r>
      <w:proofErr w:type="spellEnd"/>
      <w:r w:rsidRPr="00E352A1">
        <w:rPr>
          <w:iCs/>
          <w:lang w:val="sr-Cyrl-CS"/>
        </w:rPr>
        <w:t>и број пондера</w:t>
      </w:r>
      <w:r w:rsidRPr="00E352A1">
        <w:rPr>
          <w:iCs/>
        </w:rPr>
        <w:t xml:space="preserve">, </w:t>
      </w:r>
      <w:proofErr w:type="spellStart"/>
      <w:r w:rsidRPr="00E352A1">
        <w:rPr>
          <w:iCs/>
        </w:rPr>
        <w:t>као</w:t>
      </w:r>
      <w:proofErr w:type="spellEnd"/>
      <w:r w:rsidRPr="00E352A1">
        <w:rPr>
          <w:iCs/>
        </w:rPr>
        <w:t xml:space="preserve"> </w:t>
      </w:r>
      <w:proofErr w:type="spellStart"/>
      <w:r w:rsidRPr="00E352A1">
        <w:rPr>
          <w:iCs/>
        </w:rPr>
        <w:t>најповољнија</w:t>
      </w:r>
      <w:proofErr w:type="spellEnd"/>
      <w:r w:rsidRPr="00E352A1">
        <w:rPr>
          <w:iCs/>
        </w:rPr>
        <w:t xml:space="preserve"> </w:t>
      </w:r>
      <w:proofErr w:type="spellStart"/>
      <w:r w:rsidRPr="00E352A1">
        <w:rPr>
          <w:iCs/>
        </w:rPr>
        <w:t>биће</w:t>
      </w:r>
      <w:proofErr w:type="spellEnd"/>
      <w:r w:rsidRPr="00E352A1">
        <w:rPr>
          <w:iCs/>
        </w:rPr>
        <w:t xml:space="preserve"> </w:t>
      </w:r>
      <w:proofErr w:type="spellStart"/>
      <w:r w:rsidRPr="00E352A1">
        <w:rPr>
          <w:iCs/>
        </w:rPr>
        <w:t>изабрана</w:t>
      </w:r>
      <w:proofErr w:type="spellEnd"/>
      <w:r w:rsidRPr="00E352A1">
        <w:rPr>
          <w:iCs/>
        </w:rPr>
        <w:t xml:space="preserve"> </w:t>
      </w:r>
      <w:proofErr w:type="spellStart"/>
      <w:r w:rsidRPr="00E352A1">
        <w:rPr>
          <w:iCs/>
        </w:rPr>
        <w:t>понуда</w:t>
      </w:r>
      <w:proofErr w:type="spellEnd"/>
      <w:r w:rsidRPr="00E352A1">
        <w:rPr>
          <w:iCs/>
        </w:rPr>
        <w:t xml:space="preserve"> </w:t>
      </w:r>
      <w:proofErr w:type="spellStart"/>
      <w:r w:rsidRPr="00E352A1">
        <w:rPr>
          <w:iCs/>
        </w:rPr>
        <w:t>оног</w:t>
      </w:r>
      <w:proofErr w:type="spellEnd"/>
      <w:r w:rsidRPr="00E352A1">
        <w:rPr>
          <w:iCs/>
        </w:rPr>
        <w:t xml:space="preserve"> </w:t>
      </w:r>
      <w:proofErr w:type="spellStart"/>
      <w:r w:rsidRPr="00E352A1">
        <w:rPr>
          <w:iCs/>
        </w:rPr>
        <w:t>понуђача</w:t>
      </w:r>
      <w:proofErr w:type="spellEnd"/>
      <w:r w:rsidRPr="00E352A1">
        <w:rPr>
          <w:iCs/>
        </w:rPr>
        <w:t xml:space="preserve"> </w:t>
      </w:r>
      <w:proofErr w:type="spellStart"/>
      <w:r w:rsidRPr="00E352A1">
        <w:rPr>
          <w:iCs/>
        </w:rPr>
        <w:t>који</w:t>
      </w:r>
      <w:proofErr w:type="spellEnd"/>
      <w:r w:rsidRPr="00E352A1">
        <w:rPr>
          <w:iCs/>
          <w:lang w:val="sr-Cyrl-CS"/>
        </w:rPr>
        <w:t xml:space="preserve"> је понудио нижу цену. </w:t>
      </w:r>
    </w:p>
    <w:p w:rsidR="00030F78" w:rsidRDefault="00030F78">
      <w:pPr>
        <w:shd w:val="clear" w:color="auto" w:fill="FFFFFF"/>
        <w:spacing w:before="100" w:beforeAutospacing="1" w:after="168" w:line="270" w:lineRule="atLeast"/>
        <w:jc w:val="both"/>
        <w:rPr>
          <w:b/>
          <w:lang w:val="sr-Cyrl-CS"/>
        </w:rPr>
      </w:pPr>
    </w:p>
    <w:p w:rsidR="00845DA6" w:rsidRDefault="00845DA6">
      <w:pPr>
        <w:shd w:val="clear" w:color="auto" w:fill="FFFFFF"/>
        <w:spacing w:before="100" w:beforeAutospacing="1" w:after="168" w:line="270" w:lineRule="atLeast"/>
        <w:jc w:val="both"/>
      </w:pPr>
      <w:r>
        <w:rPr>
          <w:b/>
          <w:lang w:val="sr-Cyrl-CS"/>
        </w:rPr>
        <w:t>Начин преузимања конкурсне документације, односно интернет адреса где је конкурсна документација доступна</w:t>
      </w:r>
      <w:r>
        <w:rPr>
          <w:lang w:val="sr-Cyrl-CS"/>
        </w:rPr>
        <w:t xml:space="preserve">: </w:t>
      </w:r>
      <w:r>
        <w:rPr>
          <w:lang w:val="ru-RU"/>
        </w:rPr>
        <w:t xml:space="preserve">Конкурсну документацију заинтересована лица могу преузети лично код наручиоца, у Београду, Улица Немањина 22-26, </w:t>
      </w:r>
      <w:r>
        <w:t>II</w:t>
      </w:r>
      <w:r>
        <w:rPr>
          <w:lang w:val="ru-RU"/>
        </w:rPr>
        <w:t xml:space="preserve"> спрат, канцеларија број 8, крило Б или се иста може преузети са интернет странице </w:t>
      </w:r>
      <w:r>
        <w:rPr>
          <w:lang w:val="ru-RU"/>
        </w:rPr>
        <w:lastRenderedPageBreak/>
        <w:t>наручиоца:</w:t>
      </w:r>
      <w:r>
        <w:rPr>
          <w:u w:val="single"/>
        </w:rPr>
        <w:t>www</w:t>
      </w:r>
      <w:r>
        <w:rPr>
          <w:u w:val="single"/>
          <w:lang w:val="ru-RU"/>
        </w:rPr>
        <w:t>.</w:t>
      </w:r>
      <w:r>
        <w:rPr>
          <w:u w:val="single"/>
          <w:lang w:val="sr-Latn-CS"/>
        </w:rPr>
        <w:t>minrzs.gov.rs</w:t>
      </w:r>
      <w:r>
        <w:rPr>
          <w:lang w:val="ru-RU"/>
        </w:rPr>
        <w:t>, односно са Портала јавних</w:t>
      </w:r>
      <w:r>
        <w:t xml:space="preserve">  </w:t>
      </w:r>
      <w:r>
        <w:rPr>
          <w:lang w:val="ru-RU"/>
        </w:rPr>
        <w:t>набавки:</w:t>
      </w:r>
      <w:r>
        <w:t> </w:t>
      </w:r>
      <w:r>
        <w:rPr>
          <w:lang w:val="sr-Cyrl-CS"/>
        </w:rPr>
        <w:t xml:space="preserve"> </w:t>
      </w:r>
      <w:hyperlink r:id="rId8" w:history="1">
        <w:r>
          <w:rPr>
            <w:rStyle w:val="Hyperlink"/>
          </w:rPr>
          <w:t>www.ujn.gov.rs</w:t>
        </w:r>
      </w:hyperlink>
      <w:r>
        <w:t xml:space="preserve"> </w:t>
      </w:r>
      <w:r>
        <w:rPr>
          <w:lang w:val="sr-Cyrl-CS"/>
        </w:rPr>
        <w:t>Конкурсна документација се налази у прилогу Позива за</w:t>
      </w:r>
      <w:r w:rsidR="00767528">
        <w:rPr>
          <w:lang w:val="sr-Cyrl-CS"/>
        </w:rPr>
        <w:t xml:space="preserve"> достављањ</w:t>
      </w:r>
      <w:r>
        <w:rPr>
          <w:lang w:val="sr-Cyrl-CS"/>
        </w:rPr>
        <w:t>е понуда.</w:t>
      </w:r>
    </w:p>
    <w:p w:rsidR="00845DA6" w:rsidRDefault="00845DA6">
      <w:pPr>
        <w:pStyle w:val="BodyText"/>
      </w:pPr>
      <w:r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</w:t>
      </w:r>
      <w:r w:rsidR="00D30188">
        <w:t>и запошљавању, уловима рада и сл</w:t>
      </w:r>
      <w:r w:rsidR="00D30188">
        <w:rPr>
          <w:lang w:val="sr-Cyrl-RS"/>
        </w:rPr>
        <w:t>ично</w:t>
      </w:r>
      <w:r>
        <w:t>:</w:t>
      </w:r>
    </w:p>
    <w:p w:rsidR="00845DA6" w:rsidRDefault="00845DA6">
      <w:pPr>
        <w:pStyle w:val="BodyText"/>
        <w:rPr>
          <w:b w:val="0"/>
          <w:lang w:val="en-US"/>
        </w:rPr>
      </w:pPr>
      <w:r>
        <w:rPr>
          <w:b w:val="0"/>
        </w:rPr>
        <w:t>Министарство финансија</w:t>
      </w:r>
      <w:r>
        <w:rPr>
          <w:b w:val="0"/>
          <w:lang w:val="en-US"/>
        </w:rPr>
        <w:t xml:space="preserve"> </w:t>
      </w:r>
      <w:hyperlink r:id="rId9" w:history="1">
        <w:r>
          <w:rPr>
            <w:rStyle w:val="Hyperlink"/>
            <w:b w:val="0"/>
            <w:lang w:val="en-US"/>
          </w:rPr>
          <w:t>www.mfin.gov.rs</w:t>
        </w:r>
      </w:hyperlink>
    </w:p>
    <w:p w:rsidR="00845DA6" w:rsidRDefault="00845DA6">
      <w:pPr>
        <w:pStyle w:val="BodyText"/>
        <w:rPr>
          <w:b w:val="0"/>
          <w:lang w:val="en-US"/>
        </w:rPr>
      </w:pPr>
      <w:r>
        <w:rPr>
          <w:b w:val="0"/>
        </w:rPr>
        <w:t>Министарство пољопривреде и заштите животне средине</w:t>
      </w:r>
      <w:r>
        <w:rPr>
          <w:b w:val="0"/>
          <w:lang w:val="en-US"/>
        </w:rPr>
        <w:t xml:space="preserve"> www.mpzzs.gov.rs</w:t>
      </w:r>
    </w:p>
    <w:p w:rsidR="00845DA6" w:rsidRDefault="00845DA6">
      <w:pPr>
        <w:pStyle w:val="BodyText"/>
        <w:rPr>
          <w:b w:val="0"/>
          <w:lang w:val="en-US"/>
        </w:rPr>
      </w:pPr>
      <w:r>
        <w:rPr>
          <w:b w:val="0"/>
        </w:rPr>
        <w:t>Агенција за заштиту животне средине</w:t>
      </w:r>
      <w:r>
        <w:rPr>
          <w:b w:val="0"/>
          <w:lang w:val="en-US"/>
        </w:rPr>
        <w:t xml:space="preserve"> </w:t>
      </w:r>
      <w:hyperlink r:id="rId10" w:history="1">
        <w:r>
          <w:rPr>
            <w:rStyle w:val="Hyperlink"/>
            <w:lang w:val="en-US"/>
          </w:rPr>
          <w:t>www.sepa.gov.rs</w:t>
        </w:r>
      </w:hyperlink>
    </w:p>
    <w:p w:rsidR="00845DA6" w:rsidRDefault="00845DA6">
      <w:pPr>
        <w:pStyle w:val="BodyText"/>
        <w:rPr>
          <w:b w:val="0"/>
          <w:lang w:val="en-US"/>
        </w:rPr>
      </w:pPr>
      <w:r>
        <w:rPr>
          <w:b w:val="0"/>
        </w:rPr>
        <w:t xml:space="preserve">Министарство за рад, запошљавање, борачка и социјална питања </w:t>
      </w:r>
      <w:hyperlink r:id="rId11" w:history="1">
        <w:r>
          <w:rPr>
            <w:rStyle w:val="Hyperlink"/>
            <w:b w:val="0"/>
          </w:rPr>
          <w:t>www.minrzs.gov.rs</w:t>
        </w:r>
      </w:hyperlink>
    </w:p>
    <w:p w:rsidR="00845DA6" w:rsidRDefault="00845DA6">
      <w:pPr>
        <w:jc w:val="both"/>
        <w:rPr>
          <w:b/>
          <w:bCs/>
          <w:lang w:val="sr-Cyrl-CS"/>
        </w:rPr>
      </w:pPr>
    </w:p>
    <w:p w:rsidR="00D30188" w:rsidRDefault="00845DA6" w:rsidP="00767528">
      <w:pPr>
        <w:autoSpaceDE w:val="0"/>
        <w:autoSpaceDN w:val="0"/>
        <w:adjustRightInd w:val="0"/>
        <w:jc w:val="both"/>
      </w:pPr>
      <w:proofErr w:type="spellStart"/>
      <w:r>
        <w:rPr>
          <w:b/>
          <w:bCs/>
        </w:rPr>
        <w:t>Начин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подношења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понуде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рок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подношење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понуде</w:t>
      </w:r>
      <w:proofErr w:type="spellEnd"/>
      <w:r w:rsidR="00D30188">
        <w:t>:</w:t>
      </w:r>
    </w:p>
    <w:p w:rsidR="00030F78" w:rsidRDefault="00D30188" w:rsidP="00767528">
      <w:pPr>
        <w:autoSpaceDE w:val="0"/>
        <w:autoSpaceDN w:val="0"/>
        <w:adjustRightInd w:val="0"/>
        <w:jc w:val="both"/>
        <w:rPr>
          <w:color w:val="FF0000"/>
          <w:lang w:val="ru-RU"/>
        </w:rPr>
      </w:pPr>
      <w:r>
        <w:rPr>
          <w:rFonts w:eastAsia="TimesNewRomanPSMT"/>
          <w:bCs/>
          <w:lang w:val="ru-RU"/>
        </w:rPr>
        <w:t xml:space="preserve">Понуду доставити на адресу: </w:t>
      </w:r>
      <w:r w:rsidR="00767528">
        <w:rPr>
          <w:rFonts w:eastAsia="TimesNewRomanPSMT"/>
          <w:bCs/>
          <w:lang w:val="ru-RU"/>
        </w:rPr>
        <w:t xml:space="preserve">Министарство за рад, запошљавање, борачка и социјална питања, Београд, </w:t>
      </w:r>
      <w:r w:rsidR="00767528" w:rsidRPr="00767528">
        <w:rPr>
          <w:rFonts w:eastAsia="TimesNewRomanPSMT"/>
          <w:bCs/>
          <w:i/>
          <w:lang w:val="ru-RU"/>
        </w:rPr>
        <w:t>Македонска 4а</w:t>
      </w:r>
      <w:r w:rsidR="00767528">
        <w:rPr>
          <w:i/>
          <w:iCs/>
          <w:lang w:val="ru-RU"/>
        </w:rPr>
        <w:t xml:space="preserve">, </w:t>
      </w:r>
      <w:r w:rsidR="00767528">
        <w:rPr>
          <w:rFonts w:eastAsia="TimesNewRomanPSMT"/>
          <w:bCs/>
          <w:lang w:val="ru-RU"/>
        </w:rPr>
        <w:t xml:space="preserve">са назнаком: </w:t>
      </w:r>
      <w:r w:rsidR="00767528">
        <w:rPr>
          <w:rFonts w:eastAsia="TimesNewRomanPS-BoldMT"/>
          <w:b/>
          <w:bCs/>
          <w:lang w:val="ru-RU"/>
        </w:rPr>
        <w:t>,,Понуда за јавну набавку</w:t>
      </w:r>
      <w:r w:rsidR="00767528">
        <w:rPr>
          <w:lang w:val="ru-RU"/>
        </w:rPr>
        <w:t xml:space="preserve"> </w:t>
      </w:r>
      <w:r>
        <w:rPr>
          <w:b/>
          <w:lang w:val="ru-RU"/>
        </w:rPr>
        <w:t xml:space="preserve">услуга- </w:t>
      </w:r>
      <w:r w:rsidR="00767528" w:rsidRPr="00054E81">
        <w:rPr>
          <w:lang w:val="ru-RU"/>
        </w:rPr>
        <w:t xml:space="preserve">Продукција документарних филмова за потребе Министарства за рад, запошљавање, борачка и социјална питања, по партијама </w:t>
      </w:r>
      <w:r>
        <w:rPr>
          <w:lang w:val="sr-Cyrl-CS"/>
        </w:rPr>
        <w:t xml:space="preserve">(ознака партије)- </w:t>
      </w:r>
      <w:r w:rsidR="00767528">
        <w:rPr>
          <w:rFonts w:eastAsia="TimesNewRomanPS-BoldMT"/>
          <w:b/>
          <w:bCs/>
          <w:lang w:val="ru-RU"/>
        </w:rPr>
        <w:t>ЈН бр. 35/</w:t>
      </w:r>
      <w:r w:rsidR="00767528">
        <w:rPr>
          <w:rFonts w:eastAsia="TimesNewRomanPS-BoldMT"/>
          <w:b/>
          <w:bCs/>
        </w:rPr>
        <w:t>201</w:t>
      </w:r>
      <w:r w:rsidR="00767528">
        <w:rPr>
          <w:rFonts w:eastAsia="TimesNewRomanPS-BoldMT"/>
          <w:b/>
          <w:bCs/>
          <w:lang w:val="sr-Cyrl-RS"/>
        </w:rPr>
        <w:t>7</w:t>
      </w:r>
      <w:r>
        <w:rPr>
          <w:rFonts w:eastAsia="TimesNewRomanPS-BoldMT"/>
          <w:b/>
          <w:bCs/>
          <w:lang w:val="ru-RU"/>
        </w:rPr>
        <w:t xml:space="preserve">- </w:t>
      </w:r>
      <w:r w:rsidR="00767528">
        <w:rPr>
          <w:rFonts w:eastAsia="TimesNewRomanPS-BoldMT"/>
          <w:b/>
          <w:bCs/>
          <w:lang w:val="ru-RU"/>
        </w:rPr>
        <w:t>НЕ ОТВАРАТИ”</w:t>
      </w:r>
      <w:r w:rsidR="00767528">
        <w:rPr>
          <w:b/>
          <w:lang w:val="sr-Cyrl-RS"/>
        </w:rPr>
        <w:t>.</w:t>
      </w:r>
    </w:p>
    <w:p w:rsidR="00767528" w:rsidRPr="004F1B58" w:rsidRDefault="00767528" w:rsidP="00767528">
      <w:pPr>
        <w:autoSpaceDE w:val="0"/>
        <w:autoSpaceDN w:val="0"/>
        <w:adjustRightInd w:val="0"/>
        <w:jc w:val="both"/>
        <w:rPr>
          <w:b/>
          <w:bCs/>
          <w:i/>
          <w:iCs/>
          <w:lang w:val="sr-Cyrl-RS"/>
        </w:rPr>
      </w:pPr>
      <w:r>
        <w:rPr>
          <w:b/>
          <w:bCs/>
          <w:lang w:val="ru-RU"/>
        </w:rPr>
        <w:t xml:space="preserve">Понуда се сматра благовременом уколико је примљена од стране наручиоца </w:t>
      </w:r>
      <w:r w:rsidRPr="005F2088">
        <w:rPr>
          <w:b/>
          <w:bCs/>
          <w:lang w:val="ru-RU"/>
        </w:rPr>
        <w:t xml:space="preserve">до </w:t>
      </w:r>
      <w:r w:rsidRPr="004F1B58">
        <w:rPr>
          <w:b/>
          <w:bCs/>
          <w:lang w:val="ru-RU"/>
        </w:rPr>
        <w:t>10. јула 2017. године</w:t>
      </w:r>
      <w:r w:rsidR="00D30188" w:rsidRPr="004F1B58">
        <w:rPr>
          <w:b/>
          <w:bCs/>
          <w:lang w:val="ru-RU"/>
        </w:rPr>
        <w:t xml:space="preserve"> </w:t>
      </w:r>
      <w:r w:rsidRPr="004F1B58">
        <w:rPr>
          <w:b/>
          <w:bCs/>
          <w:lang w:val="ru-RU"/>
        </w:rPr>
        <w:t>до 10</w:t>
      </w:r>
      <w:r w:rsidR="00D30188" w:rsidRPr="004F1B58">
        <w:rPr>
          <w:b/>
          <w:bCs/>
          <w:lang w:val="ru-RU"/>
        </w:rPr>
        <w:t>:</w:t>
      </w:r>
      <w:r w:rsidRPr="004F1B58">
        <w:rPr>
          <w:b/>
          <w:bCs/>
          <w:lang w:val="ru-RU"/>
        </w:rPr>
        <w:t xml:space="preserve">00 </w:t>
      </w:r>
      <w:r w:rsidRPr="004F1B58">
        <w:rPr>
          <w:b/>
          <w:bCs/>
          <w:lang w:val="sr-Cyrl-RS"/>
        </w:rPr>
        <w:t>часова</w:t>
      </w:r>
      <w:r w:rsidRPr="004F1B58">
        <w:rPr>
          <w:b/>
          <w:bCs/>
          <w:i/>
          <w:iCs/>
          <w:lang w:val="sr-Cyrl-RS"/>
        </w:rPr>
        <w:t>.</w:t>
      </w:r>
    </w:p>
    <w:p w:rsidR="00030F78" w:rsidRDefault="0014741F" w:rsidP="00030F78">
      <w:pPr>
        <w:suppressAutoHyphens/>
        <w:autoSpaceDE w:val="0"/>
        <w:autoSpaceDN w:val="0"/>
        <w:adjustRightInd w:val="0"/>
        <w:jc w:val="both"/>
        <w:rPr>
          <w:b/>
          <w:bCs/>
          <w:lang w:val="sr-Cyrl-CS"/>
        </w:rPr>
      </w:pPr>
      <w:proofErr w:type="spellStart"/>
      <w:r w:rsidRPr="004F1B58">
        <w:rPr>
          <w:rFonts w:eastAsia="Arial Unicode MS"/>
          <w:kern w:val="1"/>
          <w:lang w:eastAsia="ar-SA"/>
        </w:rPr>
        <w:t>Место</w:t>
      </w:r>
      <w:proofErr w:type="spellEnd"/>
      <w:r w:rsidRPr="004F1B58">
        <w:rPr>
          <w:rFonts w:eastAsia="Arial Unicode MS"/>
          <w:kern w:val="1"/>
          <w:lang w:eastAsia="ar-SA"/>
        </w:rPr>
        <w:t xml:space="preserve">, </w:t>
      </w:r>
      <w:proofErr w:type="spellStart"/>
      <w:r w:rsidRPr="004F1B58">
        <w:rPr>
          <w:rFonts w:eastAsia="Arial Unicode MS"/>
          <w:kern w:val="1"/>
          <w:lang w:eastAsia="ar-SA"/>
        </w:rPr>
        <w:t>време</w:t>
      </w:r>
      <w:proofErr w:type="spellEnd"/>
      <w:r w:rsidRPr="004F1B58">
        <w:rPr>
          <w:rFonts w:eastAsia="Arial Unicode MS"/>
          <w:kern w:val="1"/>
          <w:lang w:eastAsia="ar-SA"/>
        </w:rPr>
        <w:t xml:space="preserve"> и </w:t>
      </w:r>
      <w:proofErr w:type="spellStart"/>
      <w:r w:rsidRPr="004F1B58">
        <w:rPr>
          <w:rFonts w:eastAsia="Arial Unicode MS"/>
          <w:kern w:val="1"/>
          <w:lang w:eastAsia="ar-SA"/>
        </w:rPr>
        <w:t>начин</w:t>
      </w:r>
      <w:proofErr w:type="spellEnd"/>
      <w:r w:rsidRPr="004F1B58">
        <w:rPr>
          <w:rFonts w:eastAsia="Arial Unicode MS"/>
          <w:kern w:val="1"/>
          <w:lang w:eastAsia="ar-SA"/>
        </w:rPr>
        <w:t xml:space="preserve"> </w:t>
      </w:r>
      <w:proofErr w:type="spellStart"/>
      <w:r w:rsidRPr="004F1B58">
        <w:rPr>
          <w:rFonts w:eastAsia="Arial Unicode MS"/>
          <w:kern w:val="1"/>
          <w:lang w:eastAsia="ar-SA"/>
        </w:rPr>
        <w:t>отварања</w:t>
      </w:r>
      <w:proofErr w:type="spellEnd"/>
      <w:r w:rsidRPr="004F1B58">
        <w:rPr>
          <w:rFonts w:eastAsia="Arial Unicode MS"/>
          <w:kern w:val="1"/>
          <w:lang w:eastAsia="ar-SA"/>
        </w:rPr>
        <w:t xml:space="preserve"> </w:t>
      </w:r>
      <w:proofErr w:type="spellStart"/>
      <w:r w:rsidRPr="004F1B58">
        <w:rPr>
          <w:rFonts w:eastAsia="Arial Unicode MS"/>
          <w:kern w:val="1"/>
          <w:lang w:eastAsia="ar-SA"/>
        </w:rPr>
        <w:t>понуде</w:t>
      </w:r>
      <w:proofErr w:type="spellEnd"/>
      <w:r w:rsidRPr="004F1B58">
        <w:rPr>
          <w:rFonts w:eastAsia="Arial Unicode MS"/>
          <w:kern w:val="1"/>
          <w:lang w:eastAsia="ar-SA"/>
        </w:rPr>
        <w:t>:</w:t>
      </w:r>
      <w:r w:rsidR="00030F78" w:rsidRPr="004F1B58">
        <w:rPr>
          <w:b/>
          <w:bCs/>
          <w:lang w:val="sr-Cyrl-CS"/>
        </w:rPr>
        <w:t xml:space="preserve"> Отварање понуда обавиће се истог дана 10</w:t>
      </w:r>
      <w:r w:rsidR="00030F78" w:rsidRPr="004F1B58">
        <w:rPr>
          <w:b/>
          <w:bCs/>
          <w:lang w:val="ru-RU"/>
        </w:rPr>
        <w:t>. јула 2017. године</w:t>
      </w:r>
      <w:r w:rsidR="00030F78" w:rsidRPr="004F1B58">
        <w:rPr>
          <w:b/>
          <w:bCs/>
          <w:lang w:val="sr-Cyrl-CS"/>
        </w:rPr>
        <w:t xml:space="preserve"> у 10</w:t>
      </w:r>
      <w:r w:rsidR="00D30188" w:rsidRPr="004F1B58">
        <w:rPr>
          <w:b/>
          <w:bCs/>
          <w:lang w:val="sr-Cyrl-CS"/>
        </w:rPr>
        <w:t>:</w:t>
      </w:r>
      <w:r w:rsidR="00030F78" w:rsidRPr="004F1B58">
        <w:rPr>
          <w:b/>
          <w:bCs/>
        </w:rPr>
        <w:t>30</w:t>
      </w:r>
      <w:r w:rsidR="00030F78" w:rsidRPr="004F1B58">
        <w:rPr>
          <w:b/>
          <w:bCs/>
          <w:lang w:val="sr-Cyrl-CS"/>
        </w:rPr>
        <w:t xml:space="preserve"> минута </w:t>
      </w:r>
      <w:proofErr w:type="spellStart"/>
      <w:r w:rsidR="00030F78" w:rsidRPr="004F1B58">
        <w:rPr>
          <w:rFonts w:eastAsia="TimesNewRomanPSMT"/>
          <w:b/>
          <w:bCs/>
        </w:rPr>
        <w:t>на</w:t>
      </w:r>
      <w:proofErr w:type="spellEnd"/>
      <w:r w:rsidR="00030F78" w:rsidRPr="004F1B58">
        <w:rPr>
          <w:rFonts w:eastAsia="TimesNewRomanPSMT"/>
          <w:b/>
          <w:bCs/>
        </w:rPr>
        <w:t xml:space="preserve"> </w:t>
      </w:r>
      <w:proofErr w:type="spellStart"/>
      <w:r w:rsidR="00030F78">
        <w:rPr>
          <w:rFonts w:eastAsia="TimesNewRomanPSMT"/>
          <w:b/>
          <w:bCs/>
        </w:rPr>
        <w:t>адрес</w:t>
      </w:r>
      <w:proofErr w:type="spellEnd"/>
      <w:r w:rsidR="00030F78">
        <w:rPr>
          <w:rFonts w:eastAsia="TimesNewRomanPSMT"/>
          <w:b/>
          <w:bCs/>
          <w:lang w:val="sr-Cyrl-CS"/>
        </w:rPr>
        <w:t>и</w:t>
      </w:r>
      <w:r w:rsidR="00030F78">
        <w:rPr>
          <w:rFonts w:eastAsia="TimesNewRomanPSMT"/>
          <w:b/>
          <w:bCs/>
        </w:rPr>
        <w:t xml:space="preserve">: </w:t>
      </w:r>
      <w:proofErr w:type="spellStart"/>
      <w:r w:rsidR="00030F78">
        <w:rPr>
          <w:rFonts w:eastAsia="TimesNewRomanPSMT"/>
          <w:b/>
          <w:bCs/>
        </w:rPr>
        <w:t>Министарство</w:t>
      </w:r>
      <w:proofErr w:type="spellEnd"/>
      <w:r w:rsidR="00030F78">
        <w:rPr>
          <w:rFonts w:eastAsia="TimesNewRomanPSMT"/>
          <w:b/>
          <w:bCs/>
          <w:lang w:val="sr-Cyrl-CS"/>
        </w:rPr>
        <w:t xml:space="preserve"> за</w:t>
      </w:r>
      <w:r w:rsidR="00030F78">
        <w:rPr>
          <w:rFonts w:eastAsia="TimesNewRomanPSMT"/>
          <w:b/>
          <w:bCs/>
        </w:rPr>
        <w:t xml:space="preserve"> </w:t>
      </w:r>
      <w:proofErr w:type="spellStart"/>
      <w:r w:rsidR="00030F78">
        <w:rPr>
          <w:rFonts w:eastAsia="TimesNewRomanPSMT"/>
          <w:b/>
          <w:bCs/>
        </w:rPr>
        <w:t>рад</w:t>
      </w:r>
      <w:proofErr w:type="spellEnd"/>
      <w:r w:rsidR="00030F78">
        <w:rPr>
          <w:rFonts w:eastAsia="TimesNewRomanPSMT"/>
          <w:b/>
          <w:bCs/>
          <w:lang w:val="sr-Cyrl-CS"/>
        </w:rPr>
        <w:t xml:space="preserve">, запошљавање, борачка и социјална питања, </w:t>
      </w:r>
      <w:r w:rsidR="00030F78">
        <w:rPr>
          <w:b/>
          <w:bCs/>
          <w:lang w:val="sr-Cyrl-CS"/>
        </w:rPr>
        <w:t xml:space="preserve"> Македонска 4а, Београд</w:t>
      </w:r>
      <w:r w:rsidR="00030F78">
        <w:rPr>
          <w:b/>
          <w:bCs/>
        </w:rPr>
        <w:t xml:space="preserve"> III</w:t>
      </w:r>
      <w:r w:rsidR="00030F78">
        <w:rPr>
          <w:b/>
          <w:bCs/>
          <w:lang w:val="ru-RU"/>
        </w:rPr>
        <w:t xml:space="preserve"> спрат, канцеларија број 1</w:t>
      </w:r>
      <w:r w:rsidRPr="0014741F">
        <w:rPr>
          <w:rFonts w:eastAsia="Arial Unicode MS"/>
          <w:b/>
          <w:bCs/>
          <w:kern w:val="1"/>
          <w:lang w:eastAsia="ar-SA"/>
        </w:rPr>
        <w:t xml:space="preserve">, у </w:t>
      </w:r>
      <w:proofErr w:type="spellStart"/>
      <w:r w:rsidRPr="0014741F">
        <w:rPr>
          <w:rFonts w:eastAsia="Arial Unicode MS"/>
          <w:b/>
          <w:bCs/>
          <w:kern w:val="1"/>
          <w:lang w:eastAsia="ar-SA"/>
        </w:rPr>
        <w:t>присуству</w:t>
      </w:r>
      <w:proofErr w:type="spellEnd"/>
      <w:r w:rsidRPr="0014741F">
        <w:rPr>
          <w:rFonts w:eastAsia="Arial Unicode MS"/>
          <w:b/>
          <w:bCs/>
          <w:kern w:val="1"/>
          <w:lang w:eastAsia="ar-SA"/>
        </w:rPr>
        <w:t xml:space="preserve"> </w:t>
      </w:r>
      <w:proofErr w:type="spellStart"/>
      <w:r w:rsidRPr="0014741F">
        <w:rPr>
          <w:rFonts w:eastAsia="Arial Unicode MS"/>
          <w:b/>
          <w:bCs/>
          <w:kern w:val="1"/>
          <w:lang w:eastAsia="ar-SA"/>
        </w:rPr>
        <w:t>чланова</w:t>
      </w:r>
      <w:proofErr w:type="spellEnd"/>
      <w:r w:rsidRPr="0014741F">
        <w:rPr>
          <w:rFonts w:eastAsia="Arial Unicode MS"/>
          <w:b/>
          <w:bCs/>
          <w:kern w:val="1"/>
          <w:lang w:eastAsia="ar-SA"/>
        </w:rPr>
        <w:t xml:space="preserve"> </w:t>
      </w:r>
      <w:proofErr w:type="spellStart"/>
      <w:r w:rsidRPr="0014741F">
        <w:rPr>
          <w:rFonts w:eastAsia="Arial Unicode MS"/>
          <w:b/>
          <w:bCs/>
          <w:kern w:val="1"/>
          <w:lang w:eastAsia="ar-SA"/>
        </w:rPr>
        <w:t>комисије</w:t>
      </w:r>
      <w:proofErr w:type="spellEnd"/>
      <w:r w:rsidRPr="0014741F">
        <w:rPr>
          <w:rFonts w:eastAsia="Arial Unicode MS"/>
          <w:b/>
          <w:bCs/>
          <w:kern w:val="1"/>
          <w:lang w:eastAsia="ar-SA"/>
        </w:rPr>
        <w:t xml:space="preserve">, </w:t>
      </w:r>
      <w:proofErr w:type="spellStart"/>
      <w:r w:rsidRPr="0014741F">
        <w:rPr>
          <w:rFonts w:eastAsia="Arial Unicode MS"/>
          <w:b/>
          <w:bCs/>
          <w:kern w:val="1"/>
          <w:lang w:eastAsia="ar-SA"/>
        </w:rPr>
        <w:t>понуђача</w:t>
      </w:r>
      <w:proofErr w:type="spellEnd"/>
      <w:r w:rsidRPr="0014741F">
        <w:rPr>
          <w:rFonts w:eastAsia="Arial Unicode MS"/>
          <w:b/>
          <w:bCs/>
          <w:kern w:val="1"/>
          <w:lang w:eastAsia="ar-SA"/>
        </w:rPr>
        <w:t xml:space="preserve"> и </w:t>
      </w:r>
      <w:proofErr w:type="spellStart"/>
      <w:r w:rsidRPr="0014741F">
        <w:rPr>
          <w:rFonts w:eastAsia="Arial Unicode MS"/>
          <w:b/>
          <w:bCs/>
          <w:kern w:val="1"/>
          <w:lang w:eastAsia="ar-SA"/>
        </w:rPr>
        <w:t>заинтересованих</w:t>
      </w:r>
      <w:proofErr w:type="spellEnd"/>
      <w:r w:rsidRPr="0014741F">
        <w:rPr>
          <w:rFonts w:eastAsia="Arial Unicode MS"/>
          <w:b/>
          <w:bCs/>
          <w:kern w:val="1"/>
          <w:lang w:eastAsia="ar-SA"/>
        </w:rPr>
        <w:t xml:space="preserve"> </w:t>
      </w:r>
      <w:proofErr w:type="spellStart"/>
      <w:r w:rsidRPr="0014741F">
        <w:rPr>
          <w:rFonts w:eastAsia="Arial Unicode MS"/>
          <w:b/>
          <w:bCs/>
          <w:kern w:val="1"/>
          <w:lang w:eastAsia="ar-SA"/>
        </w:rPr>
        <w:t>лица</w:t>
      </w:r>
      <w:proofErr w:type="spellEnd"/>
      <w:r w:rsidRPr="0014741F">
        <w:rPr>
          <w:rFonts w:eastAsia="Arial Unicode MS"/>
          <w:b/>
          <w:bCs/>
          <w:kern w:val="1"/>
          <w:lang w:eastAsia="ar-SA"/>
        </w:rPr>
        <w:t>.</w:t>
      </w:r>
    </w:p>
    <w:p w:rsidR="00030F78" w:rsidRDefault="00845DA6" w:rsidP="00030F78">
      <w:pPr>
        <w:suppressAutoHyphens/>
        <w:autoSpaceDE w:val="0"/>
        <w:autoSpaceDN w:val="0"/>
        <w:adjustRightInd w:val="0"/>
        <w:jc w:val="both"/>
        <w:rPr>
          <w:b/>
          <w:bCs/>
          <w:lang w:val="sr-Cyrl-CS"/>
        </w:rPr>
      </w:pPr>
      <w:r>
        <w:rPr>
          <w:b/>
          <w:bCs/>
          <w:lang w:val="ru-RU"/>
        </w:rPr>
        <w:t>Услови под којима представници понуђача могу учествовати у поступку отварања понуда</w:t>
      </w:r>
      <w:r w:rsidR="00D30188">
        <w:rPr>
          <w:lang w:val="ru-RU"/>
        </w:rPr>
        <w:t xml:space="preserve">: Представници понуђача </w:t>
      </w:r>
      <w:r>
        <w:rPr>
          <w:lang w:val="ru-RU"/>
        </w:rPr>
        <w:t xml:space="preserve">који намеравају да присуствују отварању понуда, обавезни су да поднесу пуномоћје за учешће у поступку отварања понуда. Заинтересованим лицима која нису понуђачи, Комисија </w:t>
      </w:r>
      <w:r w:rsidR="00D30188">
        <w:rPr>
          <w:lang w:val="ru-RU"/>
        </w:rPr>
        <w:t xml:space="preserve">за предметну јавну набавку може </w:t>
      </w:r>
      <w:r>
        <w:rPr>
          <w:lang w:val="ru-RU"/>
        </w:rPr>
        <w:t>дозволити да присуствују отварању понуда, уколико су та лица пре започињања поступка отварања понуда, поднела писани захтев са образложењем и приложила пуномоћје за присуство поступку отварања понуда. У поступку отварања понуда могу активно учествовати само овлашћени представници понуђача.</w:t>
      </w:r>
    </w:p>
    <w:p w:rsidR="00030F78" w:rsidRDefault="00030F78" w:rsidP="00030F78">
      <w:pPr>
        <w:suppressAutoHyphens/>
        <w:autoSpaceDE w:val="0"/>
        <w:autoSpaceDN w:val="0"/>
        <w:adjustRightInd w:val="0"/>
        <w:jc w:val="both"/>
        <w:rPr>
          <w:b/>
          <w:bCs/>
          <w:lang w:val="sr-Cyrl-CS"/>
        </w:rPr>
      </w:pPr>
    </w:p>
    <w:p w:rsidR="00845DA6" w:rsidRDefault="00845DA6" w:rsidP="00030F78">
      <w:pPr>
        <w:suppressAutoHyphens/>
        <w:autoSpaceDE w:val="0"/>
        <w:autoSpaceDN w:val="0"/>
        <w:adjustRightInd w:val="0"/>
        <w:jc w:val="both"/>
        <w:rPr>
          <w:lang w:val="ru-RU"/>
        </w:rPr>
      </w:pPr>
      <w:r>
        <w:rPr>
          <w:b/>
          <w:bCs/>
          <w:lang w:val="ru-RU"/>
        </w:rPr>
        <w:t>Рок за доношење одлуке о додели уговора</w:t>
      </w:r>
      <w:r>
        <w:rPr>
          <w:lang w:val="ru-RU"/>
        </w:rPr>
        <w:t xml:space="preserve">: до </w:t>
      </w:r>
      <w:r>
        <w:rPr>
          <w:lang w:val="sr-Cyrl-CS"/>
        </w:rPr>
        <w:t xml:space="preserve">25 </w:t>
      </w:r>
      <w:r>
        <w:rPr>
          <w:lang w:val="ru-RU"/>
        </w:rPr>
        <w:t>дана од дана отварања понуда.</w:t>
      </w:r>
    </w:p>
    <w:p w:rsidR="00030F78" w:rsidRPr="00030F78" w:rsidRDefault="00030F78" w:rsidP="00030F78">
      <w:pPr>
        <w:suppressAutoHyphens/>
        <w:autoSpaceDE w:val="0"/>
        <w:autoSpaceDN w:val="0"/>
        <w:adjustRightInd w:val="0"/>
        <w:jc w:val="both"/>
        <w:rPr>
          <w:b/>
          <w:bCs/>
          <w:lang w:val="sr-Cyrl-CS"/>
        </w:rPr>
      </w:pPr>
    </w:p>
    <w:p w:rsidR="00030F78" w:rsidRPr="00030F78" w:rsidRDefault="00030F78" w:rsidP="00030F78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Лица за контакт: </w:t>
      </w:r>
      <w:r w:rsidRPr="00030F78">
        <w:rPr>
          <w:b/>
          <w:lang w:val="ru-RU"/>
        </w:rPr>
        <w:t>Милица Ђурић</w:t>
      </w:r>
      <w:r>
        <w:rPr>
          <w:lang w:val="ru-RU"/>
        </w:rPr>
        <w:t>, е</w:t>
      </w:r>
      <w:r>
        <w:rPr>
          <w:lang w:val="sr-Cyrl-CS"/>
        </w:rPr>
        <w:t>-mail адреса:</w:t>
      </w:r>
      <w:r>
        <w:t xml:space="preserve"> </w:t>
      </w:r>
      <w:hyperlink r:id="rId12" w:history="1">
        <w:r w:rsidRPr="004A6012">
          <w:rPr>
            <w:rStyle w:val="Hyperlink"/>
          </w:rPr>
          <w:t>milica.djuric</w:t>
        </w:r>
        <w:r w:rsidRPr="004A6012">
          <w:rPr>
            <w:rStyle w:val="Hyperlink"/>
            <w:rFonts w:eastAsia="Arial Unicode MS"/>
            <w:kern w:val="1"/>
            <w:lang w:eastAsia="ar-SA"/>
          </w:rPr>
          <w:t>@minrzs.gov.rs</w:t>
        </w:r>
      </w:hyperlink>
      <w:r>
        <w:rPr>
          <w:lang w:val="sr-Cyrl-RS"/>
        </w:rPr>
        <w:t xml:space="preserve"> или</w:t>
      </w:r>
      <w:r>
        <w:t xml:space="preserve"> </w:t>
      </w:r>
      <w:proofErr w:type="spellStart"/>
      <w:r w:rsidRPr="00030F78">
        <w:rPr>
          <w:b/>
        </w:rPr>
        <w:t>Тања</w:t>
      </w:r>
      <w:proofErr w:type="spellEnd"/>
      <w:r w:rsidRPr="00030F78">
        <w:rPr>
          <w:b/>
        </w:rPr>
        <w:t xml:space="preserve"> </w:t>
      </w:r>
      <w:proofErr w:type="spellStart"/>
      <w:r w:rsidRPr="00030F78">
        <w:rPr>
          <w:b/>
        </w:rPr>
        <w:t>Пушоња</w:t>
      </w:r>
      <w:proofErr w:type="spellEnd"/>
      <w:r>
        <w:t>, e-</w:t>
      </w:r>
      <w:r w:rsidRPr="00F11E2F">
        <w:t>mail:  tanja.pusonja@minrzs.gov.rs</w:t>
      </w:r>
      <w:r>
        <w:rPr>
          <w:lang w:val="sr-Cyrl-RS"/>
        </w:rPr>
        <w:t xml:space="preserve"> или </w:t>
      </w:r>
      <w:r>
        <w:rPr>
          <w:lang w:val="ru-RU"/>
        </w:rPr>
        <w:t xml:space="preserve"> </w:t>
      </w:r>
      <w:r w:rsidRPr="00030F78">
        <w:rPr>
          <w:b/>
          <w:lang w:val="ru-RU"/>
        </w:rPr>
        <w:t>Милица Михаиловић</w:t>
      </w:r>
      <w:r>
        <w:rPr>
          <w:b/>
          <w:bCs/>
          <w:lang w:val="ru-RU"/>
        </w:rPr>
        <w:t xml:space="preserve"> </w:t>
      </w:r>
      <w:r>
        <w:t>e-</w:t>
      </w:r>
      <w:r w:rsidRPr="00F11E2F">
        <w:t>mail</w:t>
      </w:r>
      <w:r>
        <w:t>: milica.mihailovic@minrzs.gov.rs</w:t>
      </w:r>
      <w:r>
        <w:rPr>
          <w:rFonts w:eastAsia="Arial Unicode MS"/>
          <w:kern w:val="1"/>
          <w:lang w:eastAsia="ar-SA"/>
        </w:rPr>
        <w:t xml:space="preserve"> </w:t>
      </w:r>
    </w:p>
    <w:p w:rsidR="00845DA6" w:rsidRPr="0014741F" w:rsidRDefault="00845DA6">
      <w:pPr>
        <w:shd w:val="clear" w:color="auto" w:fill="FFFFFF"/>
        <w:spacing w:before="100" w:beforeAutospacing="1" w:after="168" w:line="270" w:lineRule="atLeast"/>
        <w:jc w:val="both"/>
        <w:rPr>
          <w:b/>
          <w:bCs/>
        </w:rPr>
      </w:pPr>
    </w:p>
    <w:p w:rsidR="00845DA6" w:rsidRDefault="00845DA6"/>
    <w:sectPr w:rsidR="00845DA6" w:rsidSect="00030F78">
      <w:footerReference w:type="even" r:id="rId13"/>
      <w:footerReference w:type="default" r:id="rId14"/>
      <w:pgSz w:w="12240" w:h="15840"/>
      <w:pgMar w:top="851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EE3" w:rsidRDefault="00245EE3">
      <w:r>
        <w:separator/>
      </w:r>
    </w:p>
  </w:endnote>
  <w:endnote w:type="continuationSeparator" w:id="0">
    <w:p w:rsidR="00245EE3" w:rsidRDefault="0024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-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auto"/>
    <w:pitch w:val="default"/>
  </w:font>
  <w:font w:name="TimesNewRomanPS-Bold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DA6" w:rsidRDefault="00845D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5DA6" w:rsidRDefault="00845D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DA6" w:rsidRDefault="00845D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55A3">
      <w:rPr>
        <w:rStyle w:val="PageNumber"/>
        <w:noProof/>
      </w:rPr>
      <w:t>3</w:t>
    </w:r>
    <w:r>
      <w:rPr>
        <w:rStyle w:val="PageNumber"/>
      </w:rPr>
      <w:fldChar w:fldCharType="end"/>
    </w:r>
  </w:p>
  <w:p w:rsidR="00845DA6" w:rsidRDefault="00845DA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EE3" w:rsidRDefault="00245EE3">
      <w:r>
        <w:separator/>
      </w:r>
    </w:p>
  </w:footnote>
  <w:footnote w:type="continuationSeparator" w:id="0">
    <w:p w:rsidR="00245EE3" w:rsidRDefault="00245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 w15:restartNumberingAfterBreak="0">
    <w:nsid w:val="00000004"/>
    <w:multiLevelType w:val="multilevel"/>
    <w:tmpl w:val="481CA832"/>
    <w:name w:val="WW8Num4"/>
    <w:lvl w:ilvl="0">
      <w:start w:val="1"/>
      <w:numFmt w:val="decimal"/>
      <w:lvlText w:val="%1)"/>
      <w:lvlJc w:val="left"/>
      <w:pPr>
        <w:tabs>
          <w:tab w:val="num" w:pos="810"/>
        </w:tabs>
        <w:ind w:left="1530" w:hanging="360"/>
      </w:pPr>
      <w:rPr>
        <w:rFonts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singleLevel"/>
    <w:tmpl w:val="EF4E426C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C01EF5C0"/>
    <w:name w:val="WW8Num10"/>
    <w:lvl w:ilvl="0">
      <w:start w:val="1"/>
      <w:numFmt w:val="bullet"/>
      <w:lvlText w:val=""/>
      <w:lvlJc w:val="left"/>
      <w:pPr>
        <w:tabs>
          <w:tab w:val="num" w:pos="270"/>
        </w:tabs>
        <w:ind w:left="990" w:hanging="360"/>
      </w:pPr>
      <w:rPr>
        <w:rFonts w:ascii="Symbol" w:hAnsi="Symbol" w:hint="default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singleLevel"/>
    <w:tmpl w:val="5E3234D8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710" w:hanging="360"/>
      </w:pPr>
      <w:rPr>
        <w:b w:val="0"/>
      </w:rPr>
    </w:lvl>
  </w:abstractNum>
  <w:abstractNum w:abstractNumId="11" w15:restartNumberingAfterBreak="0">
    <w:nsid w:val="0000000C"/>
    <w:multiLevelType w:val="singleLevel"/>
    <w:tmpl w:val="9BD47CFE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2" w15:restartNumberingAfterBreak="0">
    <w:nsid w:val="0000000D"/>
    <w:multiLevelType w:val="singleLevel"/>
    <w:tmpl w:val="9EACC99E"/>
    <w:name w:val="WW8Num13"/>
    <w:lvl w:ilvl="0">
      <w:start w:val="1"/>
      <w:numFmt w:val="decimal"/>
      <w:lvlText w:val="%1)"/>
      <w:lvlJc w:val="left"/>
      <w:pPr>
        <w:tabs>
          <w:tab w:val="num" w:pos="90"/>
        </w:tabs>
        <w:ind w:left="1800" w:hanging="360"/>
      </w:pPr>
      <w:rPr>
        <w:b w:val="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42"/>
    <w:rsid w:val="00030F78"/>
    <w:rsid w:val="000337C1"/>
    <w:rsid w:val="000B73BB"/>
    <w:rsid w:val="000E159F"/>
    <w:rsid w:val="0014741F"/>
    <w:rsid w:val="001A5CCA"/>
    <w:rsid w:val="001F7FDD"/>
    <w:rsid w:val="002423AA"/>
    <w:rsid w:val="00245EE3"/>
    <w:rsid w:val="00484027"/>
    <w:rsid w:val="004A2E1A"/>
    <w:rsid w:val="004F1B58"/>
    <w:rsid w:val="004F5709"/>
    <w:rsid w:val="005A0BEE"/>
    <w:rsid w:val="005A1091"/>
    <w:rsid w:val="005B55A3"/>
    <w:rsid w:val="007671DA"/>
    <w:rsid w:val="00767528"/>
    <w:rsid w:val="007B3205"/>
    <w:rsid w:val="007C4695"/>
    <w:rsid w:val="007D6BB1"/>
    <w:rsid w:val="00845DA6"/>
    <w:rsid w:val="00882150"/>
    <w:rsid w:val="0089607E"/>
    <w:rsid w:val="00906641"/>
    <w:rsid w:val="00954DA2"/>
    <w:rsid w:val="009F3AC8"/>
    <w:rsid w:val="00A77181"/>
    <w:rsid w:val="00A77942"/>
    <w:rsid w:val="00A873EC"/>
    <w:rsid w:val="00AF07DE"/>
    <w:rsid w:val="00B16DCD"/>
    <w:rsid w:val="00B94AEE"/>
    <w:rsid w:val="00BD0776"/>
    <w:rsid w:val="00C14116"/>
    <w:rsid w:val="00C54646"/>
    <w:rsid w:val="00C874E0"/>
    <w:rsid w:val="00C94C6A"/>
    <w:rsid w:val="00D13F9C"/>
    <w:rsid w:val="00D30188"/>
    <w:rsid w:val="00D8108F"/>
    <w:rsid w:val="00DE0E98"/>
    <w:rsid w:val="00EB385E"/>
    <w:rsid w:val="00EF7FEA"/>
    <w:rsid w:val="00FD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404F0A"/>
  <w15:chartTrackingRefBased/>
  <w15:docId w15:val="{425DEB82-88E5-43E8-9151-211A9A3B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suppressAutoHyphens/>
      <w:spacing w:line="100" w:lineRule="atLeast"/>
      <w:ind w:left="1143"/>
      <w:jc w:val="center"/>
      <w:outlineLvl w:val="1"/>
    </w:pPr>
    <w:rPr>
      <w:rFonts w:ascii="Book Antiqua" w:hAnsi="Book Antiqua"/>
      <w:b/>
      <w:bCs/>
      <w:color w:val="000000"/>
      <w:kern w:val="1"/>
      <w:sz w:val="28"/>
      <w:lang w:eastAsia="ar-SA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BookAntiqua-Italic" w:hAnsi="BookAntiqua-Italic"/>
      <w:i/>
      <w:iCs/>
      <w:u w:val="single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</w:rPr>
  </w:style>
  <w:style w:type="paragraph" w:styleId="Heading5">
    <w:name w:val="heading 5"/>
    <w:basedOn w:val="Normal"/>
    <w:next w:val="BodyText"/>
    <w:qFormat/>
    <w:pPr>
      <w:numPr>
        <w:ilvl w:val="4"/>
        <w:numId w:val="1"/>
      </w:numPr>
      <w:suppressAutoHyphens/>
      <w:spacing w:before="240" w:after="60" w:line="100" w:lineRule="atLeast"/>
      <w:outlineLvl w:val="4"/>
    </w:pPr>
    <w:rPr>
      <w:b/>
      <w:bCs/>
      <w:i/>
      <w:iCs/>
      <w:color w:val="000000"/>
      <w:kern w:val="1"/>
      <w:sz w:val="26"/>
      <w:szCs w:val="26"/>
      <w:lang w:eastAsia="ar-SA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"/>
      </w:numPr>
      <w:suppressAutoHyphens/>
      <w:spacing w:line="100" w:lineRule="atLeast"/>
      <w:outlineLvl w:val="5"/>
    </w:pPr>
    <w:rPr>
      <w:rFonts w:ascii="Book Antiqua" w:hAnsi="Book Antiqua"/>
      <w:color w:val="000000"/>
      <w:kern w:val="1"/>
      <w:sz w:val="28"/>
      <w:lang w:eastAsia="ar-SA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"/>
      </w:numPr>
      <w:suppressAutoHyphens/>
      <w:spacing w:line="100" w:lineRule="atLeast"/>
      <w:outlineLvl w:val="6"/>
    </w:pPr>
    <w:rPr>
      <w:rFonts w:ascii="Book Antiqua" w:hAnsi="Book Antiqua" w:cs="Arial"/>
      <w:b/>
      <w:bCs/>
      <w:color w:val="000000"/>
      <w:kern w:val="1"/>
      <w:lang w:eastAsia="ar-SA"/>
    </w:r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"/>
      </w:numPr>
      <w:suppressAutoHyphens/>
      <w:spacing w:line="100" w:lineRule="atLeast"/>
      <w:jc w:val="both"/>
      <w:outlineLvl w:val="7"/>
    </w:pPr>
    <w:rPr>
      <w:b/>
      <w:color w:val="000000"/>
      <w:kern w:val="1"/>
      <w:lang w:eastAsia="ar-SA"/>
    </w:rPr>
  </w:style>
  <w:style w:type="paragraph" w:styleId="Heading9">
    <w:name w:val="heading 9"/>
    <w:basedOn w:val="Normal"/>
    <w:next w:val="BodyText"/>
    <w:qFormat/>
    <w:pPr>
      <w:numPr>
        <w:ilvl w:val="8"/>
        <w:numId w:val="1"/>
      </w:numPr>
      <w:suppressAutoHyphens/>
      <w:spacing w:before="240" w:after="60" w:line="100" w:lineRule="atLeast"/>
      <w:outlineLvl w:val="8"/>
    </w:pPr>
    <w:rPr>
      <w:rFonts w:ascii="Arial" w:hAnsi="Arial" w:cs="Arial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b/>
      <w:bCs/>
      <w:lang w:val="sr-Cyrl-CS"/>
    </w:rPr>
  </w:style>
  <w:style w:type="character" w:styleId="Hyperlink">
    <w:name w:val="Hyperlink"/>
    <w:semiHidden/>
    <w:rPr>
      <w:color w:val="0000FF"/>
      <w:u w:val="single"/>
    </w:rPr>
  </w:style>
  <w:style w:type="paragraph" w:styleId="NoSpacing">
    <w:name w:val="No Spacing"/>
    <w:qFormat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qFormat/>
    <w:pPr>
      <w:suppressAutoHyphens/>
      <w:spacing w:line="100" w:lineRule="atLeast"/>
      <w:ind w:left="720"/>
    </w:pPr>
    <w:rPr>
      <w:rFonts w:eastAsia="Arial Unicode MS"/>
      <w:color w:val="000000"/>
      <w:kern w:val="2"/>
      <w:lang w:eastAsia="ar-SA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3">
    <w:name w:val="Body Text 3"/>
    <w:basedOn w:val="Normal"/>
    <w:semiHidden/>
    <w:pPr>
      <w:shd w:val="clear" w:color="auto" w:fill="FFFFFF"/>
      <w:spacing w:before="100" w:beforeAutospacing="1" w:after="168" w:line="270" w:lineRule="atLeast"/>
      <w:jc w:val="both"/>
    </w:pPr>
    <w:rPr>
      <w:bCs/>
      <w:lang w:val="ru-RU"/>
    </w:rPr>
  </w:style>
  <w:style w:type="paragraph" w:customStyle="1" w:styleId="xl67">
    <w:name w:val="xl67"/>
    <w:basedOn w:val="Normal"/>
    <w:pPr>
      <w:pBdr>
        <w:right w:val="single" w:sz="8" w:space="0" w:color="auto"/>
      </w:pBdr>
      <w:spacing w:before="100" w:beforeAutospacing="1" w:after="100" w:afterAutospacing="1"/>
      <w:jc w:val="both"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jn.gov.rs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inrzs.gov.rs/" TargetMode="External"/><Relationship Id="rId12" Type="http://schemas.openxmlformats.org/officeDocument/2006/relationships/hyperlink" Target="mailto:milica.djuric@minrzs.gov.rs%3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rzs.gov.r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ep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fin.gov.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ЈАВНА НАБАВКА 04/2014</vt:lpstr>
    </vt:vector>
  </TitlesOfParts>
  <Company>MinRSP</Company>
  <LinksUpToDate>false</LinksUpToDate>
  <CharactersWithSpaces>6044</CharactersWithSpaces>
  <SharedDoc>false</SharedDoc>
  <HLinks>
    <vt:vector size="30" baseType="variant">
      <vt:variant>
        <vt:i4>5111899</vt:i4>
      </vt:variant>
      <vt:variant>
        <vt:i4>12</vt:i4>
      </vt:variant>
      <vt:variant>
        <vt:i4>0</vt:i4>
      </vt:variant>
      <vt:variant>
        <vt:i4>5</vt:i4>
      </vt:variant>
      <vt:variant>
        <vt:lpwstr>http://www.minrzs.gov.rs/</vt:lpwstr>
      </vt:variant>
      <vt:variant>
        <vt:lpwstr/>
      </vt:variant>
      <vt:variant>
        <vt:i4>3407927</vt:i4>
      </vt:variant>
      <vt:variant>
        <vt:i4>9</vt:i4>
      </vt:variant>
      <vt:variant>
        <vt:i4>0</vt:i4>
      </vt:variant>
      <vt:variant>
        <vt:i4>5</vt:i4>
      </vt:variant>
      <vt:variant>
        <vt:lpwstr>http://www.sepa.gov.rs/</vt:lpwstr>
      </vt:variant>
      <vt:variant>
        <vt:lpwstr/>
      </vt:variant>
      <vt:variant>
        <vt:i4>3342395</vt:i4>
      </vt:variant>
      <vt:variant>
        <vt:i4>6</vt:i4>
      </vt:variant>
      <vt:variant>
        <vt:i4>0</vt:i4>
      </vt:variant>
      <vt:variant>
        <vt:i4>5</vt:i4>
      </vt:variant>
      <vt:variant>
        <vt:lpwstr>http://www.mfin.gov.rs/</vt:lpwstr>
      </vt:variant>
      <vt:variant>
        <vt:lpwstr/>
      </vt:variant>
      <vt:variant>
        <vt:i4>8126502</vt:i4>
      </vt:variant>
      <vt:variant>
        <vt:i4>3</vt:i4>
      </vt:variant>
      <vt:variant>
        <vt:i4>0</vt:i4>
      </vt:variant>
      <vt:variant>
        <vt:i4>5</vt:i4>
      </vt:variant>
      <vt:variant>
        <vt:lpwstr>http://www.ujn.gov.rs/</vt:lpwstr>
      </vt:variant>
      <vt:variant>
        <vt:lpwstr/>
      </vt:variant>
      <vt:variant>
        <vt:i4>5111899</vt:i4>
      </vt:variant>
      <vt:variant>
        <vt:i4>0</vt:i4>
      </vt:variant>
      <vt:variant>
        <vt:i4>0</vt:i4>
      </vt:variant>
      <vt:variant>
        <vt:i4>5</vt:i4>
      </vt:variant>
      <vt:variant>
        <vt:lpwstr>http://www.minrzs.gov.rs/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ЈАВНА НАБАВКА 04/2014</dc:title>
  <dc:subject/>
  <dc:creator>gordana.simic</dc:creator>
  <cp:keywords/>
  <dc:description/>
  <cp:lastModifiedBy>Milica Mihailovic</cp:lastModifiedBy>
  <cp:revision>7</cp:revision>
  <dcterms:created xsi:type="dcterms:W3CDTF">2017-06-09T06:42:00Z</dcterms:created>
  <dcterms:modified xsi:type="dcterms:W3CDTF">2017-06-09T13:24:00Z</dcterms:modified>
</cp:coreProperties>
</file>